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4066/22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ויקטור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ירנוב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27310-06-19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3.5.2022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עראף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נינה זלצמן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אמרת נאשם כראיה לטובתו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המוצעת לעבירות ההמתה במשפט הישראלי לאור עקרון האשמה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המנוח בוצע עובר למועד תחולת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הדיון בערעור קו הגבול שבין עבירת הרצח הבסיסית לבין עבירת הרצח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דרש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פרשנות גדריה ומאפייניה של הנסיבה המחמירה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שלפיה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רצח בנסיבות מחמירות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– דין – חוק העונשין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דין וגז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לפיהם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המערער בביצוע רצח בכוונה תחילה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בנוסחו קודם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משנקבע כי רצח המנוח בא בגדרי עבירת רצח בנסיבות מחמירות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גם כי הרפורמה בעבירות ההמתה אינה מהווה דין מקל עמו ואין ליישמה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 על המערער עונש מאסר עולם חובה ופיצוי לבני משפחת המנוח בסכום המקסימלי של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הדיון קו הגבול שבין עבירת הרצח הבסיסית לבין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להידרש לפרשנות גדריה ומאפייניה של הנסיבה המחמירה הקבועה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שלפיה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רצח המנוח בוצע עובר למועד תחולת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 הרפורמה תחול על עניינו רק במקרה שבו היא מהווה דין מקל עמו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אילו מעשי המערער ייכנסו בגדרי 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הרפורמה לא תהא דין מקל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בהיעדר 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לחלופין אם ייקבע כי מדובר בהמתה בנסיבות של אחריות מופחתת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תהווה דין מקל עם המערער ויש להחיל עליו את כלליה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ראשונה מבין הנסיבות שנחקקו במסגרת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הנסיבה המנויה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חלופותיה הן כי הרצח בוצע לאחר תכנון או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 זו נועדה להחליף באופן מהותי ורעיוני את רכיב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הרצח עובר לרפורמה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שינוי ועיצוב מחדש של גדרי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בדברי ההסבר לחוק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הבהיר המחוקק </w:t>
      </w:r>
      <w:r>
        <w:rPr>
          <w:rFonts w:ascii="Times New Roman" w:hAnsi="Times New Roman" w:cs="Times New Roman"/>
          <w:spacing w:val="0"/>
          <w:szCs w:val="26"/>
          <w:rtl w:val="true"/>
        </w:rPr>
        <w:t>מה לא כלול בגדרי הנסיבה המחמירה – מקרים של המתה בכוונה ספונטנית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הכרעה זו 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לאיפיון </w:t>
      </w:r>
      <w:r>
        <w:rPr>
          <w:rFonts w:ascii="Times New Roman" w:hAnsi="Times New Roman" w:cs="Times New Roman"/>
          <w:spacing w:val="0"/>
          <w:szCs w:val="26"/>
          <w:rtl w:val="true"/>
        </w:rPr>
        <w:t>הרכיבים הפוזיטיביים להתקיימות אחת מבין החלופות – תכנון או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תכנון – נדרש להתקיים מבעוד מועד ועובר למעשה ההמתה במישור העיתוי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התכנון לכלול רכיב איכותי מסוים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עשוי להתבטא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 ובין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בהכנת כלי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בחירת עיתוי מתאים לרצח ורקימת תוכנית לביצוע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הליך ממשי של שקילה וגיבוש החלטה להמית – נדרש אף הוא להתקיים עובר למעשה ההמתה במישור העיתוי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בשקילה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בבחינת משך השקילה לא די במחשבה חולפת אך גם לא נדרשת שקילה לפרק זמן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הליך השקילה לכלול שלביות מסוימת של התגבשות שיקול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מוקד תוכן השקילה הוא עצם שיקול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בהכרח שקילה ערכית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 של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דומה הליך שקילה הנעשה ביישוב הדעת להליך המתבצע בלב סערת רגשות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לשתי החלופות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כי התכנון או הליך השקילה יעמדו כל אחד בפני עצמו ובמנותק מהרצח באופן 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מלבד היסוד השלילי של היעדר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ספונטנית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צבר נסיבות ביצוע העבירה כמכלול – עובר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 ולאחריו – מלמד באופן פוזיטיבי על כך שהרצח בוצע לאחר הליך ממשי של שקילה וגיבוש החלטה להמית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לסעיף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ברקע למעשה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לדבריו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ניצב סירובו העיקש של המנוח לשלם על שהותו בדירת המערער או להתפנות מהדירה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מעת לעת אף איים עליו והכה אותו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הרצח לא בוצע בעקבות ויכוח או עימות 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לדבריו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בוצע כי נמאס לו מהתנהלות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המלמד על התגבשות הרעיון בקרבו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שלא די באופן הדקירה ועיתויה כשלעצמם כדי ללמד על הליך ממשי של שקילה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רכיבים אלו תורמים את חלקם למכלול הנסיבות המצביע כי מדובר ברצח מחושב ושקול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המתין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לשעת הכושר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המנוח עלה על יצועו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הצטייד בסכין מהמטבח וכאשר גבו של המנוח מופנה למערער ובעודו ספק ישן ספק 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דקר את המנוח דקירה מדויקת ואיכותית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מדבריו של המערער עלה כי שקל היטב את מיקום הדקירה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היה מיומן בביצועה באופן מיטבי וכי הכיר את הנזק שייגרם למנוח אשר יוביל למותו תוך דקות ספורות כאשר סובב את להב הסכין בעודה נעוצה בצוואר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זאת יש להוסיף כי המערער פעל שלא מתוך להט יצרים אלא בארשת של קור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מוסיפה אף היא למסקנה כי בנסיבות אלו המערער שקל את מעשה הרצח ופעל להגשימו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ביצוע הדקירה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הסתפק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עטף את ראשו בשקית ניילון שחורה וגדולה בגדר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וידוא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פעולת ההמתה הממושכת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והיותה מתפתחת במספר שלבים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תורמת אף היא לבחינת הלך מחשבתו של המערער בביצוע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היא מצטרפת ליתר נסיבות ביצוע העבירה אשר תוארו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פנה להסתיר ולהסוות את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בנסיבות אלו כשלעצמן לא די כדי ללמד על הליך השקילה בקרבו של המערער עובר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הן מוסיפות נדבך לצבר הנסיבות כאמור המלמד על הלך מחשבתו קודם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קביעה זו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כך שהרצח בוצע לאחר הליך ממשי של שקילה וגיבוש החלטה להמית מתייתר הצורך להכריע באשר להתקיימות החלופה הראשונה המנויה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כי מעשה הרצח בוצע לאחר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תכנון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ברי כי אין ברצח המנוח בידי המערער אי אלו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המגלות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כדי שמעשיו יבואו בשערי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הורשע המערער בעבירת הרצח בכוונה תחילה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כנוסחו קודם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שרצח המנוח בידי המערער בא בשערי עבירת הרצח בנסיבות מחמירות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 מתקיים בעניינו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אינה מהווה דין מקל בעניינו ואין ליישמה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שהעונש בעבירת הרצח בכוונה תחילה הוא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ממילא גם הערעור על גזר דינו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>".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בעבירת רצח בכוונה תחילה</w:t>
      </w:r>
      <w:r>
        <w:rPr>
          <w:rtl w:val="true"/>
        </w:rPr>
        <w:t xml:space="preserve">, </w:t>
      </w:r>
      <w:r>
        <w:rPr>
          <w:rtl w:val="true"/>
        </w:rPr>
        <w:t>כנוסחה 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עובר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בשל רצח פאבל אורלוב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בגין הרשעתו נגזר עליו עונש מאסר עולם חובה וכן תשלום פיצוי למשפחת המנוח</w:t>
      </w:r>
      <w:r>
        <w:rPr>
          <w:rtl w:val="true"/>
        </w:rPr>
        <w:t xml:space="preserve">. </w:t>
      </w:r>
      <w:r>
        <w:rPr>
          <w:rtl w:val="true"/>
        </w:rPr>
        <w:t xml:space="preserve">לפנינו ערעור על הכרעת דינו וגזר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סגן הנשיא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 xml:space="preserve">והשופטות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27310-06-19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13.12.2021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3.5.2022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התגורר בדירה שכורה בחיפה</w:t>
      </w:r>
      <w:r>
        <w:rPr>
          <w:rtl w:val="true"/>
        </w:rPr>
        <w:t xml:space="preserve">, </w:t>
      </w:r>
      <w:r>
        <w:rPr>
          <w:rtl w:val="true"/>
        </w:rPr>
        <w:t>ובמשך כחודשיים המנוח התגורר עמו בדירה</w:t>
      </w:r>
      <w:r>
        <w:rPr>
          <w:rtl w:val="true"/>
        </w:rPr>
        <w:t xml:space="preserve">. </w:t>
      </w:r>
      <w:r>
        <w:rPr>
          <w:rtl w:val="true"/>
        </w:rPr>
        <w:t>בשלב מסוים המנוח לא שילם למערער על השהות בדירה</w:t>
      </w:r>
      <w:r>
        <w:rPr>
          <w:rtl w:val="true"/>
        </w:rPr>
        <w:t xml:space="preserve">, </w:t>
      </w:r>
      <w:r>
        <w:rPr>
          <w:rtl w:val="true"/>
        </w:rPr>
        <w:t>ובעקבות כן התגלע סכסוך בין השניים</w:t>
      </w:r>
      <w:r>
        <w:rPr>
          <w:rtl w:val="true"/>
        </w:rPr>
        <w:t xml:space="preserve">. </w:t>
      </w:r>
      <w:r>
        <w:rPr>
          <w:rtl w:val="true"/>
        </w:rPr>
        <w:t>המערער דרש מהמנוח לעזוב את הדירה והלה סירב לכך</w:t>
      </w:r>
      <w:r>
        <w:rPr>
          <w:rtl w:val="true"/>
        </w:rPr>
        <w:t xml:space="preserve">. </w:t>
      </w:r>
      <w:r>
        <w:rPr>
          <w:rtl w:val="true"/>
        </w:rPr>
        <w:t>על רקע הסכסוך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18.5.2019</w:t>
      </w:r>
      <w:r>
        <w:rPr>
          <w:rtl w:val="true"/>
        </w:rPr>
        <w:t xml:space="preserve"> </w:t>
      </w:r>
      <w:r>
        <w:rPr>
          <w:rtl w:val="true"/>
        </w:rPr>
        <w:t>בשעות הצהריים</w:t>
      </w:r>
      <w:r>
        <w:rPr>
          <w:rtl w:val="true"/>
        </w:rPr>
        <w:t xml:space="preserve">, </w:t>
      </w:r>
      <w:r>
        <w:rPr>
          <w:rtl w:val="true"/>
        </w:rPr>
        <w:t>גמלה בלב המערער ההחלטה להמית את המנוח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ניגש למטבח</w:t>
      </w:r>
      <w:r>
        <w:rPr>
          <w:rtl w:val="true"/>
        </w:rPr>
        <w:t xml:space="preserve">, </w:t>
      </w:r>
      <w:r>
        <w:rPr>
          <w:rtl w:val="true"/>
        </w:rPr>
        <w:t>הצטייד בסכין מטבח גדולה</w:t>
      </w:r>
      <w:r>
        <w:rPr>
          <w:rtl w:val="true"/>
        </w:rPr>
        <w:t xml:space="preserve">, </w:t>
      </w:r>
      <w:r>
        <w:rPr>
          <w:rtl w:val="true"/>
        </w:rPr>
        <w:t xml:space="preserve">נכנס לחדר השינה ודקר באמצעות הסכין את המנוח בעת שישן במיטה </w:t>
      </w:r>
      <w:r>
        <w:rPr>
          <w:rtl w:val="true"/>
        </w:rPr>
        <w:t>"</w:t>
      </w:r>
      <w:r>
        <w:rPr>
          <w:rtl w:val="true"/>
        </w:rPr>
        <w:t>דקירה עמוקה בצוואר מצד שמאל וסובב את להב הסכין בעודה נעוצה בצווארו של המנוח</w:t>
      </w:r>
      <w:r>
        <w:rPr>
          <w:rtl w:val="true"/>
        </w:rPr>
        <w:t xml:space="preserve">".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במטרה לגרום למות המנוח ולאחר שגיבש החלטה לעשות כן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חתך את המנוח באמצעות הסכין בלחיו השמאלית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מהמיטה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למסדרון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, </w:t>
      </w:r>
      <w:r>
        <w:rPr>
          <w:rtl w:val="true"/>
        </w:rPr>
        <w:t>השכיבו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, </w:t>
      </w:r>
      <w:r>
        <w:rPr>
          <w:rtl w:val="true"/>
        </w:rPr>
        <w:t>אזק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זבל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מהדקירה</w:t>
      </w:r>
      <w:r>
        <w:rPr>
          <w:rtl w:val="true"/>
        </w:rPr>
        <w:t xml:space="preserve">,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סמוך לשעה </w:t>
      </w:r>
      <w:r>
        <w:rPr/>
        <w:t>18:15</w:t>
      </w:r>
      <w:r>
        <w:rPr>
          <w:rtl w:val="true"/>
        </w:rPr>
        <w:t xml:space="preserve">, </w:t>
      </w:r>
      <w:r>
        <w:rPr>
          <w:rtl w:val="true"/>
        </w:rPr>
        <w:t>כאשר המערער יצא מהדירה</w:t>
      </w:r>
      <w:r>
        <w:rPr>
          <w:rtl w:val="true"/>
        </w:rPr>
        <w:t xml:space="preserve">, </w:t>
      </w:r>
      <w:r>
        <w:rPr>
          <w:rtl w:val="true"/>
        </w:rPr>
        <w:t>שכנו ראה כתמי דם על בגדיו</w:t>
      </w:r>
      <w:r>
        <w:rPr>
          <w:rtl w:val="true"/>
        </w:rPr>
        <w:t xml:space="preserve">. </w:t>
      </w:r>
      <w:r>
        <w:rPr>
          <w:rtl w:val="true"/>
        </w:rPr>
        <w:t>השכן הציץ מבעד לדלת הפתוחה של הדירה והבחין בגופת המנוח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המערער פנה אליו וביקש ממנו לסייע לו להיפטר מגופת המנוח</w:t>
      </w:r>
      <w:r>
        <w:rPr>
          <w:rtl w:val="true"/>
        </w:rPr>
        <w:t xml:space="preserve">. </w:t>
      </w:r>
      <w:r>
        <w:rPr>
          <w:rtl w:val="true"/>
        </w:rPr>
        <w:t>השכן הזעיק את המשטרה</w:t>
      </w:r>
      <w:r>
        <w:rPr>
          <w:rtl w:val="true"/>
        </w:rPr>
        <w:t xml:space="preserve">, </w:t>
      </w:r>
      <w:r>
        <w:rPr>
          <w:rtl w:val="true"/>
        </w:rPr>
        <w:t>אשר הגיעה למקום בחלוף מספר דקות</w:t>
      </w:r>
      <w:r>
        <w:rPr>
          <w:rtl w:val="true"/>
        </w:rPr>
        <w:t xml:space="preserve">, </w:t>
      </w:r>
      <w:r>
        <w:rPr>
          <w:rtl w:val="true"/>
        </w:rPr>
        <w:t>עצרה את המערער ואיתרה את גופת המנוח בדירה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במעשיו המתוארים לעיל</w:t>
      </w:r>
      <w:r>
        <w:rPr>
          <w:rtl w:val="true"/>
        </w:rPr>
        <w:t xml:space="preserve">, </w:t>
      </w:r>
      <w:r>
        <w:rPr>
          <w:rtl w:val="true"/>
        </w:rPr>
        <w:t>כפי שנכתב בכתב האישום</w:t>
      </w:r>
      <w:r>
        <w:rPr>
          <w:rtl w:val="true"/>
        </w:rPr>
        <w:t xml:space="preserve">, </w:t>
      </w:r>
      <w:r>
        <w:rPr>
          <w:rtl w:val="true"/>
        </w:rPr>
        <w:t>המערער גרם בכוונה תחילה למות המנוח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>והמיתו בדם קר בלי שקדמה לכך התגרות בתכוף למעשה</w:t>
      </w:r>
      <w:r>
        <w:rPr>
          <w:rtl w:val="true"/>
        </w:rPr>
        <w:t xml:space="preserve">, </w:t>
      </w:r>
      <w:r>
        <w:rPr>
          <w:rtl w:val="true"/>
        </w:rPr>
        <w:t>בנסיבות בהן יכול היה לחשוב ולהבין את תוצאות מעשיו ולאחר שהכין את עצמו להמית את המנוח והכין מכשיר שבו המית אותו</w:t>
      </w:r>
      <w:r>
        <w:rPr>
          <w:rtl w:val="true"/>
        </w:rPr>
        <w:t xml:space="preserve">, </w:t>
      </w:r>
      <w:r>
        <w:rPr>
          <w:rtl w:val="true"/>
        </w:rPr>
        <w:t>וכן נהג במנוח באכזריות מיוחדת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 בית המשפט המחוזי נפרסה תשתית ראייתית רחבה</w:t>
      </w:r>
      <w:r>
        <w:rPr>
          <w:rtl w:val="true"/>
        </w:rPr>
        <w:t xml:space="preserve">, </w:t>
      </w:r>
      <w:r>
        <w:rPr>
          <w:rtl w:val="true"/>
        </w:rPr>
        <w:t>בכללה</w:t>
      </w:r>
      <w:r>
        <w:rPr>
          <w:rtl w:val="true"/>
        </w:rPr>
        <w:t xml:space="preserve">, </w:t>
      </w:r>
      <w:r>
        <w:rPr>
          <w:rtl w:val="true"/>
        </w:rPr>
        <w:t>ראיות אובייקטיביות שנאספו בזירת הרצח ומנתיחת גופת המנוח</w:t>
      </w:r>
      <w:r>
        <w:rPr>
          <w:rtl w:val="true"/>
        </w:rPr>
        <w:t xml:space="preserve">, </w:t>
      </w:r>
      <w:r>
        <w:rPr>
          <w:rtl w:val="true"/>
        </w:rPr>
        <w:t>עדויות השכן</w:t>
      </w:r>
      <w:r>
        <w:rPr>
          <w:rtl w:val="true"/>
        </w:rPr>
        <w:t xml:space="preserve">, </w:t>
      </w:r>
      <w:r>
        <w:rPr>
          <w:rtl w:val="true"/>
        </w:rPr>
        <w:t>חברי המערער והשוטרים</w:t>
      </w:r>
      <w:r>
        <w:rPr>
          <w:rtl w:val="true"/>
        </w:rPr>
        <w:t xml:space="preserve">, </w:t>
      </w:r>
      <w:r>
        <w:rPr>
          <w:rtl w:val="true"/>
        </w:rPr>
        <w:t>וכן הודעות המערער בחקירותיו 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tl w:val="true"/>
        </w:rPr>
        <w:t xml:space="preserve"> מסר מיוזמתו </w:t>
      </w:r>
      <w:r>
        <w:rPr>
          <w:rFonts w:ascii="Century" w:hAnsi="Century" w:cs="Century"/>
          <w:sz w:val="22"/>
          <w:sz w:val="22"/>
          <w:rtl w:val="true"/>
        </w:rPr>
        <w:t>כי רצח את המנוח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הכיר את המנוח מזה מספר חודשים ואיפשר לו ללון בדירתו</w:t>
      </w:r>
      <w:r>
        <w:rPr>
          <w:rtl w:val="true"/>
        </w:rPr>
        <w:t xml:space="preserve">, </w:t>
      </w:r>
      <w:r>
        <w:rPr>
          <w:rtl w:val="true"/>
        </w:rPr>
        <w:t>אולם הלה סרב לשלם שכר דירה עבור שהותו ואף לא הסכים לעזוב את הדירה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המנוח נטה להשתכר מעת לעת</w:t>
      </w:r>
      <w:r>
        <w:rPr>
          <w:rtl w:val="true"/>
        </w:rPr>
        <w:t xml:space="preserve">, </w:t>
      </w:r>
      <w:r>
        <w:rPr>
          <w:rtl w:val="true"/>
        </w:rPr>
        <w:t>הכה אותו מספר פעמים</w:t>
      </w:r>
      <w:r>
        <w:rPr>
          <w:rtl w:val="true"/>
        </w:rPr>
        <w:t xml:space="preserve">, </w:t>
      </w:r>
      <w:r>
        <w:rPr>
          <w:rtl w:val="true"/>
        </w:rPr>
        <w:t>קילל אותו</w:t>
      </w:r>
      <w:r>
        <w:rPr>
          <w:rtl w:val="true"/>
        </w:rPr>
        <w:t xml:space="preserve">, </w:t>
      </w:r>
      <w:r>
        <w:rPr>
          <w:rtl w:val="true"/>
        </w:rPr>
        <w:t>איים עליו שיהרוג אותו</w:t>
      </w:r>
      <w:r>
        <w:rPr>
          <w:rtl w:val="true"/>
        </w:rPr>
        <w:t xml:space="preserve">, </w:t>
      </w:r>
      <w:r>
        <w:rPr>
          <w:rtl w:val="true"/>
        </w:rPr>
        <w:t>ובעקבות כך המערער פחד ממנו</w:t>
      </w:r>
      <w:r>
        <w:rPr>
          <w:rtl w:val="true"/>
        </w:rPr>
        <w:t xml:space="preserve">. </w:t>
      </w:r>
      <w:r>
        <w:rPr>
          <w:rtl w:val="true"/>
        </w:rPr>
        <w:t>ביום הרצח</w:t>
      </w:r>
      <w:r>
        <w:rPr>
          <w:rtl w:val="true"/>
        </w:rPr>
        <w:t xml:space="preserve">, </w:t>
      </w:r>
      <w:r>
        <w:rPr>
          <w:rtl w:val="true"/>
        </w:rPr>
        <w:t>המערער לקח סכין מהמטבח וניגש לחדר השינה שבו שכב המנוח על המיטה כשפניו מופנות אל הקיר</w:t>
      </w:r>
      <w:r>
        <w:rPr>
          <w:rtl w:val="true"/>
        </w:rPr>
        <w:t xml:space="preserve">, </w:t>
      </w:r>
      <w:r>
        <w:rPr>
          <w:rtl w:val="true"/>
        </w:rPr>
        <w:t>מבלי שהלה הבחין בסכין</w:t>
      </w:r>
      <w:r>
        <w:rPr>
          <w:rtl w:val="true"/>
        </w:rPr>
        <w:t xml:space="preserve">. </w:t>
      </w:r>
      <w:r>
        <w:rPr>
          <w:rtl w:val="true"/>
        </w:rPr>
        <w:t xml:space="preserve">המנוח קילל אותו ואמר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>ולאחר מכן המערער דקר אותו דקירה אחת בצוואר</w:t>
      </w:r>
      <w:r>
        <w:rPr>
          <w:rtl w:val="true"/>
        </w:rPr>
        <w:t xml:space="preserve">, </w:t>
      </w:r>
      <w:r>
        <w:rPr>
          <w:rtl w:val="true"/>
        </w:rPr>
        <w:t>כפי שלדבריו למד בשירותו הצבאי בברית המועצות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כדי לוודא שהמנוח אכן מת</w:t>
      </w:r>
      <w:r>
        <w:rPr>
          <w:rtl w:val="true"/>
        </w:rPr>
        <w:t xml:space="preserve">, </w:t>
      </w:r>
      <w:r>
        <w:rPr>
          <w:rtl w:val="true"/>
        </w:rPr>
        <w:t>שם שקית אשפה שחורה על ראשו ורגליו של המנוח וקשר את ידיו באזיקונים</w:t>
      </w:r>
      <w:r>
        <w:rPr>
          <w:rtl w:val="true"/>
        </w:rPr>
        <w:t xml:space="preserve">. </w:t>
      </w:r>
      <w:r>
        <w:rPr>
          <w:rtl w:val="true"/>
        </w:rPr>
        <w:t>במענה לשאלת חוקרי המשטרה מדוע החליט דווקא באותו העיתוי להמית את המנוח</w:t>
      </w:r>
      <w:r>
        <w:rPr>
          <w:rtl w:val="true"/>
        </w:rPr>
        <w:t xml:space="preserve">, </w:t>
      </w:r>
      <w:r>
        <w:rPr>
          <w:rtl w:val="true"/>
        </w:rPr>
        <w:t xml:space="preserve">השיב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כפר תחילה באופן כללי באשר יוחס 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משנסתיימה פרשת התביעה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שנשמעו</w:t>
      </w:r>
      <w:r>
        <w:rPr>
          <w:rtl w:val="true"/>
        </w:rPr>
        <w:t xml:space="preserve"> ונחקרו עדים וראיות מטעמה</w:t>
      </w:r>
      <w:r>
        <w:rPr>
          <w:rtl w:val="true"/>
        </w:rPr>
        <w:t xml:space="preserve">, </w:t>
      </w:r>
      <w:r>
        <w:rPr>
          <w:rtl w:val="true"/>
        </w:rPr>
        <w:t>המערער בחר שלא להעיד להגנתו</w:t>
      </w:r>
      <w:r>
        <w:rPr>
          <w:rtl w:val="true"/>
        </w:rPr>
        <w:t xml:space="preserve">. </w:t>
      </w:r>
      <w:r>
        <w:rPr>
          <w:rtl w:val="true"/>
        </w:rPr>
        <w:t xml:space="preserve">גם לאחר שהוסברה לו משמעות הימנעותו ממתן עדות </w:t>
      </w:r>
      <w:r>
        <w:rPr>
          <w:rtl w:val="true"/>
        </w:rPr>
        <w:t>–</w:t>
      </w:r>
      <w:r>
        <w:rPr>
          <w:rtl w:val="true"/>
        </w:rPr>
        <w:t xml:space="preserve"> דבק בעמדתו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הודה בביצוע עבירת הרצח הבסיסית כהגדרתה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אך כפר בהתקיימן של נסיבות מחמירות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סמך מארג הראיות שנפרס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בעבירת רצח בכוונה תחילה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קודם הרפורמה בעבירות ההמתה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נקבע כי </w:t>
      </w:r>
      <w:r>
        <w:rPr>
          <w:rtl w:val="true"/>
        </w:rPr>
        <w:t xml:space="preserve">המערער רצח את המנוח לאחר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" </w:t>
      </w:r>
      <w:r>
        <w:rPr>
          <w:rtl w:val="true"/>
        </w:rPr>
        <w:t xml:space="preserve">בהתאם </w:t>
      </w:r>
      <w:hyperlink r:id="rId30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פירט כי דקירת המערער את המנוח הייתה </w:t>
      </w:r>
      <w:r>
        <w:rPr>
          <w:rtl w:val="true"/>
        </w:rPr>
        <w:t>"</w:t>
      </w:r>
      <w:r>
        <w:rPr>
          <w:rtl w:val="true"/>
        </w:rPr>
        <w:t>בחירה מחושבת</w:t>
      </w:r>
      <w:r>
        <w:rPr>
          <w:rtl w:val="true"/>
        </w:rPr>
        <w:t xml:space="preserve">" </w:t>
      </w:r>
      <w:r>
        <w:rPr>
          <w:rtl w:val="true"/>
        </w:rPr>
        <w:t>לרצוח אותו ולא רק לפצוע אותו</w:t>
      </w:r>
      <w:r>
        <w:rPr>
          <w:rtl w:val="true"/>
        </w:rPr>
        <w:t xml:space="preserve">, </w:t>
      </w:r>
      <w:r>
        <w:rPr>
          <w:rtl w:val="true"/>
        </w:rPr>
        <w:t>כפי שנלמד מפגיעת הדקירה בכלי דם חיוניים ביותר</w:t>
      </w:r>
      <w:r>
        <w:rPr>
          <w:rtl w:val="true"/>
        </w:rPr>
        <w:t xml:space="preserve">, </w:t>
      </w:r>
      <w:r>
        <w:rPr>
          <w:rtl w:val="true"/>
        </w:rPr>
        <w:t>מהעומק המשמעותי של הדקירה</w:t>
      </w:r>
      <w:r>
        <w:rPr>
          <w:rtl w:val="true"/>
        </w:rPr>
        <w:t xml:space="preserve">, </w:t>
      </w:r>
      <w:r>
        <w:rPr>
          <w:rtl w:val="true"/>
        </w:rPr>
        <w:t>מהעובדה כי שקל היטב את מיקום הדקירה וידע על הנזק שהיא תגרום</w:t>
      </w:r>
      <w:r>
        <w:rPr>
          <w:rtl w:val="true"/>
        </w:rPr>
        <w:t xml:space="preserve">, </w:t>
      </w:r>
      <w:r>
        <w:rPr>
          <w:rtl w:val="true"/>
        </w:rPr>
        <w:t>וכן מהיותו מיומן לדבריו בפעולות הריגה משירותו בברית המועצות</w:t>
      </w:r>
      <w:r>
        <w:rPr>
          <w:rtl w:val="true"/>
        </w:rPr>
        <w:t xml:space="preserve">. </w:t>
      </w:r>
      <w:r>
        <w:rPr>
          <w:rtl w:val="true"/>
        </w:rPr>
        <w:t>כך גם נלמד מהעיתוי שבו דקר את המנוח תוך שניצל את העובדה שהמנוח נשכב לישון בעודו מפנה אליו את גבו</w:t>
      </w:r>
      <w:r>
        <w:rPr>
          <w:rtl w:val="true"/>
        </w:rPr>
        <w:t xml:space="preserve">, </w:t>
      </w:r>
      <w:r>
        <w:rPr>
          <w:rtl w:val="true"/>
        </w:rPr>
        <w:t>כך שהמנוח לא יכול היה להתגונן מפניו</w:t>
      </w:r>
      <w:r>
        <w:rPr>
          <w:rtl w:val="true"/>
        </w:rPr>
        <w:t xml:space="preserve">. </w:t>
      </w:r>
      <w:r>
        <w:rPr>
          <w:rtl w:val="true"/>
        </w:rPr>
        <w:t>כן 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לא הסתפק בדקירת המנוח אלא כיסה את פניו בשקית ניילון גדולה לצורך </w:t>
      </w:r>
      <w:r>
        <w:rPr>
          <w:rtl w:val="true"/>
        </w:rPr>
        <w:t>"</w:t>
      </w:r>
      <w:r>
        <w:rPr>
          <w:rtl w:val="true"/>
        </w:rPr>
        <w:t>וידוא הריגה</w:t>
      </w:r>
      <w:r>
        <w:rPr>
          <w:rtl w:val="true"/>
        </w:rPr>
        <w:t xml:space="preserve">", </w:t>
      </w:r>
      <w:r>
        <w:rPr>
          <w:rtl w:val="true"/>
        </w:rPr>
        <w:t>ולכך יש משקל</w:t>
      </w:r>
      <w:r>
        <w:rPr>
          <w:rtl w:val="true"/>
        </w:rPr>
        <w:t xml:space="preserve">, </w:t>
      </w:r>
      <w:r>
        <w:rPr>
          <w:rtl w:val="true"/>
        </w:rPr>
        <w:t>למרות שקיים ספק אם המנוח כבר היה מת בשלב זה</w:t>
      </w:r>
      <w:r>
        <w:rPr>
          <w:rtl w:val="true"/>
        </w:rPr>
        <w:t xml:space="preserve">. </w:t>
      </w:r>
      <w:r>
        <w:rPr>
          <w:rtl w:val="true"/>
        </w:rPr>
        <w:t>על כל זאת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המערער הסביר את רצח המנוח </w:t>
      </w:r>
      <w:r>
        <w:rPr>
          <w:rFonts w:ascii="Century" w:hAnsi="Century" w:cs="Century"/>
          <w:sz w:val="22"/>
          <w:sz w:val="22"/>
          <w:rtl w:val="true"/>
        </w:rPr>
        <w:t xml:space="preserve">באומרו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באופן המצביע כי פעל להמית את המנוח לאח</w:t>
      </w:r>
      <w:r>
        <w:rPr>
          <w:rtl w:val="true"/>
        </w:rPr>
        <w:t>ר הליך ממשי של שקילה וגיבוש החלטה להמית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 כי תפקוד המערער בשעת הרצח לא נפגע כתוצאה משתיית אלכוהול וכי פעולותיו היו שקולות ורצוניות ונעשו בהתאם להליך השקילה וגיבוש ההחלטה להמית את המנוח</w:t>
      </w:r>
      <w:r>
        <w:rPr>
          <w:rtl w:val="true"/>
        </w:rPr>
        <w:t xml:space="preserve">. </w:t>
      </w:r>
      <w:r>
        <w:rPr>
          <w:rtl w:val="true"/>
        </w:rPr>
        <w:t>כך עולה מהגרסה שמסר השכן במשטרה</w:t>
      </w:r>
      <w:r>
        <w:rPr>
          <w:rtl w:val="true"/>
        </w:rPr>
        <w:t xml:space="preserve">, </w:t>
      </w:r>
      <w:r>
        <w:rPr>
          <w:rtl w:val="true"/>
        </w:rPr>
        <w:t>מעדויות חברי המערער שנפגשו עמו בסמוך לרצח</w:t>
      </w:r>
      <w:r>
        <w:rPr>
          <w:rtl w:val="true"/>
        </w:rPr>
        <w:t xml:space="preserve">, </w:t>
      </w:r>
      <w:r>
        <w:rPr>
          <w:rtl w:val="true"/>
        </w:rPr>
        <w:t>מהתרשמות השוטרים שהיו מעורבים במעצרו וכן מהתנהגותו בעת ביצוע הרצח כאשר בחר היטב את מיקום הדקירה</w:t>
      </w:r>
      <w:r>
        <w:rPr>
          <w:rtl w:val="true"/>
        </w:rPr>
        <w:t xml:space="preserve">, </w:t>
      </w:r>
      <w:r>
        <w:rPr>
          <w:rtl w:val="true"/>
        </w:rPr>
        <w:t>שטף את הסכין והחזירה למקומה וידע להסביר את המניע לכל פעולה ופעולה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הרשיע את המערער בביצוע רצח בכוונה תחילה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קודם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 xml:space="preserve">משנקבע כי רצח המנוח בא בגדרי עבירת רצח בנסיבות מחמירות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נקבע גם כי הרפורמה בעבירות ההמתה אינה מהווה דין מקל עמו ואין ליישמה בעניינו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מאסר עולם חובה ופיצוי לבני משפחת המנוח בסכום המקסימלי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בהודעת הערעור בכתב ובטיעוניו בדיון לפנינו</w:t>
      </w:r>
      <w:r>
        <w:rPr>
          <w:rtl w:val="true"/>
        </w:rPr>
        <w:t xml:space="preserve">, </w:t>
      </w:r>
      <w:r>
        <w:rPr>
          <w:rtl w:val="true"/>
        </w:rPr>
        <w:t>הניח את מסגרת נימוקיו כדלקמן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עמד על השגיאות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אשר נפלו בהכרעת דינו של בית המשפט המחוזי ביחס להתקיימות הנסיבה המחמירה המנויה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הציג את פסיקת בית משפט זה ביחס לפרשנות נסיבה מחמירה זו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טען כי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יש להחיל לחלופין את הדין המקל המנוי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");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התייחס לגזר דינו של המערער</w:t>
      </w:r>
      <w:r>
        <w:rPr>
          <w:rtl w:val="true"/>
        </w:rPr>
        <w:t xml:space="preserve">, </w:t>
      </w:r>
      <w:r>
        <w:rPr>
          <w:rtl w:val="true"/>
        </w:rPr>
        <w:t>אשר נטען כי מחמיר עמו יתר על המידה בהתחשב בנסיבותיו האישיות ומדיניות הענישה הנוהגת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בקובעו כי רצח המנוח מקיים את הנסיבה המחמירה המנויה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נטען כי לא ניתן ללמוד ממיקום הדקירה</w:t>
      </w:r>
      <w:r>
        <w:rPr>
          <w:rtl w:val="true"/>
        </w:rPr>
        <w:t xml:space="preserve">, </w:t>
      </w:r>
      <w:r>
        <w:rPr>
          <w:rtl w:val="true"/>
        </w:rPr>
        <w:t>עיתויה ו</w:t>
      </w:r>
      <w:r>
        <w:rPr>
          <w:rtl w:val="true"/>
        </w:rPr>
        <w:t>"</w:t>
      </w:r>
      <w:r>
        <w:rPr>
          <w:rtl w:val="true"/>
        </w:rPr>
        <w:t>עטיפת</w:t>
      </w:r>
      <w:r>
        <w:rPr>
          <w:rtl w:val="true"/>
        </w:rPr>
        <w:t xml:space="preserve">" </w:t>
      </w:r>
      <w:r>
        <w:rPr>
          <w:rtl w:val="true"/>
        </w:rPr>
        <w:t>פניו ורגליו של המנוח בשקית זבל</w:t>
      </w:r>
      <w:r>
        <w:rPr>
          <w:rtl w:val="true"/>
        </w:rPr>
        <w:t xml:space="preserve">, </w:t>
      </w:r>
      <w:r>
        <w:rPr>
          <w:rtl w:val="true"/>
        </w:rPr>
        <w:t xml:space="preserve">על כך שהמעשים נעשו לאחר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cs="Century"/>
          <w:sz w:val="22"/>
          <w:sz w:val="22"/>
          <w:rtl w:val="true"/>
        </w:rPr>
        <w:t xml:space="preserve"> ולא כתוצאה</w:t>
      </w:r>
      <w:r>
        <w:rPr>
          <w:rtl w:val="true"/>
        </w:rPr>
        <w:t xml:space="preserve"> מהתפרצות ספונטנית של המערער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מחקירותיו במשטרה מתקבל הרושם כי קדם לרצח עימות בינו לבין המנוח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סערת הרגשות</w:t>
      </w:r>
      <w:r>
        <w:rPr>
          <w:rtl w:val="true"/>
        </w:rPr>
        <w:t xml:space="preserve">" </w:t>
      </w:r>
      <w:r>
        <w:rPr>
          <w:rtl w:val="true"/>
        </w:rPr>
        <w:t>שהתחוללה בקרבו בעקבות העימות</w:t>
      </w:r>
      <w:r>
        <w:rPr>
          <w:rtl w:val="true"/>
        </w:rPr>
        <w:t xml:space="preserve">, </w:t>
      </w:r>
      <w:r>
        <w:rPr>
          <w:rtl w:val="true"/>
        </w:rPr>
        <w:t>היא שהובילה אותו לביצוע הרצח באופן ספונטני</w:t>
      </w:r>
      <w:r>
        <w:rPr>
          <w:rtl w:val="true"/>
        </w:rPr>
        <w:t xml:space="preserve">. </w:t>
      </w:r>
      <w:r>
        <w:rPr>
          <w:rtl w:val="true"/>
        </w:rPr>
        <w:t xml:space="preserve">מטעם זה גם נטען כי מעשי המערער לא נעשו לאחר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אלא כתגובה לעימות</w:t>
      </w:r>
      <w:r>
        <w:rPr>
          <w:rtl w:val="true"/>
        </w:rPr>
        <w:t xml:space="preserve">, </w:t>
      </w:r>
      <w:r>
        <w:rPr>
          <w:rtl w:val="true"/>
        </w:rPr>
        <w:t>וכן הודגש כי המערער לא הצטייד מראש בסכין אלא לקח אותה מקיר המטבח בסמוך לרצח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 xml:space="preserve">לעמדת המערער כאמור מעשה הרצח בא בשערי הדין המקל 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המנוי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רקע מערכת היחסים שבין המערער למנוח</w:t>
      </w:r>
      <w:r>
        <w:rPr>
          <w:rtl w:val="true"/>
        </w:rPr>
        <w:t xml:space="preserve">, </w:t>
      </w:r>
      <w:r>
        <w:rPr>
          <w:rtl w:val="true"/>
        </w:rPr>
        <w:t>במסגרתה האחרון נהג להכותו ולאיים עליו מעת לעת</w:t>
      </w:r>
      <w:r>
        <w:rPr>
          <w:rtl w:val="true"/>
        </w:rPr>
        <w:t xml:space="preserve">, </w:t>
      </w:r>
      <w:r>
        <w:rPr>
          <w:rtl w:val="true"/>
        </w:rPr>
        <w:t>באופן אשר גרם לו למצוקה נפשית שהובילה למעשה הרצח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 על חומרת העונש שנגזר</w:t>
      </w:r>
      <w:r>
        <w:rPr>
          <w:rtl w:val="true"/>
        </w:rPr>
        <w:t xml:space="preserve">, </w:t>
      </w:r>
      <w:r>
        <w:rPr>
          <w:rtl w:val="true"/>
        </w:rPr>
        <w:t>נטען כי נסיבות המקרה ונסיבותיו האישיות של המערער מצדיקות כי ייגזר עליו עונש מאסר בפועל נמוך מאשר עונש מאסר עולם</w:t>
      </w:r>
      <w:r>
        <w:rPr>
          <w:rtl w:val="true"/>
        </w:rPr>
        <w:t xml:space="preserve">. </w:t>
      </w:r>
      <w:r>
        <w:rPr>
          <w:rtl w:val="true"/>
        </w:rPr>
        <w:t>אשר לנסיבות המקרה</w:t>
      </w:r>
      <w:r>
        <w:rPr>
          <w:rtl w:val="true"/>
        </w:rPr>
        <w:t xml:space="preserve">, </w:t>
      </w:r>
      <w:r>
        <w:rPr>
          <w:rtl w:val="true"/>
        </w:rPr>
        <w:t>פורט כי האיומים והמכות שספג המערער לגרסתו מהמנוח הם שהובילו אותו למעשה הרצח</w:t>
      </w:r>
      <w:r>
        <w:rPr>
          <w:rtl w:val="true"/>
        </w:rPr>
        <w:t xml:space="preserve">. </w:t>
      </w:r>
      <w:r>
        <w:rPr>
          <w:rtl w:val="true"/>
        </w:rPr>
        <w:t>ביחס לנסיבותיו האישיות</w:t>
      </w:r>
      <w:r>
        <w:rPr>
          <w:rtl w:val="true"/>
        </w:rPr>
        <w:t xml:space="preserve">, </w:t>
      </w:r>
      <w:r>
        <w:rPr>
          <w:rtl w:val="true"/>
        </w:rPr>
        <w:t>צוין כי מדובר באדם מבוגר</w:t>
      </w:r>
      <w:r>
        <w:rPr>
          <w:rtl w:val="true"/>
        </w:rPr>
        <w:t xml:space="preserve">, </w:t>
      </w:r>
      <w:r>
        <w:rPr>
          <w:rtl w:val="true"/>
        </w:rPr>
        <w:t>אשר במשך שנים רבות מאז שעלה לארץ הסתובב כדר רחוב ואף סבל מבעיית אלכוהוליזם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הודגש כי הודה מהרגע הראשון בביצוע הרצח ולקח אחריות על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>יש לדחות את הערעור משלא הוצגה עילה להתערבות בקביעותיו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תחילה הודגשה הימנעות המערער מלהעיד ומשמעות עובדה זו על משקל אמרות המערער בחקירותיו במשטרה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רצף פעולותיו של המערער מלמד כי הרצח בוצע לאחר תכנון או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 xml:space="preserve">כנדרש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פורט כי חוות</w:t>
      </w:r>
      <w:r>
        <w:rPr>
          <w:rtl w:val="true"/>
        </w:rPr>
        <w:t>-</w:t>
      </w:r>
      <w:r>
        <w:rPr>
          <w:rtl w:val="true"/>
        </w:rPr>
        <w:t xml:space="preserve">דעת נתיחת גופת המנוח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) </w:t>
      </w:r>
      <w:r>
        <w:rPr>
          <w:rtl w:val="true"/>
        </w:rPr>
        <w:t>מלמדת על פגיעה במקום רגיש</w:t>
      </w:r>
      <w:r>
        <w:rPr>
          <w:rtl w:val="true"/>
        </w:rPr>
        <w:t xml:space="preserve">, </w:t>
      </w:r>
      <w:r>
        <w:rPr>
          <w:rtl w:val="true"/>
        </w:rPr>
        <w:t>חדירת הסכין לשם יצירת נזק עמוק ומקיף כשפתח הדקירה רחב הרבה יותר מלהב הסכין ועומקה משמעותי מאוד</w:t>
      </w:r>
      <w:r>
        <w:rPr>
          <w:rtl w:val="true"/>
        </w:rPr>
        <w:t xml:space="preserve">. </w:t>
      </w:r>
      <w:r>
        <w:rPr>
          <w:rtl w:val="true"/>
        </w:rPr>
        <w:t>נטען כי מכך עולה שמדובר בדקירה מדויקת</w:t>
      </w:r>
      <w:r>
        <w:rPr>
          <w:rtl w:val="true"/>
        </w:rPr>
        <w:t xml:space="preserve">, </w:t>
      </w:r>
      <w:r>
        <w:rPr>
          <w:rtl w:val="true"/>
        </w:rPr>
        <w:t>מכוונת ומהירה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צוין כי למערער היו מספר הזדמנויות לשקול את השלכות מעשיו וכי הוא ניצל את היות המנוח שכוב במיטה</w:t>
      </w:r>
      <w:r>
        <w:rPr>
          <w:rtl w:val="true"/>
        </w:rPr>
        <w:t xml:space="preserve">, </w:t>
      </w:r>
      <w:r>
        <w:rPr>
          <w:rtl w:val="true"/>
        </w:rPr>
        <w:t>כשגבו מופנה אליו מבלי יכולת להתגונן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הודגש כי המערער רצח את המנוח מבלי שקדמו לכך התגרות או מאבק</w:t>
      </w:r>
      <w:r>
        <w:rPr>
          <w:rtl w:val="true"/>
        </w:rPr>
        <w:t xml:space="preserve">, </w:t>
      </w:r>
      <w:r>
        <w:rPr>
          <w:rtl w:val="true"/>
        </w:rPr>
        <w:t xml:space="preserve">כפי שנלמד מדבריו בחקירות במשטרה 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הצוואר</w:t>
      </w:r>
      <w:r>
        <w:rPr>
          <w:rtl w:val="true"/>
        </w:rPr>
        <w:t xml:space="preserve">" </w:t>
      </w:r>
      <w:r>
        <w:rPr>
          <w:rtl w:val="true"/>
        </w:rPr>
        <w:t xml:space="preserve">וכן כאשר הבהיר ביחס למיקום הדקירה 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אנטומיה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המסוכנים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מהברז</w:t>
      </w:r>
      <w:r>
        <w:rPr>
          <w:rtl w:val="true"/>
        </w:rPr>
        <w:t xml:space="preserve">". </w:t>
      </w:r>
      <w:r>
        <w:rPr>
          <w:rtl w:val="true"/>
        </w:rPr>
        <w:t xml:space="preserve">גם </w:t>
      </w:r>
      <w:r>
        <w:rPr>
          <w:rtl w:val="true"/>
        </w:rPr>
        <w:t>"</w:t>
      </w:r>
      <w:r>
        <w:rPr>
          <w:rtl w:val="true"/>
        </w:rPr>
        <w:t>עטיפת</w:t>
      </w:r>
      <w:r>
        <w:rPr>
          <w:rtl w:val="true"/>
        </w:rPr>
        <w:t xml:space="preserve">" </w:t>
      </w:r>
      <w:r>
        <w:rPr>
          <w:rtl w:val="true"/>
        </w:rPr>
        <w:t>ראשו של המנוח בשקית זבל כחלק ממעשה ההמתה מהווה</w:t>
      </w:r>
      <w:r>
        <w:rPr>
          <w:rtl w:val="true"/>
        </w:rPr>
        <w:t xml:space="preserve">,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אינדיקציה לכך שלא מדובר במעשה ספונטני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קור רוחו של המערער לאחר המעשה</w:t>
      </w:r>
      <w:r>
        <w:rPr>
          <w:rtl w:val="true"/>
        </w:rPr>
        <w:t xml:space="preserve">, </w:t>
      </w:r>
      <w:r>
        <w:rPr>
          <w:rtl w:val="true"/>
        </w:rPr>
        <w:t>כפי שעולה מכך שניקה את הסכין ואת הרצפה מדם ומכך שביקש מהשכן לעזור לו להיפטר מגופת המנוח</w:t>
      </w:r>
      <w:r>
        <w:rPr>
          <w:rtl w:val="true"/>
        </w:rPr>
        <w:t xml:space="preserve">, </w:t>
      </w:r>
      <w:r>
        <w:rPr>
          <w:rtl w:val="true"/>
        </w:rPr>
        <w:t>מלמד אף הוא על כך שהרצח בוצע בשקילה ממשית ולא במסגרת סערת רגשות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לבחינת הדין המקל עם המערער 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נטען כי טענה זו לא הועלתה בבית המשפט המחוזי</w:t>
      </w:r>
      <w:r>
        <w:rPr>
          <w:rtl w:val="true"/>
        </w:rPr>
        <w:t xml:space="preserve">. </w:t>
      </w:r>
      <w:r>
        <w:rPr>
          <w:rtl w:val="true"/>
        </w:rPr>
        <w:t>ממילא בהתאם לפרשנות הסעיף בבית משפט זה לא מתקיימות נסיבות שבשלהן מעשה הרצח אינו מבטא דרגת אשמה חמורה במיוחד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יוחסה למערער עבירת רצח בכוונה תחילה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עובר לרפורמה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>מאחר שכתב האישום הוגש בסמוך לפני כניסת הרפורמה לתוקף</w:t>
      </w:r>
      <w:r>
        <w:rPr>
          <w:rtl w:val="true"/>
        </w:rPr>
        <w:t xml:space="preserve">, </w:t>
      </w:r>
      <w:r>
        <w:rPr>
          <w:rtl w:val="true"/>
        </w:rPr>
        <w:t xml:space="preserve">הוא נוסח גם בהתאם להגדרות עבירת הרצח בנסיבות מחמירות </w:t>
      </w:r>
      <w:r>
        <w:rPr>
          <w:rtl w:val="true"/>
        </w:rPr>
        <w:t>–</w:t>
      </w:r>
      <w:r>
        <w:rPr>
          <w:rtl w:val="true"/>
        </w:rPr>
        <w:t xml:space="preserve"> הן 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שעניינו אכזריות מיוחדת</w:t>
      </w:r>
      <w:r>
        <w:rPr>
          <w:rtl w:val="true"/>
        </w:rPr>
        <w:t xml:space="preserve">, </w:t>
      </w:r>
      <w:r>
        <w:rPr>
          <w:rtl w:val="true"/>
        </w:rPr>
        <w:t>אשר ממנו חזרה בה המשיבה בתום פרשת התביעה</w:t>
      </w:r>
      <w:r>
        <w:rPr>
          <w:rtl w:val="true"/>
        </w:rPr>
        <w:t xml:space="preserve">; </w:t>
      </w:r>
      <w:r>
        <w:rPr>
          <w:rtl w:val="true"/>
        </w:rPr>
        <w:t xml:space="preserve">הן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שעניינו תכנון או שקילה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 xml:space="preserve">עובר למועד תחולת הרפורמה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על כן</w:t>
      </w:r>
      <w:r>
        <w:rPr>
          <w:rtl w:val="true"/>
        </w:rPr>
        <w:t xml:space="preserve"> </w:t>
      </w:r>
      <w:r>
        <w:rPr>
          <w:rtl w:val="true"/>
        </w:rPr>
        <w:t xml:space="preserve">הרפורמה תחול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עניינ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מו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11-10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ייכנסו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אזי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בהתקיים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>" 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לחלופין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ייקבע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בהמתה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–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הווה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להחיל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כלליה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המערער הודה בביצוע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אולם טען כי יש להחיל בעניינו את עבירת הרצח הבסיסית כהגדרתה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וכי לא חלה עבירת הרצח בנסיבות מחמירות לפי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לבחינת התקיימות הנסיבה המחמירה המנויה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אפנה כעת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0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1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המסגרת הנורמטיבית בעניינה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עמדתי לא אחת בפסקי דין שניתנו על ידי מאז כניסתה לתוקף</w:t>
      </w:r>
      <w:r>
        <w:rPr>
          <w:rtl w:val="true"/>
        </w:rPr>
        <w:t xml:space="preserve">. </w:t>
      </w:r>
      <w:r>
        <w:rPr>
          <w:rtl w:val="true"/>
        </w:rPr>
        <w:t>בעניין שלפנינו</w:t>
      </w:r>
      <w:r>
        <w:rPr>
          <w:rtl w:val="true"/>
        </w:rPr>
        <w:t xml:space="preserve">, </w:t>
      </w:r>
      <w:r>
        <w:rPr>
          <w:rtl w:val="true"/>
        </w:rPr>
        <w:t>ארחיב בהיבט נוסף ביחס לדין החדש לאחר הרפורמה בעבירות ההמתה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לעיל ו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נכנסה לתוקף 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ובמסגרתה עוצבו ונחקקו מחדש עבירות ההמתה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הצורך ברפורמה התעורר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על רקע ביקורת על גדריהן העמומים של עבירות ההמתה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646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לשיטת המבקרים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בנוסחו קודם הרפורמה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התפרסה באופן רחב מדי על מקרים שבהם לא מוצדק לתייג את הנאשם כרוצח ולגזור עליו עונש מאסר עולם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ובד בבד פסחה על מעשי המתה חמורים אשר בהם ראוי לסווג את הנאשם כרוצח ולהענישו בהתאם לכך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בייחוד</w:t>
      </w:r>
      <w:r>
        <w:rPr>
          <w:rtl w:val="true"/>
        </w:rPr>
        <w:t xml:space="preserve">, </w:t>
      </w:r>
      <w:r>
        <w:rPr>
          <w:rtl w:val="true"/>
        </w:rPr>
        <w:t xml:space="preserve">הופנו חיצי ביקורת כלפי גדרי עבירת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tl w:val="true"/>
        </w:rPr>
        <w:t xml:space="preserve"> אשר נמנתה </w:t>
      </w:r>
      <w:hyperlink r:id="rId5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הקודם</w:t>
      </w:r>
      <w:r>
        <w:rPr>
          <w:rtl w:val="true"/>
        </w:rPr>
        <w:t xml:space="preserve">. </w:t>
      </w:r>
      <w:r>
        <w:rPr>
          <w:rtl w:val="true"/>
        </w:rPr>
        <w:t>עבירה זו נועדה לבטא עיקרון בסיסי שלפיו ישנה אשמה חמורה במיוחד במעשה רצח שנעשה לאחר תכנון או הליך שקילה</w:t>
      </w:r>
      <w:r>
        <w:rPr>
          <w:rtl w:val="true"/>
        </w:rPr>
        <w:t xml:space="preserve">. </w:t>
      </w:r>
      <w:r>
        <w:rPr>
          <w:rtl w:val="true"/>
        </w:rPr>
        <w:t>במשפט הישראלי</w:t>
      </w:r>
      <w:r>
        <w:rPr>
          <w:rtl w:val="true"/>
        </w:rPr>
        <w:t xml:space="preserve">, </w:t>
      </w:r>
      <w:r>
        <w:rPr>
          <w:rtl w:val="true"/>
        </w:rPr>
        <w:t xml:space="preserve">יסוד הכוונה </w:t>
      </w:r>
      <w:r>
        <w:rPr>
          <w:rFonts w:ascii="Century" w:hAnsi="Century" w:cs="Century"/>
          <w:sz w:val="22"/>
          <w:sz w:val="22"/>
          <w:rtl w:val="true"/>
        </w:rPr>
        <w:t>תחילה התאפיין בשיקול הדעת הנד</w:t>
      </w:r>
      <w:r>
        <w:rPr>
          <w:rtl w:val="true"/>
        </w:rPr>
        <w:t>רש לגיבושה</w:t>
      </w:r>
      <w:r>
        <w:rPr>
          <w:rtl w:val="true"/>
        </w:rPr>
        <w:t xml:space="preserve">, </w:t>
      </w:r>
      <w:r>
        <w:rPr>
          <w:rtl w:val="true"/>
        </w:rPr>
        <w:t xml:space="preserve">אשר נועד להבחין בין הכוונה תחילה </w:t>
      </w:r>
      <w:r>
        <w:rPr>
          <w:rFonts w:ascii="Century" w:hAnsi="Century" w:cs="Century"/>
          <w:sz w:val="22"/>
          <w:sz w:val="22"/>
          <w:rtl w:val="true"/>
        </w:rPr>
        <w:t>לבין הכוונה הספונטנית המספיקה</w:t>
      </w:r>
      <w:r>
        <w:rPr>
          <w:rtl w:val="true"/>
        </w:rPr>
        <w:t xml:space="preserve"> לעבירת ההריגה </w:t>
      </w:r>
      <w:r>
        <w:rPr>
          <w:rtl w:val="true"/>
        </w:rPr>
        <w:t>(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 </w:t>
      </w:r>
      <w:r>
        <w:rPr>
          <w:rtl w:val="true"/>
        </w:rPr>
        <w:t>וחאלד</w:t>
      </w:r>
      <w:r>
        <w:rPr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357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במרוצת השנים בפסיקת בית משפט זה נמתחה והורחבה יריעת תחולת עבירת הרצח בכוונה תחילה עד אשר באו בשעריה מרבית המקרים של המתה בכוונה</w:t>
      </w:r>
      <w:r>
        <w:rPr>
          <w:rtl w:val="true"/>
        </w:rPr>
        <w:t xml:space="preserve">, </w:t>
      </w:r>
      <w:r>
        <w:rPr>
          <w:rtl w:val="true"/>
        </w:rPr>
        <w:t>וזאת תחת עבירת ההריגה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בזה אחר זה</w:t>
      </w:r>
      <w:r>
        <w:rPr>
          <w:rtl w:val="true"/>
        </w:rPr>
        <w:t xml:space="preserve">, </w:t>
      </w:r>
      <w:r>
        <w:rPr>
          <w:rtl w:val="true"/>
        </w:rPr>
        <w:t xml:space="preserve">צומצמו דרישות שלושת יסודות עבירת הרצח בכוונה תחילה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היסוד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פורש כך שמדובר ביסוד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טהור</w:t>
      </w:r>
      <w:r>
        <w:rPr>
          <w:rtl w:val="true"/>
        </w:rPr>
        <w:t xml:space="preserve"> באופן שנדרשות פעולות הכנה פיזיות לקראת הרצח</w:t>
      </w:r>
      <w:r>
        <w:rPr>
          <w:rtl w:val="true"/>
        </w:rPr>
        <w:t xml:space="preserve">, </w:t>
      </w:r>
      <w:r>
        <w:rPr>
          <w:rtl w:val="true"/>
        </w:rPr>
        <w:t>מבלי שנדרשת כל הכנה נפשית</w:t>
      </w:r>
      <w:r>
        <w:rPr>
          <w:rtl w:val="true"/>
        </w:rPr>
        <w:t xml:space="preserve">, </w:t>
      </w:r>
      <w:r>
        <w:rPr>
          <w:rtl w:val="true"/>
        </w:rPr>
        <w:t>רגשית או שכלית</w:t>
      </w:r>
      <w:r>
        <w:rPr>
          <w:rtl w:val="true"/>
        </w:rPr>
        <w:t xml:space="preserve">. </w:t>
      </w:r>
      <w:r>
        <w:rPr>
          <w:rtl w:val="true"/>
        </w:rPr>
        <w:t>עוד נקבע כי יסוד זה יכול להתגבש גם תוך כדי הליך ההמתה וכן כי נדירים המקרים בהם התקיימה החלטה להמית אך לא התקיים יסוד ההכנה</w:t>
      </w:r>
      <w:r>
        <w:rPr>
          <w:rtl w:val="true"/>
        </w:rPr>
        <w:t xml:space="preserve">. </w:t>
      </w:r>
      <w:r>
        <w:rPr>
          <w:rtl w:val="true"/>
        </w:rPr>
        <w:t>היסוד השני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פורש כך שעל התקיימותו במישור ההכרתי ובמישור החפצי ניתן ללמוד באמצעות בחינת טיב המעשה ונסיבות ביצוע העבירה</w:t>
      </w:r>
      <w:r>
        <w:rPr>
          <w:rtl w:val="true"/>
        </w:rPr>
        <w:t xml:space="preserve">; </w:t>
      </w:r>
      <w:r>
        <w:rPr>
          <w:rtl w:val="true"/>
        </w:rPr>
        <w:t>והוא יכול אף להתגבש תוך כדי מעשה ההמתה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ביסוד השלישי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קינטור</w:t>
      </w:r>
      <w:r>
        <w:rPr>
          <w:rtl w:val="true"/>
        </w:rPr>
        <w:t xml:space="preserve">, </w:t>
      </w:r>
      <w:r>
        <w:rPr>
          <w:rtl w:val="true"/>
        </w:rPr>
        <w:t>לצד דרישה סובייקטיבית כי הקינטור השפיע בפועל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התווספה דרישה אובייקטיבית כי הקינטור אף היה משפיע על </w:t>
      </w:r>
      <w:r>
        <w:rPr>
          <w:rtl w:val="true"/>
        </w:rPr>
        <w:t>"</w:t>
      </w:r>
      <w:r>
        <w:rPr>
          <w:rtl w:val="true"/>
        </w:rPr>
        <w:t>אדם מן היישוב</w:t>
      </w:r>
      <w:r>
        <w:rPr>
          <w:rtl w:val="true"/>
        </w:rPr>
        <w:t>" 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נספח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–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 –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10-1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שילוב דברים זה</w:t>
      </w:r>
      <w:r>
        <w:rPr>
          <w:rtl w:val="true"/>
        </w:rPr>
        <w:t xml:space="preserve">, </w:t>
      </w:r>
      <w:r>
        <w:rPr>
          <w:rtl w:val="true"/>
        </w:rPr>
        <w:t>גרם לכך שעבירת הרצח בכוונה תחילה הורחבה במידה יתרה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שהוביל לניסוחה מחדש של עבירת הרצח במסגרת הרפורמה בעבירות ההמתה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הצעת</w:t>
      </w:r>
      <w:r>
        <w:rPr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פרוטוקול ישיבה </w:t>
      </w:r>
      <w:r>
        <w:rPr>
          <w:rFonts w:cs="FrankRuehl" w:ascii="FrankRuehl" w:hAnsi="FrankRuehl"/>
          <w:color w:val="000000"/>
          <w:sz w:val="28"/>
          <w:shd w:fill="FFFFFF" w:val="clear"/>
        </w:rPr>
        <w:t>239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 ועדת החוקה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חוק ומשפט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הכנסת 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hd w:fill="FFFFFF" w:val="clear"/>
        </w:rPr>
        <w:t>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4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19.7.2016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הרפורמה נחקקו שתי עבירות רצח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אשר נועדה לחול על מקרים חמורים של המתת אדם </w:t>
      </w:r>
      <w:r>
        <w:rPr>
          <w:rtl w:val="true"/>
        </w:rPr>
        <w:t>(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המיועדת למקרים החמורים ביותר של המתת אדם</w:t>
      </w:r>
      <w:r>
        <w:rPr>
          <w:rtl w:val="true"/>
        </w:rPr>
        <w:t xml:space="preserve">, </w:t>
      </w:r>
      <w:r>
        <w:rPr>
          <w:rtl w:val="true"/>
        </w:rPr>
        <w:t xml:space="preserve">המגלמים חומרה מוסרית מיוחדת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Fonts w:cs="Miriam"/>
          <w:b/>
          <w:b/>
          <w:spacing w:val="0"/>
          <w:szCs w:val="24"/>
          <w:rtl w:val="true"/>
        </w:rPr>
        <w:t>דברי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ההסבר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169</w:t>
      </w:r>
      <w:r>
        <w:rPr>
          <w:rtl w:val="true"/>
        </w:rPr>
        <w:t xml:space="preserve">; </w:t>
      </w:r>
      <w:r>
        <w:rPr>
          <w:rtl w:val="true"/>
        </w:rPr>
        <w:t>מרים</w:t>
      </w:r>
      <w:r>
        <w:rPr>
          <w:rtl w:val="true"/>
        </w:rPr>
        <w:t xml:space="preserve"> </w:t>
      </w:r>
      <w:r>
        <w:rPr>
          <w:rtl w:val="true"/>
        </w:rPr>
        <w:t>גור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משפטים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ראשונה מבין הנסיבות שנחקקו במסגרת 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היא הנסיבה המנויה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באה </w:t>
      </w:r>
      <w:r>
        <w:rPr>
          <w:rFonts w:ascii="Century" w:hAnsi="Century" w:cs="Century"/>
          <w:rtl w:val="true"/>
        </w:rPr>
        <w:t>בנעלי עבירת הרצח בכוונה תחילה מבחינה מהותית ורעיונית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נועדה לשנות מדרישת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כמשמעותה ופרשנותה עובר לרפורמה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כך בלשון סעיף החוק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היחס שבין עבירת הרצח בכוונה תחילה לנסיבה החדשה שנקבעה בגדרי עבירת הרצח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הובהר בדיוני ועדת 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חוק ומשפט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שקבענו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תחליף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מנוסחת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  <w:r>
        <w:rPr>
          <w:rFonts w:cs="Century" w:ascii="Century" w:hAnsi="Century"/>
          <w:rtl w:val="true"/>
        </w:rPr>
        <w:t>" 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פרוטוקול ישיבה </w:t>
      </w:r>
      <w:r>
        <w:rPr>
          <w:rFonts w:cs="FrankRuehl" w:ascii="FrankRuehl" w:hAnsi="FrankRuehl"/>
          <w:color w:val="000000"/>
          <w:sz w:val="28"/>
          <w:shd w:fill="FFFFFF" w:val="clear"/>
        </w:rPr>
        <w:t>404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של ועדת החוקה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חוק ומשפט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הכנסת 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cs="FrankRuehl" w:ascii="FrankRuehl" w:hAnsi="FrankRuehl"/>
          <w:color w:val="000000"/>
          <w:sz w:val="28"/>
          <w:shd w:fill="FFFFFF" w:val="clear"/>
        </w:rPr>
        <w:t>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27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cs="FrankRuehl" w:ascii="FrankRuehl" w:hAnsi="FrankRuehl"/>
          <w:color w:val="000000"/>
          <w:sz w:val="28"/>
          <w:shd w:fill="FFFFFF" w:val="clear"/>
        </w:rPr>
        <w:t>11.7.2017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כן ראו</w:t>
      </w:r>
      <w:r>
        <w:rPr>
          <w:rFonts w:cs="Century" w:ascii="Century" w:hAnsi="Century"/>
          <w:rtl w:val="true"/>
        </w:rPr>
        <w:t xml:space="preserve">: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3223/21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2.3.2022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שינוי משמעותי ומרכזי שהנסיבה המחמירה החילה ביחס לעבירת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מתבטא בכך שהיא נועדה להותיר מחוץ לגדר תחולתה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מקרים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בכוונה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שנוצרה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באופן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ספונטני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כגון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לאחר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קנטור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סובייקטיבי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ששלל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תכנון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ושקילה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דברי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ההסבר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170</w:t>
      </w:r>
      <w:r>
        <w:rPr>
          <w:rtl w:val="true"/>
        </w:rPr>
        <w:t xml:space="preserve">). </w:t>
      </w:r>
      <w:r>
        <w:rPr>
          <w:rtl w:val="true"/>
        </w:rPr>
        <w:t>משמעות הדברים היא חידוד ההבחנה בין רצח שבוצע לאחר תכנון או לאחר הליך ממשי של שקילה וגיבוש החלטה להמית את הקורבן לבין רצח שבוצע באופן ספונטני</w:t>
      </w:r>
      <w:r>
        <w:rPr>
          <w:rtl w:val="true"/>
        </w:rPr>
        <w:t xml:space="preserve">, </w:t>
      </w:r>
      <w:r>
        <w:rPr>
          <w:rtl w:val="true"/>
        </w:rPr>
        <w:t xml:space="preserve">ללא הפעלת שיקול דעת של ממש בהקשר זה ואף ללא פעולות הכנה מקדימות לצורך ביצוע הרצח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זרסנאי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מקרים של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כוונה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ספונטנית</w:t>
      </w:r>
      <w:r>
        <w:rPr>
          <w:rtl w:val="true"/>
        </w:rPr>
        <w:t xml:space="preserve">" </w:t>
      </w:r>
      <w:r>
        <w:rPr>
          <w:rtl w:val="true"/>
        </w:rPr>
        <w:t xml:space="preserve">יחסו עתה תחת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לפי יסוד נפשי של כוונה</w:t>
      </w:r>
      <w:r>
        <w:rPr>
          <w:rtl w:val="true"/>
        </w:rPr>
        <w:t xml:space="preserve">, </w:t>
      </w:r>
      <w:r>
        <w:rPr>
          <w:rtl w:val="true"/>
        </w:rPr>
        <w:t xml:space="preserve">המנויה </w:t>
      </w:r>
      <w:hyperlink r:id="rId6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המחוקק הבהיר אפוא בדברי ההסבר לחוק מה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כלול</w:t>
      </w:r>
      <w:r>
        <w:rPr>
          <w:rtl w:val="true"/>
        </w:rPr>
        <w:t xml:space="preserve"> בגדרי הנסיבה המחמירה </w:t>
      </w:r>
      <w:r>
        <w:rPr>
          <w:rtl w:val="true"/>
        </w:rPr>
        <w:t>–</w:t>
      </w:r>
      <w:r>
        <w:rPr>
          <w:rtl w:val="true"/>
        </w:rPr>
        <w:t xml:space="preserve"> מקרים של המתה בכוונה ספונטנית</w:t>
      </w:r>
      <w:r>
        <w:rPr>
          <w:rtl w:val="true"/>
        </w:rPr>
        <w:t xml:space="preserve">; </w:t>
      </w:r>
      <w:r>
        <w:rPr>
          <w:rtl w:val="true"/>
        </w:rPr>
        <w:t xml:space="preserve">עתה נדרשים אנו לבחון את הרכיבים הפוזיטיביים להתקיימות אחת מבין החלופות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שהדגשתי לא אחת</w:t>
      </w:r>
      <w:r>
        <w:rPr>
          <w:rtl w:val="true"/>
        </w:rPr>
        <w:t xml:space="preserve">, </w:t>
      </w:r>
      <w:r>
        <w:rPr>
          <w:rtl w:val="true"/>
        </w:rPr>
        <w:t>יציקת תוכן ומשמעות לגדרי עבירות ההמתה לאחר הרפורמה</w:t>
      </w:r>
      <w:r>
        <w:rPr>
          <w:rtl w:val="true"/>
        </w:rPr>
        <w:t xml:space="preserve">, </w:t>
      </w:r>
      <w:r>
        <w:rPr>
          <w:rtl w:val="true"/>
        </w:rPr>
        <w:t>נעשית עקב בצד אגודל ממקרה אחד למשנהו ובהתאם לתשתית העובדתית הקונקרטית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בהקשר של הנסיבה המחמירה המנויה </w:t>
      </w:r>
      <w:hyperlink r:id="rId6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הדגשתי לאחרונה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וחלופותיו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המגלמים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בהרחבה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ההתחלה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לרפורמה</w:t>
      </w:r>
      <w:r>
        <w:rPr>
          <w:rtl w:val="true"/>
        </w:rPr>
        <w:t>" 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2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 פשט לשון הנסיבה המחמירה</w:t>
      </w:r>
      <w:r>
        <w:rPr>
          <w:rtl w:val="true"/>
        </w:rPr>
        <w:t xml:space="preserve">, </w:t>
      </w:r>
      <w:r>
        <w:rPr>
          <w:rtl w:val="true"/>
        </w:rPr>
        <w:t xml:space="preserve">די בהתקיימות אחת מבין חלופות הסעיף בלבד כדי לבוא בשערי הנסיבה המחמירה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על מנת להעניק פרשנות לחלופות הנסיבה המחמירה</w:t>
      </w:r>
      <w:r>
        <w:rPr>
          <w:rtl w:val="true"/>
        </w:rPr>
        <w:t xml:space="preserve">, </w:t>
      </w:r>
      <w:r>
        <w:rPr>
          <w:rtl w:val="true"/>
        </w:rPr>
        <w:t>נפנה מבטנו ליסודות וטעמי החומרה הנודעת למעשה המתה שבוצע לאחר תכנון או הליך ממשי של שקילה</w:t>
      </w:r>
      <w:r>
        <w:rPr>
          <w:rtl w:val="true"/>
        </w:rPr>
        <w:t xml:space="preserve">. </w:t>
      </w:r>
      <w:r>
        <w:rPr>
          <w:rtl w:val="true"/>
        </w:rPr>
        <w:t>ביסוד עיקרון זה</w:t>
      </w:r>
      <w:r>
        <w:rPr>
          <w:rtl w:val="true"/>
        </w:rPr>
        <w:t xml:space="preserve">, </w:t>
      </w:r>
      <w:r>
        <w:rPr>
          <w:rtl w:val="true"/>
        </w:rPr>
        <w:t>מספר טעמים אשר ניתן לחלקם לשתי קבוצות</w:t>
      </w:r>
      <w:r>
        <w:rPr>
          <w:rtl w:val="true"/>
        </w:rPr>
        <w:t xml:space="preserve">: </w:t>
      </w:r>
      <w:r>
        <w:rPr>
          <w:rtl w:val="true"/>
        </w:rPr>
        <w:t xml:space="preserve">קבוצה ראשונה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tl w:val="true"/>
        </w:rPr>
        <w:t xml:space="preserve"> לבצע את מעשה ההמתה </w:t>
      </w:r>
      <w:r>
        <w:rPr>
          <w:rtl w:val="true"/>
        </w:rPr>
        <w:t>–</w:t>
      </w:r>
      <w:r>
        <w:rPr>
          <w:rtl w:val="true"/>
        </w:rPr>
        <w:t xml:space="preserve"> חומרת אשמתו של הנאשם נעוצה בכך שהתגבר על עכבות מוסריות וערכיות קודם ביצוע מעשה ההמתה</w:t>
      </w:r>
      <w:r>
        <w:rPr>
          <w:rtl w:val="true"/>
        </w:rPr>
        <w:t xml:space="preserve">, </w:t>
      </w:r>
      <w:r>
        <w:rPr>
          <w:rtl w:val="true"/>
        </w:rPr>
        <w:t>והסיר מדרכו משוכות אתיות לצורך ביצוע הרצח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מתעצמת הזדהות הרוצח עם מעשה העבירה</w:t>
      </w:r>
      <w:r>
        <w:rPr>
          <w:rtl w:val="true"/>
        </w:rPr>
        <w:t xml:space="preserve">, </w:t>
      </w:r>
      <w:r>
        <w:rPr>
          <w:rtl w:val="true"/>
        </w:rPr>
        <w:t>כאשר הבחירה לפגוע בערך חיי האדם היא בחירה שלמה ומוחלטת</w:t>
      </w:r>
      <w:r>
        <w:rPr>
          <w:rtl w:val="true"/>
        </w:rPr>
        <w:t xml:space="preserve">, </w:t>
      </w:r>
      <w:r>
        <w:rPr>
          <w:rtl w:val="true"/>
        </w:rPr>
        <w:t>לאחר שהתלבט ושקל אם לעשות כן</w:t>
      </w:r>
      <w:r>
        <w:rPr>
          <w:rtl w:val="true"/>
        </w:rPr>
        <w:t xml:space="preserve">. </w:t>
      </w:r>
      <w:r>
        <w:rPr>
          <w:rtl w:val="true"/>
        </w:rPr>
        <w:t xml:space="preserve">קבוצה שנייה </w:t>
      </w:r>
      <w:r>
        <w:rPr>
          <w:rtl w:val="true"/>
        </w:rPr>
        <w:t>–</w:t>
      </w:r>
      <w:r>
        <w:rPr>
          <w:rtl w:val="true"/>
        </w:rPr>
        <w:t xml:space="preserve"> תוכנית הנאשם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tl w:val="true"/>
        </w:rPr>
        <w:t xml:space="preserve"> לבצע את מעשה ההמתה </w:t>
      </w:r>
      <w:r>
        <w:rPr>
          <w:rtl w:val="true"/>
        </w:rPr>
        <w:t>–</w:t>
      </w:r>
      <w:r>
        <w:rPr>
          <w:rtl w:val="true"/>
        </w:rPr>
        <w:t xml:space="preserve"> חומרת אשמתו של הנאשם ניכרת </w:t>
      </w:r>
      <w:r>
        <w:rPr>
          <w:rtl w:val="true"/>
        </w:rPr>
        <w:t>בנחישותו</w:t>
      </w:r>
      <w:r>
        <w:rPr>
          <w:rtl w:val="true"/>
        </w:rPr>
        <w:t xml:space="preserve"> </w:t>
      </w:r>
      <w:r>
        <w:rPr>
          <w:rtl w:val="true"/>
        </w:rPr>
        <w:t>לביצוע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רקם</w:t>
      </w:r>
      <w:r>
        <w:rPr>
          <w:rtl w:val="true"/>
        </w:rPr>
        <w:t xml:space="preserve"> </w:t>
      </w:r>
      <w:r>
        <w:rPr>
          <w:rtl w:val="true"/>
        </w:rPr>
        <w:t>תוכנית</w:t>
      </w:r>
      <w:r>
        <w:rPr>
          <w:rtl w:val="true"/>
        </w:rPr>
        <w:t xml:space="preserve"> </w:t>
      </w:r>
      <w:r>
        <w:rPr>
          <w:rtl w:val="true"/>
        </w:rPr>
        <w:t>להוצאת</w:t>
      </w:r>
      <w:r>
        <w:rPr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הכין את צעדיו לצורך כך וכלכל היטב את מעשיו להגשמת תוכנית ביצוע הרצח</w:t>
      </w:r>
      <w:r>
        <w:rPr>
          <w:rtl w:val="true"/>
        </w:rPr>
        <w:t xml:space="preserve">. </w:t>
      </w:r>
      <w:r>
        <w:rPr>
          <w:rtl w:val="true"/>
        </w:rPr>
        <w:t>התוכנית מגלה כי הנאשם מעדיף את מימוש מטרותיו על פני ערך חיי קורבן העבירה</w:t>
      </w:r>
      <w:r>
        <w:rPr>
          <w:rtl w:val="true"/>
        </w:rPr>
        <w:t xml:space="preserve">, </w:t>
      </w:r>
      <w:r>
        <w:rPr>
          <w:rtl w:val="true"/>
        </w:rPr>
        <w:t>ואף חושפת את מסוכנותו הרבה לציבור הטמונה בתכניתו הקטלנית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לגדרי החלופות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</w:t>
      </w:r>
      <w:r>
        <w:rPr>
          <w:rtl w:val="true"/>
        </w:rPr>
        <w:t xml:space="preserve">?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יסוד ההכנה שבגדרי עבירת הרצח בכוונה תחילה</w:t>
      </w:r>
      <w:r>
        <w:rPr>
          <w:rtl w:val="true"/>
        </w:rPr>
        <w:t xml:space="preserve">, </w:t>
      </w:r>
      <w:r>
        <w:rPr>
          <w:rtl w:val="true"/>
        </w:rPr>
        <w:t>עובר לרפורמה</w:t>
      </w:r>
      <w:r>
        <w:rPr>
          <w:rtl w:val="true"/>
        </w:rPr>
        <w:t xml:space="preserve">, </w:t>
      </w:r>
      <w:r>
        <w:rPr>
          <w:rtl w:val="true"/>
        </w:rPr>
        <w:t>דולל וצומצם לכך שמדובר בהכנה פיזית אשר יכולה להתגבש אף בעיצומה של פעולת הקטילה</w:t>
      </w:r>
      <w:r>
        <w:rPr>
          <w:rtl w:val="true"/>
        </w:rPr>
        <w:t xml:space="preserve">. </w:t>
      </w:r>
      <w:r>
        <w:rPr>
          <w:rtl w:val="true"/>
        </w:rPr>
        <w:t xml:space="preserve">ניתן לומר בבטחה כי רכיב זה שונה ונוסח מחדש במספר אופנים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במישור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עיתוי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 xml:space="preserve">לשון הסעיף דורשת כי מעשה הרצח בוצע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תכנון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נדרש תכנון מוקדם למעשה הרצח</w:t>
      </w:r>
      <w:r>
        <w:rPr>
          <w:rtl w:val="true"/>
        </w:rPr>
        <w:t xml:space="preserve">, </w:t>
      </w:r>
      <w:r>
        <w:rPr>
          <w:rtl w:val="true"/>
        </w:rPr>
        <w:t>אשר יתקיים מבעוד מועד וקודם למעשה ההמתה</w:t>
      </w:r>
      <w:r>
        <w:rPr>
          <w:rtl w:val="true"/>
        </w:rPr>
        <w:t xml:space="preserve">, </w:t>
      </w:r>
      <w:r>
        <w:rPr>
          <w:rtl w:val="true"/>
        </w:rPr>
        <w:t xml:space="preserve">כך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tl w:val="true"/>
        </w:rPr>
        <w:t xml:space="preserve"> יכול להתגבש במהלך מעשה ההמתה עצמו כפי שהוכר עובר לרפורמה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בהתאם לטעמים ביסוד החומרה ראוי שיתקיים רכיב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tl w:val="true"/>
        </w:rPr>
        <w:t xml:space="preserve"> בתכנון מעשה הרצח</w:t>
      </w:r>
      <w:r>
        <w:rPr>
          <w:rtl w:val="true"/>
        </w:rPr>
        <w:t xml:space="preserve">. </w:t>
      </w:r>
      <w:r>
        <w:rPr>
          <w:rtl w:val="true"/>
        </w:rPr>
        <w:t>אמנם ישנו קושי להגדיר במפורש את טיב התכנון</w:t>
      </w:r>
      <w:r>
        <w:rPr>
          <w:rtl w:val="true"/>
        </w:rPr>
        <w:t xml:space="preserve">, </w:t>
      </w:r>
      <w:r>
        <w:rPr>
          <w:rtl w:val="true"/>
        </w:rPr>
        <w:t>אולם סבורני כי נדרש תכנון איכותי אשר יכול להתבטא</w:t>
      </w:r>
      <w:r>
        <w:rPr>
          <w:rtl w:val="true"/>
        </w:rPr>
        <w:t xml:space="preserve">, </w:t>
      </w:r>
      <w:r>
        <w:rPr>
          <w:rtl w:val="true"/>
        </w:rPr>
        <w:t>למשל ובין היתר</w:t>
      </w:r>
      <w:r>
        <w:rPr>
          <w:rtl w:val="true"/>
        </w:rPr>
        <w:t xml:space="preserve">, </w:t>
      </w:r>
      <w:r>
        <w:rPr>
          <w:rtl w:val="true"/>
        </w:rPr>
        <w:t>בהכנת כלי הרצח</w:t>
      </w:r>
      <w:r>
        <w:rPr>
          <w:rtl w:val="true"/>
        </w:rPr>
        <w:t xml:space="preserve">, </w:t>
      </w:r>
      <w:r>
        <w:rPr>
          <w:rtl w:val="true"/>
        </w:rPr>
        <w:t>בחירת עיתוי מתאים לרצח ורקימת תוכנית לביצוע הרצח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פסיקת בית משפט זה לאחר הרפורמה </w:t>
      </w:r>
      <w:r>
        <w:rPr>
          <w:rFonts w:ascii="Century" w:hAnsi="Century" w:cs="Century"/>
          <w:sz w:val="22"/>
          <w:sz w:val="22"/>
          <w:rtl w:val="true"/>
        </w:rPr>
        <w:t>עולה בקנה אחד עם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הוכר כי על התקיימות החלופה שלפיה מעשה הרצח בוצע לאחר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תכנון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ניתן ללמוד מביצוע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שרשרת</w:t>
      </w:r>
      <w:r>
        <w:rPr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 </w:t>
      </w:r>
      <w:r>
        <w:rPr>
          <w:rtl w:val="true"/>
        </w:rPr>
        <w:t>הדורשות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ומאמץ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); </w:t>
      </w:r>
      <w:r>
        <w:rPr>
          <w:rtl w:val="true"/>
        </w:rPr>
        <w:t xml:space="preserve">הצטיידות בכלי הרצח מבעוד מועד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tl w:val="true"/>
        </w:rPr>
        <w:t xml:space="preserve">)); </w:t>
      </w:r>
      <w:r>
        <w:rPr>
          <w:rtl w:val="true"/>
        </w:rPr>
        <w:t xml:space="preserve">או מהכנת זירת הרצח לקראת ביצוע הרצח וכן הכנת הזירה לקראת הימלטות הנאשם לאחר מכן </w:t>
      </w:r>
      <w:r>
        <w:rPr>
          <w:rtl w:val="true"/>
        </w:rPr>
        <w:t>(</w:t>
      </w:r>
      <w:r>
        <w:rPr>
          <w:rtl w:val="true"/>
        </w:rPr>
        <w:t>ראו פסקי דיני ב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28.6.2022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</w:t>
      </w:r>
      <w:r>
        <w:rPr/>
        <w:t>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</w:t>
      </w:r>
      <w:r>
        <w:rPr>
          <w:rtl w:val="true"/>
        </w:rPr>
        <w:t xml:space="preserve">? </w:t>
      </w:r>
      <w:r>
        <w:rPr>
          <w:rtl w:val="true"/>
        </w:rPr>
        <w:t>לצד החומרה הכרוכה במעשה המתה שבוצע לאחר תכנון מקדים</w:t>
      </w:r>
      <w:r>
        <w:rPr>
          <w:rtl w:val="true"/>
        </w:rPr>
        <w:t xml:space="preserve">, </w:t>
      </w:r>
      <w:r>
        <w:rPr>
          <w:rtl w:val="true"/>
        </w:rPr>
        <w:t xml:space="preserve">המחוקק הכיר אף בחומרה היתרה המתבטאת במקרים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פרוטוקול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הכנסת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31.10.2017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472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העיתוי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לשון החוק מבהירה כי נדרש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tl w:val="true"/>
        </w:rPr>
        <w:t xml:space="preserve"> של שקילה</w:t>
      </w:r>
      <w:r>
        <w:rPr>
          <w:rtl w:val="true"/>
        </w:rPr>
        <w:t xml:space="preserve">. </w:t>
      </w:r>
      <w:r>
        <w:rPr>
          <w:rtl w:val="true"/>
        </w:rPr>
        <w:t>בדיוני ועדת החוקה</w:t>
      </w:r>
      <w:r>
        <w:rPr>
          <w:rtl w:val="true"/>
        </w:rPr>
        <w:t xml:space="preserve">, </w:t>
      </w:r>
      <w:r>
        <w:rPr>
          <w:rtl w:val="true"/>
        </w:rPr>
        <w:t xml:space="preserve">חוק ומשפט פורשה דרישה זו כך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אמיתית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472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25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המוקד לבחינת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הליך השקילה נעוץ אפוא </w:t>
      </w:r>
      <w:r>
        <w:rPr>
          <w:rFonts w:ascii="Century" w:hAnsi="Century" w:cs="Century"/>
          <w:sz w:val="22"/>
          <w:sz w:val="22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איכות</w:t>
      </w:r>
      <w:r>
        <w:rPr>
          <w:rtl w:val="true"/>
        </w:rPr>
        <w:t xml:space="preserve"> השקילה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ניתן למנות </w:t>
      </w:r>
      <w:r>
        <w:rPr>
          <w:rtl w:val="true"/>
        </w:rPr>
        <w:t>רשימה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וגנאים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375-374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tl w:val="true"/>
        </w:rPr>
        <w:t xml:space="preserve">.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כהרף</w:t>
      </w:r>
      <w:r>
        <w:rPr>
          <w:rtl w:val="true"/>
        </w:rPr>
        <w:t>-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",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שקילה</w:t>
      </w:r>
      <w:r>
        <w:rPr>
          <w:rtl w:val="true"/>
        </w:rPr>
        <w:t xml:space="preserve">"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כאנקדוטה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בשלביות מ</w:t>
      </w:r>
      <w:r>
        <w:rPr>
          <w:rtl w:val="true"/>
        </w:rPr>
        <w:t>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>-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ורבדיה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הכנה</w:t>
      </w:r>
      <w:r>
        <w:rPr>
          <w:rtl w:val="true"/>
        </w:rPr>
        <w:t xml:space="preserve">"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כדרישתה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שכלית</w:t>
      </w:r>
      <w:r>
        <w:rPr>
          <w:rtl w:val="true"/>
        </w:rPr>
        <w:t xml:space="preserve">,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המתלווה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>" 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כרך א</w:t>
      </w:r>
      <w:r>
        <w:rPr>
          <w:rFonts w:eastAsia="Arial TUR;Arial" w:cs="Arial TUR;Arial"/>
          <w:rtl w:val="true"/>
        </w:rPr>
        <w:t xml:space="preserve"> </w:t>
      </w:r>
      <w:r>
        <w:rPr/>
        <w:t>697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פלר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ובעיצומו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קטטה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מרגיז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התגבשה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הסיטואציה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472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בדרך זו</w:t>
      </w:r>
      <w:r>
        <w:rPr>
          <w:rtl w:val="true"/>
        </w:rPr>
        <w:t xml:space="preserve">, </w:t>
      </w:r>
      <w:r>
        <w:rPr>
          <w:rtl w:val="true"/>
        </w:rPr>
        <w:t>בפסיקת בית ה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 xml:space="preserve">לאחר הרפורמה </w:t>
      </w:r>
      <w:r>
        <w:rPr>
          <w:rtl w:val="true"/>
        </w:rPr>
        <w:t>הוכר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התקיימות</w:t>
      </w:r>
      <w:r>
        <w:rPr>
          <w:rtl w:val="true"/>
        </w:rPr>
        <w:t xml:space="preserve"> </w:t>
      </w:r>
      <w:r>
        <w:rPr>
          <w:rtl w:val="true"/>
        </w:rPr>
        <w:t>החלופה</w:t>
      </w:r>
      <w:r>
        <w:rPr>
          <w:rtl w:val="true"/>
        </w:rPr>
        <w:t xml:space="preserve"> </w:t>
      </w:r>
      <w:r>
        <w:rPr>
          <w:rtl w:val="true"/>
        </w:rPr>
        <w:t>שלפיה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הליך ממשי של שקילה וגיבוש החלטה להמית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מפרק הזמן הממושך עליו נפרסה תוכנית ביצוע ההמתה של הנאשם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והשהות שהייתה לנאשם לחזור בו מתכניתו</w:t>
      </w:r>
      <w:r>
        <w:rPr>
          <w:rtl w:val="true"/>
        </w:rPr>
        <w:t xml:space="preserve">, </w:t>
      </w:r>
      <w:r>
        <w:rPr>
          <w:rtl w:val="true"/>
        </w:rPr>
        <w:t xml:space="preserve">בטרם ביצועה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במקרה אחר הבהרתי כי אין בקביעה שלפיה הנאשם נשא עמו אקדח לזירת ההתגוששות וירה במנוח מטווח קצר</w:t>
      </w:r>
      <w:r>
        <w:rPr>
          <w:rtl w:val="true"/>
        </w:rPr>
        <w:t xml:space="preserve">, </w:t>
      </w:r>
      <w:r>
        <w:rPr>
          <w:rtl w:val="true"/>
        </w:rPr>
        <w:t xml:space="preserve">כדי ללמד על הליך ממשי של שקילה וגיבוש החלטה להמית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</w:t>
      </w:r>
      <w:r>
        <w:rPr/>
        <w:t>1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נשוב עתה לנקודת הפתיחה של דיוננו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בדברי ההסבר לחוק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המחוקק הבהיר את כוונתו להחריג במפורש מתחולת הנסיבה המחמירה מקרי המתה שנעשו תוך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כוונה ספונטנית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 xml:space="preserve">מלבד העובדה כי החרגתה של כוונה זו מבהירה אילו מקרי 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כלולים</w:t>
      </w:r>
      <w:r>
        <w:rPr>
          <w:rFonts w:ascii="Century" w:hAnsi="Century" w:cs="Century"/>
          <w:sz w:val="22"/>
          <w:sz w:val="22"/>
          <w:rtl w:val="true"/>
        </w:rPr>
        <w:t xml:space="preserve"> בנסיבה המחמירה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ניתן אף ללמוד מכך על היבט פוזיטיבי נוסף במאפייני וגדרי חלופות הנסיבה המחמירה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על טיבה של </w:t>
      </w:r>
      <w:r>
        <w:rPr>
          <w:rtl w:val="true"/>
        </w:rPr>
        <w:t>"</w:t>
      </w:r>
      <w:r>
        <w:rPr>
          <w:rtl w:val="true"/>
        </w:rPr>
        <w:t>הכוונה הספונטנית</w:t>
      </w:r>
      <w:r>
        <w:rPr>
          <w:rtl w:val="true"/>
        </w:rPr>
        <w:t xml:space="preserve">" </w:t>
      </w:r>
      <w:r>
        <w:rPr>
          <w:rtl w:val="true"/>
        </w:rPr>
        <w:t>עמד זה מכבר פרופ</w:t>
      </w:r>
      <w:r>
        <w:rPr>
          <w:rtl w:val="true"/>
        </w:rPr>
        <w:t xml:space="preserve">' </w:t>
      </w:r>
      <w:r>
        <w:rPr>
          <w:rtl w:val="true"/>
        </w:rPr>
        <w:t>פלר בספרו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הספונטאנית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מתאפיינת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היווצרות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היקפו</w:t>
      </w:r>
      <w:r>
        <w:rPr>
          <w:rtl w:val="true"/>
        </w:rPr>
        <w:t xml:space="preserve">,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>-</w:t>
      </w:r>
      <w:r>
        <w:rPr>
          <w:rtl w:val="true"/>
        </w:rPr>
        <w:t>פתאומי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de impetu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מנטאלי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אופרטיבי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682-681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ספונטנית</w:t>
      </w:r>
      <w:r>
        <w:rPr>
          <w:rtl w:val="true"/>
        </w:rPr>
        <w:t xml:space="preserve">" </w:t>
      </w:r>
      <w:r>
        <w:rPr>
          <w:rtl w:val="true"/>
        </w:rPr>
        <w:t>הוחרגו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נלמד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יתגבשו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סימולטנית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מהרצח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המנטאלי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והאופרטיבי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במסגרת הרפורמה בעבירות ההמתה נחקקה עבירת הרצח בנסיבות מחמירות המנויה </w:t>
      </w:r>
      <w:hyperlink r:id="rId7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חלופותיה הן כי הרצח בוצע לאחר תכנון או לאחר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נסיבה זו נועדה להחליף באופן מהותי ורעיוני את רכיב ה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>בעבירת הרצח עובר לרפורמה</w:t>
      </w:r>
      <w:r>
        <w:rPr>
          <w:rtl w:val="true"/>
        </w:rPr>
        <w:t xml:space="preserve">, </w:t>
      </w:r>
      <w:r>
        <w:rPr>
          <w:rtl w:val="true"/>
        </w:rPr>
        <w:t>לצד שינוי ועיצוב מחדש של גדרי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מלבד החרגת מעשה המתה שבוצע תוך </w:t>
      </w:r>
      <w:r>
        <w:rPr>
          <w:rtl w:val="true"/>
        </w:rPr>
        <w:t>"</w:t>
      </w:r>
      <w:r>
        <w:rPr>
          <w:rtl w:val="true"/>
        </w:rPr>
        <w:t>כוונה ספונטנית</w:t>
      </w:r>
      <w:r>
        <w:rPr>
          <w:rtl w:val="true"/>
        </w:rPr>
        <w:t xml:space="preserve">", </w:t>
      </w:r>
      <w:r>
        <w:rPr>
          <w:rtl w:val="true"/>
        </w:rPr>
        <w:t>ניתן לאפיין את גדרי החלופות באופן פוזיטיבי כמפורט לעיל בהרחבה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נדרש להתקיים מבעוד מועד ועובר למעשה ההמתה במישור העיתוי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 התכנון לכלול רכיב איכותי מסוים</w:t>
      </w:r>
      <w:r>
        <w:rPr>
          <w:rtl w:val="true"/>
        </w:rPr>
        <w:t xml:space="preserve">, </w:t>
      </w:r>
      <w:r>
        <w:rPr>
          <w:rtl w:val="true"/>
        </w:rPr>
        <w:t>אשר עשוי להתבטא</w:t>
      </w:r>
      <w:r>
        <w:rPr>
          <w:rtl w:val="true"/>
        </w:rPr>
        <w:t xml:space="preserve">, </w:t>
      </w:r>
      <w:r>
        <w:rPr>
          <w:rtl w:val="true"/>
        </w:rPr>
        <w:t>למשל ובין היתר</w:t>
      </w:r>
      <w:r>
        <w:rPr>
          <w:rtl w:val="true"/>
        </w:rPr>
        <w:t xml:space="preserve">, </w:t>
      </w:r>
      <w:r>
        <w:rPr>
          <w:rtl w:val="true"/>
        </w:rPr>
        <w:t>בהכנת כלי הרצח</w:t>
      </w:r>
      <w:r>
        <w:rPr>
          <w:rtl w:val="true"/>
        </w:rPr>
        <w:t xml:space="preserve">, </w:t>
      </w:r>
      <w:r>
        <w:rPr>
          <w:rtl w:val="true"/>
        </w:rPr>
        <w:t>בחירת עיתוי מתאים לרצח ורקימת תוכנית לביצוע הרצח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נדרש אף הוא להתקיים עובר למעשה ההמתה במישור העיתוי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מדובר בשקילה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כאשר בבחינת משך השקילה לא די במחשבה חולפת אך גם לא נדרשת שקילה לפרק זמן ממושך</w:t>
      </w:r>
      <w:r>
        <w:rPr>
          <w:rtl w:val="true"/>
        </w:rPr>
        <w:t xml:space="preserve">; </w:t>
      </w:r>
      <w:r>
        <w:rPr>
          <w:rtl w:val="true"/>
        </w:rPr>
        <w:t>על הליך השקילה לכלול שלביות מסוימת של התגבשות שיקול הדעת</w:t>
      </w:r>
      <w:r>
        <w:rPr>
          <w:rtl w:val="true"/>
        </w:rPr>
        <w:t xml:space="preserve">; </w:t>
      </w:r>
      <w:r>
        <w:rPr>
          <w:rtl w:val="true"/>
        </w:rPr>
        <w:t>מוקד תוכן השקילה הוא עצם שיקול הדעת</w:t>
      </w:r>
      <w:r>
        <w:rPr>
          <w:rtl w:val="true"/>
        </w:rPr>
        <w:t xml:space="preserve">, </w:t>
      </w:r>
      <w:r>
        <w:rPr>
          <w:rtl w:val="true"/>
        </w:rPr>
        <w:t>ולא בהכרח שקילה ערכית</w:t>
      </w:r>
      <w:r>
        <w:rPr>
          <w:rtl w:val="true"/>
        </w:rPr>
        <w:t>-</w:t>
      </w:r>
      <w:r>
        <w:rPr>
          <w:rtl w:val="true"/>
        </w:rPr>
        <w:t>נורמטיבית של מעשה ההמתה</w:t>
      </w:r>
      <w:r>
        <w:rPr>
          <w:rtl w:val="true"/>
        </w:rPr>
        <w:t xml:space="preserve">; </w:t>
      </w:r>
      <w:r>
        <w:rPr>
          <w:rtl w:val="true"/>
        </w:rPr>
        <w:t>ואף לא דומה הליך שקילה הנעשה ביישוב הדעת להליך המתבצע בלב סערת רגשות</w:t>
      </w:r>
      <w:r>
        <w:rPr>
          <w:rtl w:val="true"/>
        </w:rPr>
        <w:t xml:space="preserve">. </w:t>
      </w:r>
      <w:r>
        <w:rPr>
          <w:rtl w:val="true"/>
        </w:rPr>
        <w:t>זאת עוד</w:t>
      </w:r>
      <w:r>
        <w:rPr>
          <w:rtl w:val="true"/>
        </w:rPr>
        <w:t xml:space="preserve">, </w:t>
      </w:r>
      <w:r>
        <w:rPr>
          <w:rtl w:val="true"/>
        </w:rPr>
        <w:t>ביחס לשתי החלופות</w:t>
      </w:r>
      <w:r>
        <w:rPr>
          <w:rtl w:val="true"/>
        </w:rPr>
        <w:t xml:space="preserve">, </w:t>
      </w:r>
      <w:r>
        <w:rPr>
          <w:rtl w:val="true"/>
        </w:rPr>
        <w:t>נדרש כי התכנון או הליך השקילה יעמדו כל אחד בפני עצמו ובמנותק מהרצח באופן מהותי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לסוגיה ראייתית</w:t>
      </w:r>
      <w:r>
        <w:rPr>
          <w:rtl w:val="true"/>
        </w:rPr>
        <w:t xml:space="preserve">. </w:t>
      </w:r>
      <w:r>
        <w:rPr>
          <w:rtl w:val="true"/>
        </w:rPr>
        <w:t>כלל ידוע הוא כי אין לקבל אמרת</w:t>
      </w:r>
      <w:r>
        <w:rPr>
          <w:rtl w:val="true"/>
        </w:rPr>
        <w:t>-</w:t>
      </w:r>
      <w:r>
        <w:rPr>
          <w:rtl w:val="true"/>
        </w:rPr>
        <w:t>חוץ של נאשם</w:t>
      </w:r>
      <w:r>
        <w:rPr>
          <w:rtl w:val="true"/>
        </w:rPr>
        <w:t xml:space="preserve">, </w:t>
      </w:r>
      <w:r>
        <w:rPr>
          <w:rtl w:val="true"/>
        </w:rPr>
        <w:t xml:space="preserve">אשר הוא </w:t>
      </w:r>
      <w:r>
        <w:rPr>
          <w:rtl w:val="true"/>
        </w:rPr>
        <w:t xml:space="preserve">מגישהּ </w:t>
      </w:r>
      <w:r>
        <w:rPr>
          <w:rtl w:val="true"/>
        </w:rPr>
        <w:t>ומבקש להשתמש בה לטובתו</w:t>
      </w:r>
      <w:r>
        <w:rPr>
          <w:rtl w:val="true"/>
        </w:rPr>
        <w:t xml:space="preserve">, </w:t>
      </w:r>
      <w:r>
        <w:rPr>
          <w:rtl w:val="true"/>
        </w:rPr>
        <w:t>כראיה לאמיתות תוכנה</w:t>
      </w:r>
      <w:r>
        <w:rPr>
          <w:rtl w:val="true"/>
        </w:rPr>
        <w:t xml:space="preserve">, </w:t>
      </w:r>
      <w:r>
        <w:rPr>
          <w:rtl w:val="true"/>
        </w:rPr>
        <w:t>אלא אם הנאשם מעיד בבית המשפט ועל ידי כך חושף עצמו לחקירה נגדית ביחס לגרסתו</w:t>
      </w:r>
      <w:r>
        <w:rPr>
          <w:rtl w:val="true"/>
        </w:rPr>
        <w:t>-</w:t>
      </w:r>
      <w:r>
        <w:rPr>
          <w:rtl w:val="true"/>
        </w:rPr>
        <w:t xml:space="preserve">שלו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25</w:t>
      </w:r>
      <w:r>
        <w:rPr>
          <w:rtl w:val="true"/>
        </w:rPr>
        <w:t xml:space="preserve">; </w:t>
      </w:r>
      <w:r>
        <w:rPr>
          <w:rtl w:val="true"/>
        </w:rPr>
        <w:t>נינה</w:t>
      </w:r>
      <w:r>
        <w:rPr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זלצמן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אמרת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נאשם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כראיה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לטובתו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tl w:val="true"/>
        </w:rPr>
        <w:t xml:space="preserve"> </w:t>
      </w:r>
      <w:r>
        <w:rPr>
          <w:rtl w:val="true"/>
        </w:rPr>
        <w:t>יז</w:t>
      </w:r>
      <w:r>
        <w:rPr>
          <w:rtl w:val="true"/>
        </w:rPr>
        <w:t xml:space="preserve"> </w:t>
      </w:r>
      <w:r>
        <w:rPr/>
        <w:t>284</w:t>
      </w:r>
      <w:r>
        <w:rPr>
          <w:rtl w:val="true"/>
        </w:rPr>
        <w:t xml:space="preserve">, </w:t>
      </w:r>
      <w:r>
        <w:rPr/>
        <w:t>299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 במקרה שבו אמרת הנאשם אשר הוא מבקש להשתמש בה לטובתו</w:t>
      </w:r>
      <w:r>
        <w:rPr>
          <w:rtl w:val="true"/>
        </w:rPr>
        <w:t xml:space="preserve">, </w:t>
      </w:r>
      <w:r>
        <w:rPr>
          <w:rtl w:val="true"/>
        </w:rPr>
        <w:t xml:space="preserve">מתקבלת כראיה בבית המשפט בהיותה חלק מהודאתו לחובתו לפי </w:t>
      </w:r>
      <w:hyperlink r:id="rId7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77"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משקלה יהא פחות כאשר הנאשם לא העיד להגנתו ולא נחקר בחקירה נגדית על אמרתו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10-9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</w:t>
      </w:r>
      <w:r>
        <w:rPr/>
        <w:t>7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כך נקבע זה מכבר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: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בהצהרה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המסייג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נתינתה</w:t>
      </w:r>
      <w:r>
        <w:rPr>
          <w:rtl w:val="true"/>
        </w:rPr>
        <w:t xml:space="preserve">;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שתיקתו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8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205/75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קרנץ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471</w:t>
      </w:r>
      <w:r>
        <w:rPr>
          <w:rtl w:val="true"/>
        </w:rPr>
        <w:t xml:space="preserve">, </w:t>
      </w:r>
      <w:r>
        <w:rPr/>
        <w:t>474-473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הודה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עבירת הרצח הבסיסית לפי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אך כפר בהתקיימן של 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ביחס לנסיבה המחמירה המנויה </w:t>
      </w:r>
      <w:hyperlink r:id="rId8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לצורך שלילת התקיימות חלופות הנסיבה המחמירה</w:t>
      </w:r>
      <w:r>
        <w:rPr>
          <w:rtl w:val="true"/>
        </w:rPr>
        <w:t xml:space="preserve">, </w:t>
      </w:r>
      <w:r>
        <w:rPr>
          <w:rtl w:val="true"/>
        </w:rPr>
        <w:t>המערער טוען כי מחקירותיו במשטרה עולה כי למעשה הרצח קדם עימות בינו לבין המנוח</w:t>
      </w:r>
      <w:r>
        <w:rPr>
          <w:rtl w:val="true"/>
        </w:rPr>
        <w:t xml:space="preserve">, </w:t>
      </w:r>
      <w:r>
        <w:rPr>
          <w:rtl w:val="true"/>
        </w:rPr>
        <w:t xml:space="preserve">אשר בעקבות </w:t>
      </w:r>
      <w:r>
        <w:rPr>
          <w:rtl w:val="true"/>
        </w:rPr>
        <w:t>"</w:t>
      </w:r>
      <w:r>
        <w:rPr>
          <w:rtl w:val="true"/>
        </w:rPr>
        <w:t>סערת הרגשות</w:t>
      </w:r>
      <w:r>
        <w:rPr>
          <w:rtl w:val="true"/>
        </w:rPr>
        <w:t xml:space="preserve">" </w:t>
      </w:r>
      <w:r>
        <w:rPr>
          <w:rtl w:val="true"/>
        </w:rPr>
        <w:t xml:space="preserve">אשר התגבשה בקרבו </w:t>
      </w:r>
      <w:r>
        <w:rPr>
          <w:rtl w:val="true"/>
        </w:rPr>
        <w:t>–</w:t>
      </w:r>
      <w:r>
        <w:rPr>
          <w:rtl w:val="true"/>
        </w:rPr>
        <w:t xml:space="preserve"> הלך למטבח</w:t>
      </w:r>
      <w:r>
        <w:rPr>
          <w:rtl w:val="true"/>
        </w:rPr>
        <w:t xml:space="preserve">, </w:t>
      </w:r>
      <w:r>
        <w:rPr>
          <w:rtl w:val="true"/>
        </w:rPr>
        <w:t>נטל סכין בידו</w:t>
      </w:r>
      <w:r>
        <w:rPr>
          <w:rtl w:val="true"/>
        </w:rPr>
        <w:t xml:space="preserve">, </w:t>
      </w:r>
      <w:r>
        <w:rPr>
          <w:rtl w:val="true"/>
        </w:rPr>
        <w:t>ניגש אל חדר השינה ורצח את המנוח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כך לשיטתו</w:t>
      </w:r>
      <w:r>
        <w:rPr>
          <w:rtl w:val="true"/>
        </w:rPr>
        <w:t xml:space="preserve">, </w:t>
      </w:r>
      <w:r>
        <w:rPr>
          <w:rtl w:val="true"/>
        </w:rPr>
        <w:t>כי המדובר במעשה המתה ספונטני ולא רצח אשר נעשה בעקבות תכנון או לאחר הליך ממשי של שקילה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ושמר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לגופן של טענות</w:t>
      </w:r>
      <w:r>
        <w:rPr>
          <w:rtl w:val="true"/>
        </w:rPr>
        <w:t xml:space="preserve">. </w:t>
      </w:r>
      <w:r>
        <w:rPr>
          <w:rtl w:val="true"/>
        </w:rPr>
        <w:t>שלם אני עם קביעת בית המשפט המחוזי כי מארג הראיות מבסס כי מעשה הרצח בוצע לאחר הליך ממשי של שקילה וגיבוש החלטה להמית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8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מלבד היסוד השלילי של היעדר </w:t>
      </w:r>
      <w:r>
        <w:rPr>
          <w:rtl w:val="true"/>
        </w:rPr>
        <w:t>"</w:t>
      </w:r>
      <w:r>
        <w:rPr>
          <w:rtl w:val="true"/>
        </w:rPr>
        <w:t>כוונה ספונטנית</w:t>
      </w:r>
      <w:r>
        <w:rPr>
          <w:rtl w:val="true"/>
        </w:rPr>
        <w:t xml:space="preserve">", </w:t>
      </w:r>
      <w:r>
        <w:rPr>
          <w:rtl w:val="true"/>
        </w:rPr>
        <w:t xml:space="preserve">צבר נסיבות ביצוע העבירה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כמכלול</w:t>
      </w:r>
      <w:r>
        <w:rPr>
          <w:rtl w:val="true"/>
        </w:rPr>
        <w:t xml:space="preserve"> מלמד באופן פוזיטיבי על כך שהרצח בוצע לאחר הליך ממשי של שקילה וגיבוש החלטה להמית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מעשה הרצח לא בוצע בעקבות ויכוח או עימות קונקרטי</w:t>
      </w:r>
      <w:r>
        <w:rPr>
          <w:rtl w:val="true"/>
        </w:rPr>
        <w:t xml:space="preserve">, </w:t>
      </w:r>
      <w:r>
        <w:rPr>
          <w:rtl w:val="true"/>
        </w:rPr>
        <w:t>כי אם בשל הסיבה</w:t>
      </w:r>
      <w:r>
        <w:rPr>
          <w:rtl w:val="true"/>
        </w:rPr>
        <w:t xml:space="preserve">, </w:t>
      </w:r>
      <w:r>
        <w:rPr>
          <w:rtl w:val="true"/>
        </w:rPr>
        <w:t>לדבריו של המערער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tl w:val="true"/>
        </w:rPr>
        <w:t xml:space="preserve"> מהתנהלות המנוח</w:t>
      </w:r>
      <w:r>
        <w:rPr>
          <w:rtl w:val="true"/>
        </w:rPr>
        <w:t xml:space="preserve">, </w:t>
      </w:r>
      <w:r>
        <w:rPr>
          <w:rtl w:val="true"/>
        </w:rPr>
        <w:t>באופן המלמד על התגבשות הרעיון בקרבו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ועיתויה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tl w:val="true"/>
        </w:rPr>
        <w:t xml:space="preserve">, </w:t>
      </w:r>
      <w:r>
        <w:rPr>
          <w:rtl w:val="true"/>
        </w:rPr>
        <w:t>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ושקול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הכושר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יצועו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ואיכותית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</w:t>
      </w:r>
      <w:r>
        <w:rPr>
          <w:rtl w:val="true"/>
        </w:rPr>
        <w:t>-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להגשימו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להתנהלות המערער לאחר ביצוע הדקירה הקטלנית</w:t>
      </w:r>
      <w:r>
        <w:rPr>
          <w:rtl w:val="true"/>
        </w:rPr>
        <w:t xml:space="preserve">. </w:t>
      </w:r>
      <w:r>
        <w:rPr>
          <w:rtl w:val="true"/>
        </w:rPr>
        <w:t>התנהגות נאשם לאחר מעשה עשויה</w:t>
      </w:r>
      <w:r>
        <w:rPr>
          <w:rtl w:val="true"/>
        </w:rPr>
        <w:t xml:space="preserve">, </w:t>
      </w:r>
      <w:r>
        <w:rPr>
          <w:rtl w:val="true"/>
        </w:rPr>
        <w:t>במקרים המתאימים</w:t>
      </w:r>
      <w:r>
        <w:rPr>
          <w:rtl w:val="true"/>
        </w:rPr>
        <w:t xml:space="preserve">, </w:t>
      </w:r>
      <w:r>
        <w:rPr>
          <w:rtl w:val="true"/>
        </w:rPr>
        <w:t xml:space="preserve">לשפוך אור במידת מה על היסוד הנפשי בקרבו בעת ביצוע מעשה העבירה עצמו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 לא הסתפק בדקירה המדויקת והמכוונת בצווארו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אלא עטף את ראשו בשקית ניילון שחורה וגדולה בגדר </w:t>
      </w:r>
      <w:r>
        <w:rPr>
          <w:rtl w:val="true"/>
        </w:rPr>
        <w:t>"</w:t>
      </w:r>
      <w:r>
        <w:rPr>
          <w:rtl w:val="true"/>
        </w:rPr>
        <w:t>וידוא הריגה</w:t>
      </w:r>
      <w:r>
        <w:rPr>
          <w:rtl w:val="true"/>
        </w:rPr>
        <w:t xml:space="preserve">". </w:t>
      </w:r>
      <w:r>
        <w:rPr>
          <w:rtl w:val="true"/>
        </w:rPr>
        <w:t>פעולת ההמתה הממושכת</w:t>
      </w:r>
      <w:r>
        <w:rPr>
          <w:rtl w:val="true"/>
        </w:rPr>
        <w:t xml:space="preserve">, </w:t>
      </w:r>
      <w:r>
        <w:rPr>
          <w:rtl w:val="true"/>
        </w:rPr>
        <w:t>והיותה מתפתחת במספר שלבים</w:t>
      </w:r>
      <w:r>
        <w:rPr>
          <w:rtl w:val="true"/>
        </w:rPr>
        <w:t xml:space="preserve">, </w:t>
      </w:r>
      <w:r>
        <w:rPr>
          <w:rtl w:val="true"/>
        </w:rPr>
        <w:t>תורמת אף היא לבחינת הלך מחשבתו של המערער בביצוע הרצח</w:t>
      </w:r>
      <w:r>
        <w:rPr>
          <w:rtl w:val="true"/>
        </w:rPr>
        <w:t xml:space="preserve">, </w:t>
      </w:r>
      <w:r>
        <w:rPr>
          <w:rtl w:val="true"/>
        </w:rPr>
        <w:t xml:space="preserve">כאשר היא מצטרפת ליתר נסיבות ביצוע העבירה אשר תוארו לעיל </w:t>
      </w:r>
      <w:r>
        <w:rPr>
          <w:rtl w:val="true"/>
        </w:rPr>
        <w:t>(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פנה להסתיר ולהסוות את מעשיו </w:t>
      </w:r>
      <w:r>
        <w:rPr>
          <w:rtl w:val="true"/>
        </w:rPr>
        <w:t>–</w:t>
      </w:r>
      <w:r>
        <w:rPr>
          <w:rtl w:val="true"/>
        </w:rPr>
        <w:t xml:space="preserve"> הסיר את הדם מהסכין והשיבה למקומה</w:t>
      </w:r>
      <w:r>
        <w:rPr>
          <w:rtl w:val="true"/>
        </w:rPr>
        <w:t xml:space="preserve">, </w:t>
      </w:r>
      <w:r>
        <w:rPr>
          <w:rtl w:val="true"/>
        </w:rPr>
        <w:t>ניקה את הרצפה מכתמי הדם</w:t>
      </w:r>
      <w:r>
        <w:rPr>
          <w:rtl w:val="true"/>
        </w:rPr>
        <w:t xml:space="preserve">, </w:t>
      </w:r>
      <w:r>
        <w:rPr>
          <w:rtl w:val="true"/>
        </w:rPr>
        <w:t xml:space="preserve">ואף ביקש משכנו לסייע לו בהעלמת גופת המנוח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24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</w:t>
      </w:r>
      <w:r>
        <w:rPr/>
        <w:t>3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הגדיל לעשות המערער</w:t>
      </w:r>
      <w:r>
        <w:rPr>
          <w:rtl w:val="true"/>
        </w:rPr>
        <w:t xml:space="preserve">, </w:t>
      </w:r>
      <w:r>
        <w:rPr>
          <w:rtl w:val="true"/>
        </w:rPr>
        <w:t>אשר יצא לשתות עם חבריו</w:t>
      </w:r>
      <w:r>
        <w:rPr>
          <w:rtl w:val="true"/>
        </w:rPr>
        <w:t xml:space="preserve">, </w:t>
      </w:r>
      <w:r>
        <w:rPr>
          <w:rtl w:val="true"/>
        </w:rPr>
        <w:t>התנהג באופן רגיל</w:t>
      </w:r>
      <w:r>
        <w:rPr>
          <w:rtl w:val="true"/>
        </w:rPr>
        <w:t xml:space="preserve">, </w:t>
      </w:r>
      <w:r>
        <w:rPr>
          <w:rtl w:val="true"/>
        </w:rPr>
        <w:t xml:space="preserve">וכל זאת תוך שהוא משקר להם ביחס למקום הימצאותו של המנוח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</w:t>
      </w:r>
      <w:r>
        <w:rPr/>
        <w:t>4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גם בנסיבות אלו כשלעצמן לא די כדי ללמד על הליך השקילה בקרבו של המערער עובר לרצח</w:t>
      </w:r>
      <w:r>
        <w:rPr>
          <w:rtl w:val="true"/>
        </w:rPr>
        <w:t xml:space="preserve">, </w:t>
      </w:r>
      <w:r>
        <w:rPr>
          <w:rtl w:val="true"/>
        </w:rPr>
        <w:t>אולם הן מוסיפות נדבך לצבר הנסיבות כאמור המלמד על הלך מחשבתו קודם לרצח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מכלול</w:t>
      </w:r>
      <w:r>
        <w:rPr>
          <w:rtl w:val="true"/>
        </w:rPr>
        <w:t xml:space="preserve"> נסיבות ביצוע העבירה יחדיו </w:t>
      </w:r>
      <w:r>
        <w:rPr>
          <w:rtl w:val="true"/>
        </w:rPr>
        <w:t>–</w:t>
      </w:r>
      <w:r>
        <w:rPr>
          <w:rtl w:val="true"/>
        </w:rPr>
        <w:t xml:space="preserve"> עובר לרצח</w:t>
      </w:r>
      <w:r>
        <w:rPr>
          <w:rtl w:val="true"/>
        </w:rPr>
        <w:t xml:space="preserve">, </w:t>
      </w:r>
      <w:r>
        <w:rPr>
          <w:rtl w:val="true"/>
        </w:rPr>
        <w:t xml:space="preserve">במהלכו ולאחריו </w:t>
      </w:r>
      <w:r>
        <w:rPr>
          <w:rtl w:val="true"/>
        </w:rPr>
        <w:t>–</w:t>
      </w:r>
      <w:r>
        <w:rPr>
          <w:rtl w:val="true"/>
        </w:rPr>
        <w:t xml:space="preserve"> מלמד אפוא כי רצח המנוח בוצע לאחר הליך ממשי של שקילה וגיבוש החלטה להמית מצדו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כך שמעשיו באים בגדרי עבירת הרצח בנסיבות מחמירות שלפי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בקובעי כן</w:t>
      </w:r>
      <w:r>
        <w:rPr>
          <w:rtl w:val="true"/>
        </w:rPr>
        <w:t xml:space="preserve">, </w:t>
      </w:r>
      <w:r>
        <w:rPr>
          <w:rtl w:val="true"/>
        </w:rPr>
        <w:t xml:space="preserve">מתייתר הצורך להכריע באשר להתקיימות החלופה הראשונה המנויה </w:t>
      </w:r>
      <w:hyperlink r:id="rId9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כי מעשה הרצח בוצע לאחר </w:t>
      </w:r>
      <w:r>
        <w:rPr>
          <w:rtl w:val="true"/>
        </w:rPr>
        <w:t>"</w:t>
      </w:r>
      <w:r>
        <w:rPr>
          <w:rtl w:val="true"/>
        </w:rPr>
        <w:t>תכנון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ברי כי אין ברצח המנוח בידי המערער אי אלו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 xml:space="preserve">המגלות כי </w:t>
      </w:r>
      <w:r>
        <w:rPr>
          <w:rtl w:val="true"/>
        </w:rPr>
        <w:t>"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 xml:space="preserve">שמעשיו יבואו בשערי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פרשנות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 xml:space="preserve">בהרחבה </w:t>
      </w:r>
      <w:r>
        <w:rPr>
          <w:rtl w:val="true"/>
        </w:rPr>
        <w:t>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אם אניח כי המנוח נהג לאיים על המערער ולהכותו</w:t>
      </w:r>
      <w:r>
        <w:rPr>
          <w:rtl w:val="true"/>
        </w:rPr>
        <w:t xml:space="preserve">, </w:t>
      </w:r>
      <w:r>
        <w:rPr>
          <w:rtl w:val="true"/>
        </w:rPr>
        <w:t>ולא הוכרע כך</w:t>
      </w:r>
      <w:r>
        <w:rPr>
          <w:rtl w:val="true"/>
        </w:rPr>
        <w:t xml:space="preserve">, </w:t>
      </w:r>
      <w:r>
        <w:rPr>
          <w:rtl w:val="true"/>
        </w:rPr>
        <w:t xml:space="preserve">אמנם עסקינן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בסוג</w:t>
      </w:r>
      <w:r>
        <w:rPr>
          <w:rtl w:val="true"/>
        </w:rPr>
        <w:t xml:space="preserve"> נסיבות העשוי להפחית את מידת אשמתו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אולם בענייננו אין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בעוצמת</w:t>
      </w:r>
      <w:r>
        <w:rPr>
          <w:rtl w:val="true"/>
        </w:rPr>
        <w:t xml:space="preserve"> נסיבות אלו כדי להקהות מאשמת מעשיו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26-23</w:t>
      </w:r>
      <w:r>
        <w:rPr>
          <w:rtl w:val="true"/>
        </w:rPr>
        <w:t xml:space="preserve">).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>באופן המצדיק להפחית מאשמתו כך שמעשיו יחסו תחת עבירת הרצח הבסיסית חלף 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מתאימים הדברים שכתבתי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Garamond" w:hAnsi="Garamond" w:cs="Garamond"/>
          <w:sz w:val="24"/>
        </w:rPr>
      </w:pP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הקשר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לנרצח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יריבות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לנרצח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;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; </w:t>
      </w:r>
      <w:r>
        <w:rPr>
          <w:rtl w:val="true"/>
        </w:rPr>
        <w:t>ועלולה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, </w:t>
      </w:r>
      <w:r>
        <w:rPr>
          <w:rtl w:val="true"/>
        </w:rPr>
        <w:t>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</w:t>
      </w:r>
      <w:r>
        <w:rPr>
          <w:rtl w:val="true"/>
        </w:rPr>
        <w:t xml:space="preserve">, </w:t>
      </w:r>
      <w:r>
        <w:rPr>
          <w:rtl w:val="true"/>
        </w:rPr>
        <w:t>להרחבת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המילוט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לממדים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רצויים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4753" w:leader="none"/>
        </w:tabs>
        <w:ind w:hanging="0" w:start="0" w:end="0"/>
        <w:jc w:val="both"/>
        <w:rPr>
          <w:rFonts w:ascii="Garamond" w:hAnsi="Garamond" w:cs="Garamond"/>
          <w:sz w:val="24"/>
        </w:rPr>
      </w:pPr>
      <w:r>
        <w:rPr>
          <w:rFonts w:cs="Garamond"/>
          <w:sz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כמפורט לעיל בהרחבה</w:t>
      </w:r>
      <w:r>
        <w:rPr>
          <w:rtl w:val="true"/>
        </w:rPr>
        <w:t xml:space="preserve">, </w:t>
      </w:r>
      <w:r>
        <w:rPr>
          <w:rtl w:val="true"/>
        </w:rPr>
        <w:t xml:space="preserve">על רקע סכסוך </w:t>
      </w:r>
      <w:r>
        <w:rPr>
          <w:rtl w:val="true"/>
        </w:rPr>
        <w:t>–</w:t>
      </w:r>
      <w:r>
        <w:rPr>
          <w:rtl w:val="true"/>
        </w:rPr>
        <w:t xml:space="preserve"> המערער רצח את המנוח</w:t>
      </w:r>
      <w:r>
        <w:rPr>
          <w:rtl w:val="true"/>
        </w:rPr>
        <w:t xml:space="preserve">. </w:t>
      </w:r>
      <w:r>
        <w:rPr>
          <w:rtl w:val="true"/>
        </w:rPr>
        <w:t>הצטברות נסיבות ביצוע העבירה יחדיו מלמד על מידת אשמתו הניכרת</w:t>
      </w:r>
      <w:r>
        <w:rPr>
          <w:rtl w:val="true"/>
        </w:rPr>
        <w:t xml:space="preserve">, </w:t>
      </w:r>
      <w:r>
        <w:rPr>
          <w:rtl w:val="true"/>
        </w:rPr>
        <w:t xml:space="preserve">וודאי שאינה מצדיקה כי מעשיו יבואו בשערי הדין המקל שלפי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tabs>
          <w:tab w:val="clear" w:pos="720"/>
          <w:tab w:val="left" w:pos="4753" w:leader="none"/>
        </w:tabs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בדין הורשע המערער בעבירת הרצח בכוונה תחילה לפי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כנוסחו קודם הרפורמה בעבירות ההמתה</w:t>
      </w:r>
      <w:r>
        <w:rPr>
          <w:rtl w:val="true"/>
        </w:rPr>
        <w:t xml:space="preserve">. </w:t>
      </w:r>
      <w:r>
        <w:rPr>
          <w:rtl w:val="true"/>
        </w:rPr>
        <w:t xml:space="preserve">מאחר שרצח המנוח בידי המערער בא בשערי עבירת הרצח בנסיבות מחמירות לפי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ולא מתקיים בעניינו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שלפי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הרפורמה בעבירות ההמתה אינה מהווה דין מקל בעניינו ואין ליישמה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מאחר שהעונש בעבירת הרצח בכוונה תחילה הוא מאסר עולם חובה</w:t>
      </w:r>
      <w:r>
        <w:rPr>
          <w:rtl w:val="true"/>
        </w:rPr>
        <w:t xml:space="preserve">, </w:t>
      </w:r>
      <w:r>
        <w:rPr>
          <w:rtl w:val="true"/>
        </w:rPr>
        <w:t>נדחה ממילא גם הערעור על גזר דינו של 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אציע אפוא לחברי ולחברתי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נדחה</w:t>
      </w:r>
      <w:r>
        <w:rPr>
          <w:rtl w:val="true"/>
        </w:rPr>
        <w:t xml:space="preserve"> את הערעור על שני חלקיו ונותיר את הרשעת המערער על כנה וכך גם את העונש שנגזר עליו בגין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25.6.2023</w:t>
      </w:r>
      <w:r>
        <w:rPr>
          <w:rtl w:val="true"/>
        </w:rPr>
        <w:t xml:space="preserve">). </w:t>
      </w:r>
      <w:bookmarkEnd w:id="23"/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22040660</w:t>
      </w:r>
      <w:r>
        <w:rPr>
          <w:sz w:val="16"/>
          <w:rtl w:val="true"/>
        </w:rPr>
        <w:t>_</w:t>
      </w:r>
      <w:r>
        <w:rPr>
          <w:sz w:val="16"/>
        </w:rPr>
        <w:t>J14.docx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54678313-4066/22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8"/>
      <w:footerReference w:type="default" r:id="rId9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4066/22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ויקטור 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ירנוב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noteTextChar">
    <w:name w:val="Footnote Text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777182" TargetMode="External"/><Relationship Id="rId3" Type="http://schemas.openxmlformats.org/officeDocument/2006/relationships/hyperlink" Target="http://www.nevo.co.il/safrut/book/5337" TargetMode="External"/><Relationship Id="rId4" Type="http://schemas.openxmlformats.org/officeDocument/2006/relationships/hyperlink" Target="http://www.nevo.co.il/safrut/book/5337" TargetMode="External"/><Relationship Id="rId5" Type="http://schemas.openxmlformats.org/officeDocument/2006/relationships/hyperlink" Target="http://www.nevo.co.il/safrut/book/13736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safrut/bookgroup/206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00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0b.b" TargetMode="External"/><Relationship Id="rId14" Type="http://schemas.openxmlformats.org/officeDocument/2006/relationships/hyperlink" Target="http://www.nevo.co.il/law/70301/301.a" TargetMode="External"/><Relationship Id="rId15" Type="http://schemas.openxmlformats.org/officeDocument/2006/relationships/hyperlink" Target="http://www.nevo.co.il/law/70301/301a.a" TargetMode="External"/><Relationship Id="rId16" Type="http://schemas.openxmlformats.org/officeDocument/2006/relationships/hyperlink" Target="http://www.nevo.co.il/law/70301/301a.a.1" TargetMode="External"/><Relationship Id="rId17" Type="http://schemas.openxmlformats.org/officeDocument/2006/relationships/hyperlink" Target="http://www.nevo.co.il/law/70301/301a.a.7" TargetMode="External"/><Relationship Id="rId18" Type="http://schemas.openxmlformats.org/officeDocument/2006/relationships/hyperlink" Target="http://www.nevo.co.il/law/70301/301a.b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11" TargetMode="External"/><Relationship Id="rId21" Type="http://schemas.openxmlformats.org/officeDocument/2006/relationships/hyperlink" Target="http://www.nevo.co.il/law/98569/12" TargetMode="External"/><Relationship Id="rId22" Type="http://schemas.openxmlformats.org/officeDocument/2006/relationships/hyperlink" Target="http://www.nevo.co.il/law/70301/301a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777182" TargetMode="External"/><Relationship Id="rId25" Type="http://schemas.openxmlformats.org/officeDocument/2006/relationships/hyperlink" Target="http://www.nevo.co.il/law/70301/300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law/70301/301a.a" TargetMode="External"/><Relationship Id="rId29" Type="http://schemas.openxmlformats.org/officeDocument/2006/relationships/hyperlink" Target="http://www.nevo.co.il/law/70301/300.a.2" TargetMode="External"/><Relationship Id="rId30" Type="http://schemas.openxmlformats.org/officeDocument/2006/relationships/hyperlink" Target="http://www.nevo.co.il/law/70301/301a.a.1" TargetMode="External"/><Relationship Id="rId31" Type="http://schemas.openxmlformats.org/officeDocument/2006/relationships/hyperlink" Target="http://www.nevo.co.il/law/70301/301a.a.1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/301a.a.1" TargetMode="External"/><Relationship Id="rId34" Type="http://schemas.openxmlformats.org/officeDocument/2006/relationships/hyperlink" Target="http://www.nevo.co.il/law/70301/301a.a.1" TargetMode="External"/><Relationship Id="rId35" Type="http://schemas.openxmlformats.org/officeDocument/2006/relationships/hyperlink" Target="http://www.nevo.co.il/law/70301/301a.b" TargetMode="External"/><Relationship Id="rId36" Type="http://schemas.openxmlformats.org/officeDocument/2006/relationships/hyperlink" Target="http://www.nevo.co.il/law/70301/301a.a.1" TargetMode="External"/><Relationship Id="rId37" Type="http://schemas.openxmlformats.org/officeDocument/2006/relationships/hyperlink" Target="http://www.nevo.co.il/law/70301/301a.b" TargetMode="External"/><Relationship Id="rId38" Type="http://schemas.openxmlformats.org/officeDocument/2006/relationships/hyperlink" Target="http://www.nevo.co.il/law/70301/301a.a.1" TargetMode="External"/><Relationship Id="rId39" Type="http://schemas.openxmlformats.org/officeDocument/2006/relationships/hyperlink" Target="http://www.nevo.co.il/law/70301/301a.b" TargetMode="External"/><Relationship Id="rId40" Type="http://schemas.openxmlformats.org/officeDocument/2006/relationships/hyperlink" Target="http://www.nevo.co.il/law/70301/300.a.2" TargetMode="External"/><Relationship Id="rId41" Type="http://schemas.openxmlformats.org/officeDocument/2006/relationships/hyperlink" Target="http://www.nevo.co.il/law/70301/301a.a.7" TargetMode="External"/><Relationship Id="rId42" Type="http://schemas.openxmlformats.org/officeDocument/2006/relationships/hyperlink" Target="http://www.nevo.co.il/law/70301/301a.a.1" TargetMode="External"/><Relationship Id="rId43" Type="http://schemas.openxmlformats.org/officeDocument/2006/relationships/hyperlink" Target="http://www.nevo.co.il/case/26995434" TargetMode="External"/><Relationship Id="rId44" Type="http://schemas.openxmlformats.org/officeDocument/2006/relationships/hyperlink" Target="http://www.nevo.co.il/law/70301/301a.a" TargetMode="External"/><Relationship Id="rId45" Type="http://schemas.openxmlformats.org/officeDocument/2006/relationships/hyperlink" Target="http://www.nevo.co.il/law/70301/301a.b" TargetMode="External"/><Relationship Id="rId46" Type="http://schemas.openxmlformats.org/officeDocument/2006/relationships/hyperlink" Target="http://www.nevo.co.il/law/70301/300b.b" TargetMode="External"/><Relationship Id="rId47" Type="http://schemas.openxmlformats.org/officeDocument/2006/relationships/hyperlink" Target="http://www.nevo.co.il/law/70301/300.a" TargetMode="External"/><Relationship Id="rId48" Type="http://schemas.openxmlformats.org/officeDocument/2006/relationships/hyperlink" Target="http://www.nevo.co.il/law/70301/301a.a" TargetMode="External"/><Relationship Id="rId49" Type="http://schemas.openxmlformats.org/officeDocument/2006/relationships/hyperlink" Target="http://www.nevo.co.il/law/70301/301a.a.1" TargetMode="External"/><Relationship Id="rId50" Type="http://schemas.openxmlformats.org/officeDocument/2006/relationships/hyperlink" Target="http://www.nevo.co.il/law/70301/301a.a.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743107" TargetMode="External"/><Relationship Id="rId53" Type="http://schemas.openxmlformats.org/officeDocument/2006/relationships/hyperlink" Target="http://www.nevo.co.il/law/70301/300" TargetMode="External"/><Relationship Id="rId54" Type="http://schemas.openxmlformats.org/officeDocument/2006/relationships/hyperlink" Target="http://www.nevo.co.il/law/70301/300.a.2" TargetMode="External"/><Relationship Id="rId55" Type="http://schemas.openxmlformats.org/officeDocument/2006/relationships/hyperlink" Target="http://www.nevo.co.il/safrut/bookgroup/206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300.a" TargetMode="External"/><Relationship Id="rId58" Type="http://schemas.openxmlformats.org/officeDocument/2006/relationships/hyperlink" Target="http://www.nevo.co.il/law/70301/301.a" TargetMode="External"/><Relationship Id="rId59" Type="http://schemas.openxmlformats.org/officeDocument/2006/relationships/hyperlink" Target="http://www.nevo.co.il/safrut/book/13736" TargetMode="External"/><Relationship Id="rId60" Type="http://schemas.openxmlformats.org/officeDocument/2006/relationships/hyperlink" Target="http://www.nevo.co.il/law/70301/301a.a.1" TargetMode="External"/><Relationship Id="rId61" Type="http://schemas.openxmlformats.org/officeDocument/2006/relationships/hyperlink" Target="http://www.nevo.co.il/case/27608320" TargetMode="External"/><Relationship Id="rId62" Type="http://schemas.openxmlformats.org/officeDocument/2006/relationships/hyperlink" Target="http://www.nevo.co.il/case/26205760" TargetMode="External"/><Relationship Id="rId63" Type="http://schemas.openxmlformats.org/officeDocument/2006/relationships/hyperlink" Target="http://www.nevo.co.il/law/70301/300.a" TargetMode="External"/><Relationship Id="rId64" Type="http://schemas.openxmlformats.org/officeDocument/2006/relationships/hyperlink" Target="http://www.nevo.co.il/law/70301/301a.a.1" TargetMode="External"/><Relationship Id="rId65" Type="http://schemas.openxmlformats.org/officeDocument/2006/relationships/hyperlink" Target="http://www.nevo.co.il/case/27355022" TargetMode="External"/><Relationship Id="rId66" Type="http://schemas.openxmlformats.org/officeDocument/2006/relationships/hyperlink" Target="http://www.nevo.co.il/case/28116157" TargetMode="External"/><Relationship Id="rId67" Type="http://schemas.openxmlformats.org/officeDocument/2006/relationships/hyperlink" Target="http://www.nevo.co.il/case/22540397" TargetMode="External"/><Relationship Id="rId68" Type="http://schemas.openxmlformats.org/officeDocument/2006/relationships/hyperlink" Target="http://www.nevo.co.il/case/27260053" TargetMode="External"/><Relationship Id="rId69" Type="http://schemas.openxmlformats.org/officeDocument/2006/relationships/hyperlink" Target="http://www.nevo.co.il/case/24346421" TargetMode="External"/><Relationship Id="rId70" Type="http://schemas.openxmlformats.org/officeDocument/2006/relationships/hyperlink" Target="http://www.nevo.co.il/safrut/bookgroup/412" TargetMode="External"/><Relationship Id="rId71" Type="http://schemas.openxmlformats.org/officeDocument/2006/relationships/hyperlink" Target="http://www.nevo.co.il/case/27907586" TargetMode="External"/><Relationship Id="rId72" Type="http://schemas.openxmlformats.org/officeDocument/2006/relationships/hyperlink" Target="http://www.nevo.co.il/case/25727571" TargetMode="External"/><Relationship Id="rId73" Type="http://schemas.openxmlformats.org/officeDocument/2006/relationships/hyperlink" Target="http://www.nevo.co.il/law/70301/301a.a.1" TargetMode="External"/><Relationship Id="rId74" Type="http://schemas.openxmlformats.org/officeDocument/2006/relationships/hyperlink" Target="http://www.nevo.co.il/case/13041923" TargetMode="External"/><Relationship Id="rId75" Type="http://schemas.openxmlformats.org/officeDocument/2006/relationships/hyperlink" Target="http://www.nevo.co.il/safrut/book/5337" TargetMode="External"/><Relationship Id="rId76" Type="http://schemas.openxmlformats.org/officeDocument/2006/relationships/hyperlink" Target="http://www.nevo.co.il/law/98569/11" TargetMode="External"/><Relationship Id="rId77" Type="http://schemas.openxmlformats.org/officeDocument/2006/relationships/hyperlink" Target="http://www.nevo.co.il/law/98569/12" TargetMode="External"/><Relationship Id="rId78" Type="http://schemas.openxmlformats.org/officeDocument/2006/relationships/hyperlink" Target="http://www.nevo.co.il/law/98569" TargetMode="External"/><Relationship Id="rId79" Type="http://schemas.openxmlformats.org/officeDocument/2006/relationships/hyperlink" Target="http://www.nevo.co.il/case/20333390" TargetMode="External"/><Relationship Id="rId80" Type="http://schemas.openxmlformats.org/officeDocument/2006/relationships/hyperlink" Target="http://www.nevo.co.il/law/98569" TargetMode="External"/><Relationship Id="rId81" Type="http://schemas.openxmlformats.org/officeDocument/2006/relationships/hyperlink" Target="http://www.nevo.co.il/case/17914417%20" TargetMode="External"/><Relationship Id="rId82" Type="http://schemas.openxmlformats.org/officeDocument/2006/relationships/hyperlink" Target="http://www.nevo.co.il/law/70301/300.a" TargetMode="External"/><Relationship Id="rId83" Type="http://schemas.openxmlformats.org/officeDocument/2006/relationships/hyperlink" Target="http://www.nevo.co.il/law/70301/301a.a.1" TargetMode="External"/><Relationship Id="rId84" Type="http://schemas.openxmlformats.org/officeDocument/2006/relationships/hyperlink" Target="http://www.nevo.co.il/law/70301/301a.a.1" TargetMode="External"/><Relationship Id="rId85" Type="http://schemas.openxmlformats.org/officeDocument/2006/relationships/hyperlink" Target="http://www.nevo.co.il/case/27418439" TargetMode="External"/><Relationship Id="rId86" Type="http://schemas.openxmlformats.org/officeDocument/2006/relationships/hyperlink" Target="http://www.nevo.co.il/case/28685800" TargetMode="External"/><Relationship Id="rId87" Type="http://schemas.openxmlformats.org/officeDocument/2006/relationships/hyperlink" Target="http://www.nevo.co.il/case/28681495" TargetMode="External"/><Relationship Id="rId88" Type="http://schemas.openxmlformats.org/officeDocument/2006/relationships/hyperlink" Target="http://www.nevo.co.il/case/27189912" TargetMode="External"/><Relationship Id="rId89" Type="http://schemas.openxmlformats.org/officeDocument/2006/relationships/hyperlink" Target="http://www.nevo.co.il/law/70301/301a.a.1" TargetMode="External"/><Relationship Id="rId90" Type="http://schemas.openxmlformats.org/officeDocument/2006/relationships/hyperlink" Target="http://www.nevo.co.il/law/70301/301a.a.1" TargetMode="External"/><Relationship Id="rId91" Type="http://schemas.openxmlformats.org/officeDocument/2006/relationships/hyperlink" Target="http://www.nevo.co.il/law/70301/301a.b" TargetMode="External"/><Relationship Id="rId92" Type="http://schemas.openxmlformats.org/officeDocument/2006/relationships/hyperlink" Target="http://www.nevo.co.il/law/70301/301a.b" TargetMode="External"/><Relationship Id="rId93" Type="http://schemas.openxmlformats.org/officeDocument/2006/relationships/hyperlink" Target="http://www.nevo.co.il/law/70301/300.a.2" TargetMode="External"/><Relationship Id="rId94" Type="http://schemas.openxmlformats.org/officeDocument/2006/relationships/hyperlink" Target="http://www.nevo.co.il/law/70301/301a.a.1" TargetMode="External"/><Relationship Id="rId95" Type="http://schemas.openxmlformats.org/officeDocument/2006/relationships/hyperlink" Target="http://www.nevo.co.il/law/70301/301a.b" TargetMode="External"/><Relationship Id="rId96" Type="http://schemas.openxmlformats.org/officeDocument/2006/relationships/hyperlink" Target="https://supreme.court.gov.il/" TargetMode="External"/><Relationship Id="rId97" Type="http://schemas.openxmlformats.org/officeDocument/2006/relationships/hyperlink" Target="http://www.nevo.co.il/advertisements/nevo-100.doc" TargetMode="External"/><Relationship Id="rId98" Type="http://schemas.openxmlformats.org/officeDocument/2006/relationships/header" Target="header1.xml"/><Relationship Id="rId99" Type="http://schemas.openxmlformats.org/officeDocument/2006/relationships/footer" Target="footer1.xml"/><Relationship Id="rId100" Type="http://schemas.openxmlformats.org/officeDocument/2006/relationships/numbering" Target="numbering.xml"/><Relationship Id="rId101" Type="http://schemas.openxmlformats.org/officeDocument/2006/relationships/fontTable" Target="fontTable.xml"/><Relationship Id="rId102" Type="http://schemas.openxmlformats.org/officeDocument/2006/relationships/settings" Target="settings.xml"/><Relationship Id="rId10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2023-06-28T05:37:00Z</dcterms:created>
  <dc:creator>h4</dc:creator>
  <dc:description/>
  <cp:keywords/>
  <dc:language>en-IL</dc:language>
  <cp:lastModifiedBy>h1</cp:lastModifiedBy>
  <cp:lastPrinted>2023-06-25T07:02:00Z</cp:lastPrinted>
  <dcterms:modified xsi:type="dcterms:W3CDTF">2023-06-28T05:37:00Z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ויקטור ז'ירנוב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412;2063</vt:lpwstr>
  </property>
  <property fmtid="{D5CDD505-2E9C-101B-9397-08002B2CF9AE}" pid="5" name="BOOKLISTTMP1">
    <vt:lpwstr>5337;13736</vt:lpwstr>
  </property>
  <property fmtid="{D5CDD505-2E9C-101B-9397-08002B2CF9AE}" pid="6" name="CASESLISTTMP1">
    <vt:lpwstr>25777182:2;26995434;5743107;27608320;26205760;27355022;28116157;22540397;27260053;24346421;27907586;25727571;13041923;20333390;17914417;27418439;28685800;28681495;27189912</vt:lpwstr>
  </property>
  <property fmtid="{D5CDD505-2E9C-101B-9397-08002B2CF9AE}" pid="7" name="DATE">
    <vt:lpwstr>20230625</vt:lpwstr>
  </property>
  <property fmtid="{D5CDD505-2E9C-101B-9397-08002B2CF9AE}" pid="8" name="ISABSTRACT">
    <vt:lpwstr>Y</vt:lpwstr>
  </property>
  <property fmtid="{D5CDD505-2E9C-101B-9397-08002B2CF9AE}" pid="9" name="JUDGE">
    <vt:lpwstr>י' אלרון;א' שטיין;ר' רונן</vt:lpwstr>
  </property>
  <property fmtid="{D5CDD505-2E9C-101B-9397-08002B2CF9AE}" pid="10" name="LAWLISTTMP1">
    <vt:lpwstr>70301/301a.a.1:18;300.a.2:6;300.a:5;301a.a:3;301a.b:7;301a.a.7;300b.b;300;301.a</vt:lpwstr>
  </property>
  <property fmtid="{D5CDD505-2E9C-101B-9397-08002B2CF9AE}" pid="11" name="LAWLISTTMP2">
    <vt:lpwstr>98569/011;012</vt:lpwstr>
  </property>
  <property fmtid="{D5CDD505-2E9C-101B-9397-08002B2CF9AE}" pid="12" name="LAWYER">
    <vt:lpwstr>עילית מידן;ויסאם עראף</vt:lpwstr>
  </property>
  <property fmtid="{D5CDD505-2E9C-101B-9397-08002B2CF9AE}" pid="13" name="METAKZER">
    <vt:lpwstr>נעה</vt:lpwstr>
  </property>
  <property fmtid="{D5CDD505-2E9C-101B-9397-08002B2CF9AE}" pid="14" name="NOSE11">
    <vt:lpwstr>עונשין</vt:lpwstr>
  </property>
  <property fmtid="{D5CDD505-2E9C-101B-9397-08002B2CF9AE}" pid="15" name="NOSE110">
    <vt:lpwstr/>
  </property>
  <property fmtid="{D5CDD505-2E9C-101B-9397-08002B2CF9AE}" pid="16" name="NOSE12">
    <vt:lpwstr>עונשין</vt:lpwstr>
  </property>
  <property fmtid="{D5CDD505-2E9C-101B-9397-08002B2CF9AE}" pid="17" name="NOSE13">
    <vt:lpwstr>פרשנות</vt:lpwstr>
  </property>
  <property fmtid="{D5CDD505-2E9C-101B-9397-08002B2CF9AE}" pid="18" name="NOSE14">
    <vt:lpwstr/>
  </property>
  <property fmtid="{D5CDD505-2E9C-101B-9397-08002B2CF9AE}" pid="19" name="NOSE15">
    <vt:lpwstr/>
  </property>
  <property fmtid="{D5CDD505-2E9C-101B-9397-08002B2CF9AE}" pid="20" name="NOSE16">
    <vt:lpwstr/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77;77;84</vt:lpwstr>
  </property>
  <property fmtid="{D5CDD505-2E9C-101B-9397-08002B2CF9AE}" pid="25" name="NOSE21">
    <vt:lpwstr>עבירת הרצח</vt:lpwstr>
  </property>
  <property fmtid="{D5CDD505-2E9C-101B-9397-08002B2CF9AE}" pid="26" name="NOSE210">
    <vt:lpwstr/>
  </property>
  <property fmtid="{D5CDD505-2E9C-101B-9397-08002B2CF9AE}" pid="27" name="NOSE22">
    <vt:lpwstr>עבירת הרצח</vt:lpwstr>
  </property>
  <property fmtid="{D5CDD505-2E9C-101B-9397-08002B2CF9AE}" pid="28" name="NOSE23">
    <vt:lpwstr>דין</vt:lpwstr>
  </property>
  <property fmtid="{D5CDD505-2E9C-101B-9397-08002B2CF9AE}" pid="29" name="NOSE24">
    <vt:lpwstr/>
  </property>
  <property fmtid="{D5CDD505-2E9C-101B-9397-08002B2CF9AE}" pid="30" name="NOSE25">
    <vt:lpwstr/>
  </property>
  <property fmtid="{D5CDD505-2E9C-101B-9397-08002B2CF9AE}" pid="31" name="NOSE26">
    <vt:lpwstr/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12455;12455;1517</vt:lpwstr>
  </property>
  <property fmtid="{D5CDD505-2E9C-101B-9397-08002B2CF9AE}" pid="36" name="NOSE31">
    <vt:lpwstr>תיקון 137</vt:lpwstr>
  </property>
  <property fmtid="{D5CDD505-2E9C-101B-9397-08002B2CF9AE}" pid="37" name="NOSE310">
    <vt:lpwstr/>
  </property>
  <property fmtid="{D5CDD505-2E9C-101B-9397-08002B2CF9AE}" pid="38" name="NOSE32">
    <vt:lpwstr>רצח בנסיבות מחמירות</vt:lpwstr>
  </property>
  <property fmtid="{D5CDD505-2E9C-101B-9397-08002B2CF9AE}" pid="39" name="NOSE33">
    <vt:lpwstr>חוק העונשין</vt:lpwstr>
  </property>
  <property fmtid="{D5CDD505-2E9C-101B-9397-08002B2CF9AE}" pid="40" name="NOSE34">
    <vt:lpwstr/>
  </property>
  <property fmtid="{D5CDD505-2E9C-101B-9397-08002B2CF9AE}" pid="41" name="NOSE35">
    <vt:lpwstr/>
  </property>
  <property fmtid="{D5CDD505-2E9C-101B-9397-08002B2CF9AE}" pid="42" name="NOSE36">
    <vt:lpwstr/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18905;;9358</vt:lpwstr>
  </property>
  <property fmtid="{D5CDD505-2E9C-101B-9397-08002B2CF9AE}" pid="47" name="PADIDATE">
    <vt:lpwstr>20230625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4066</vt:lpwstr>
  </property>
  <property fmtid="{D5CDD505-2E9C-101B-9397-08002B2CF9AE}" pid="51" name="PROCYEAR">
    <vt:lpwstr>22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410120230625</vt:lpwstr>
  </property>
  <property fmtid="{D5CDD505-2E9C-101B-9397-08002B2CF9AE}" pid="55" name="TYPE_N_DATE">
    <vt:lpwstr>41020230625</vt:lpwstr>
  </property>
  <property fmtid="{D5CDD505-2E9C-101B-9397-08002B2CF9AE}" pid="56" name="WORDNUMPAGES">
    <vt:lpwstr>22</vt:lpwstr>
  </property>
</Properties>
</file>