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4074/18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גזר</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המחוזי</w:t>
            </w:r>
            <w:r>
              <w:rPr>
                <w:rFonts w:ascii="Century" w:hAnsi="Century" w:eastAsia="Century" w:cs="Century"/>
                <w:b/>
                <w:b/>
                <w:szCs w:val="24"/>
                <w:rtl w:val="true"/>
              </w:rPr>
              <w:t xml:space="preserve"> </w:t>
            </w:r>
            <w:r>
              <w:rPr>
                <w:rFonts w:ascii="Century" w:hAnsi="Century" w:cs="Miriam"/>
                <w:b/>
                <w:b/>
                <w:szCs w:val="24"/>
                <w:rtl w:val="true"/>
              </w:rPr>
              <w:t>לנוער</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ירושלים</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ת</w:t>
            </w:r>
            <w:r>
              <w:rPr>
                <w:rFonts w:cs="Miriam" w:ascii="Century" w:hAnsi="Century"/>
                <w:b/>
                <w:szCs w:val="24"/>
                <w:rtl w:val="true"/>
              </w:rPr>
              <w:t>"</w:t>
            </w:r>
            <w:r>
              <w:rPr>
                <w:rFonts w:ascii="Century" w:hAnsi="Century" w:cs="Miriam"/>
                <w:b/>
                <w:b/>
                <w:szCs w:val="24"/>
                <w:rtl w:val="true"/>
              </w:rPr>
              <w:t>פ</w:t>
            </w:r>
            <w:r>
              <w:rPr>
                <w:rFonts w:ascii="Century" w:hAnsi="Century" w:eastAsia="Century" w:cs="Century"/>
                <w:b/>
                <w:b/>
                <w:szCs w:val="24"/>
                <w:rtl w:val="true"/>
              </w:rPr>
              <w:t xml:space="preserve"> </w:t>
            </w:r>
            <w:r>
              <w:rPr>
                <w:rFonts w:cs="Miriam" w:ascii="Century" w:hAnsi="Century"/>
                <w:b/>
                <w:szCs w:val="24"/>
              </w:rPr>
              <w:t>60123-11-17</w:t>
            </w:r>
            <w:r>
              <w:rPr>
                <w:rFonts w:cs="Miriam" w:ascii="Century" w:hAnsi="Century"/>
                <w:b/>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11.</w:t>
            </w:r>
            <w:r>
              <w:rPr>
                <w:rFonts w:cs="Miriam" w:ascii="Century" w:hAnsi="Century"/>
                <w:b/>
                <w:szCs w:val="24"/>
              </w:rPr>
              <w:t>4</w:t>
            </w:r>
            <w:r>
              <w:rPr>
                <w:rFonts w:cs="Miriam" w:ascii="Century" w:hAnsi="Century"/>
                <w:b/>
                <w:szCs w:val="24"/>
              </w:rPr>
              <w:t>.2018</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כב</w:t>
            </w:r>
            <w:r>
              <w:rPr>
                <w:rFonts w:cs="Miriam" w:ascii="Century" w:hAnsi="Century"/>
                <w:b/>
                <w:szCs w:val="24"/>
                <w:rtl w:val="true"/>
              </w:rPr>
              <w:t xml:space="preserve">' </w:t>
            </w:r>
            <w:r>
              <w:rPr>
                <w:rFonts w:ascii="Century" w:hAnsi="Century" w:cs="Miriam"/>
                <w:b/>
                <w:b/>
                <w:szCs w:val="24"/>
                <w:rtl w:val="true"/>
              </w:rPr>
              <w:t>השופט</w:t>
            </w:r>
            <w:r>
              <w:rPr>
                <w:rFonts w:ascii="Century" w:hAnsi="Century" w:eastAsia="Century" w:cs="Century"/>
                <w:b/>
                <w:b/>
                <w:szCs w:val="24"/>
                <w:rtl w:val="true"/>
              </w:rPr>
              <w:t xml:space="preserve"> </w:t>
            </w:r>
            <w:r>
              <w:rPr>
                <w:rFonts w:ascii="Century" w:hAnsi="Century" w:cs="Miriam"/>
                <w:b/>
                <w:b/>
                <w:szCs w:val="24"/>
                <w:rtl w:val="true"/>
              </w:rPr>
              <w:t>אלכסנדר</w:t>
            </w:r>
            <w:r>
              <w:rPr>
                <w:rFonts w:ascii="Century" w:hAnsi="Century" w:eastAsia="Century" w:cs="Century"/>
                <w:b/>
                <w:b/>
                <w:szCs w:val="24"/>
                <w:rtl w:val="true"/>
              </w:rPr>
              <w:t xml:space="preserve"> </w:t>
            </w:r>
            <w:r>
              <w:rPr>
                <w:rFonts w:ascii="Century" w:hAnsi="Century" w:cs="Miriam"/>
                <w:b/>
                <w:b/>
                <w:szCs w:val="24"/>
                <w:rtl w:val="true"/>
              </w:rPr>
              <w:t>רון</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140"/>
        <w:gridCol w:w="993"/>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140" w:type="dxa"/>
            <w:tcBorders/>
          </w:tcPr>
          <w:p>
            <w:pPr>
              <w:pStyle w:val="BodyRuller1"/>
              <w:ind w:end="0"/>
              <w:jc w:val="start"/>
              <w:rPr/>
            </w:pPr>
            <w:r>
              <w:rPr>
                <w:sz w:val="26"/>
                <w:sz w:val="26"/>
                <w:szCs w:val="26"/>
                <w:rtl w:val="true"/>
              </w:rPr>
              <w:t>כ</w:t>
            </w:r>
            <w:r>
              <w:rPr>
                <w:sz w:val="26"/>
                <w:szCs w:val="26"/>
                <w:rtl w:val="true"/>
              </w:rPr>
              <w:t>"</w:t>
            </w:r>
            <w:r>
              <w:rPr>
                <w:sz w:val="26"/>
                <w:sz w:val="26"/>
                <w:szCs w:val="26"/>
                <w:rtl w:val="true"/>
              </w:rPr>
              <w:t>ח</w:t>
            </w:r>
            <w:r>
              <w:rPr>
                <w:rFonts w:cs="Times New Roman;Times New Roman"/>
                <w:sz w:val="26"/>
                <w:sz w:val="26"/>
                <w:szCs w:val="26"/>
                <w:rtl w:val="true"/>
              </w:rPr>
              <w:t xml:space="preserve"> </w:t>
            </w:r>
            <w:r>
              <w:rPr>
                <w:sz w:val="26"/>
                <w:sz w:val="26"/>
                <w:szCs w:val="26"/>
                <w:rtl w:val="true"/>
              </w:rPr>
              <w:t>בסיון</w:t>
            </w:r>
            <w:r>
              <w:rPr>
                <w:rFonts w:cs="Times New Roman;Times New Roman"/>
                <w:sz w:val="26"/>
                <w:sz w:val="26"/>
                <w:szCs w:val="26"/>
                <w:rtl w:val="true"/>
              </w:rPr>
              <w:t xml:space="preserve"> </w:t>
            </w:r>
            <w:r>
              <w:rPr>
                <w:sz w:val="26"/>
                <w:sz w:val="26"/>
                <w:szCs w:val="26"/>
                <w:rtl w:val="true"/>
              </w:rPr>
              <w:t>התשע</w:t>
            </w:r>
            <w:r>
              <w:rPr>
                <w:sz w:val="26"/>
                <w:szCs w:val="26"/>
                <w:rtl w:val="true"/>
              </w:rPr>
              <w:t>"</w:t>
            </w:r>
            <w:r>
              <w:rPr>
                <w:sz w:val="26"/>
                <w:sz w:val="26"/>
                <w:szCs w:val="26"/>
                <w:rtl w:val="true"/>
              </w:rPr>
              <w:t>ט</w:t>
            </w:r>
            <w:r>
              <w:rPr>
                <w:rFonts w:cs="Times New Roman;Times New Roman"/>
                <w:sz w:val="26"/>
                <w:sz w:val="26"/>
                <w:szCs w:val="26"/>
                <w:rtl w:val="true"/>
              </w:rPr>
              <w:t xml:space="preserve"> </w:t>
            </w:r>
            <w:r>
              <w:rPr>
                <w:sz w:val="26"/>
                <w:szCs w:val="26"/>
                <w:rtl w:val="true"/>
              </w:rPr>
              <w:t>(</w:t>
            </w:r>
            <w:r>
              <w:rPr>
                <w:sz w:val="26"/>
                <w:szCs w:val="26"/>
              </w:rPr>
              <w:t>1</w:t>
            </w:r>
            <w:r>
              <w:rPr>
                <w:sz w:val="26"/>
                <w:szCs w:val="26"/>
              </w:rPr>
              <w:t>.</w:t>
            </w:r>
            <w:r>
              <w:rPr>
                <w:sz w:val="26"/>
                <w:szCs w:val="26"/>
              </w:rPr>
              <w:t>7</w:t>
            </w:r>
            <w:r>
              <w:rPr>
                <w:sz w:val="26"/>
                <w:szCs w:val="26"/>
              </w:rPr>
              <w:t>.</w:t>
            </w:r>
            <w:r>
              <w:rPr>
                <w:sz w:val="26"/>
                <w:szCs w:val="26"/>
              </w:rPr>
              <w:t>2019</w:t>
            </w:r>
            <w:r>
              <w:rPr>
                <w:sz w:val="26"/>
                <w:szCs w:val="26"/>
                <w:rtl w:val="true"/>
              </w:rPr>
              <w:t>)</w:t>
            </w:r>
          </w:p>
        </w:tc>
        <w:tc>
          <w:tcPr>
            <w:tcW w:w="993"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דוד</w:t>
            </w:r>
            <w:r>
              <w:rPr>
                <w:rFonts w:cs="Times New Roman;Times New Roman"/>
                <w:rtl w:val="true"/>
              </w:rPr>
              <w:t xml:space="preserve"> </w:t>
            </w:r>
            <w:r>
              <w:rPr>
                <w:rtl w:val="true"/>
              </w:rPr>
              <w:t>הלוי</w:t>
            </w:r>
            <w:r>
              <w:rPr>
                <w:rFonts w:cs="Times New Roman;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אפרת</w:t>
            </w:r>
            <w:r>
              <w:rPr>
                <w:rFonts w:cs="Times New Roman;Times New Roman"/>
                <w:rtl w:val="true"/>
              </w:rPr>
              <w:t xml:space="preserve"> </w:t>
            </w:r>
            <w:r>
              <w:rPr>
                <w:rtl w:val="true"/>
              </w:rPr>
              <w:t>גולדשטיין</w:t>
            </w:r>
          </w:p>
        </w:tc>
      </w:tr>
    </w:tbl>
    <w:p>
      <w:pPr>
        <w:pStyle w:val="Ruller4"/>
        <w:ind w:end="0"/>
        <w:jc w:val="both"/>
        <w:rPr>
          <w:rFonts w:ascii="Century" w:hAnsi="Century" w:cs="Century"/>
        </w:rPr>
      </w:pPr>
      <w:r>
        <w:rPr>
          <w:rFonts w:cs="Century" w:ascii="Century" w:hAnsi="Century"/>
          <w:rtl w:val="true"/>
        </w:rPr>
      </w:r>
    </w:p>
    <w:tbl>
      <w:tblPr>
        <w:bidiVisual w:val="true"/>
        <w:tblW w:w="8363" w:type="dxa"/>
        <w:jc w:val="start"/>
        <w:tblInd w:w="138"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לנוער</w:t>
            </w:r>
            <w:r>
              <w:rPr>
                <w:rtl w:val="true"/>
              </w:rPr>
              <w:t>:</w:t>
            </w:r>
          </w:p>
        </w:tc>
        <w:tc>
          <w:tcPr>
            <w:tcW w:w="5152" w:type="dxa"/>
            <w:tcBorders/>
          </w:tcPr>
          <w:p>
            <w:pPr>
              <w:pStyle w:val="BodyRuller1"/>
              <w:ind w:end="0"/>
              <w:jc w:val="start"/>
              <w:rPr/>
            </w:pPr>
            <w:r>
              <w:rPr>
                <w:rtl w:val="true"/>
              </w:rPr>
              <w:t>הגב</w:t>
            </w:r>
            <w:r>
              <w:rPr>
                <w:rtl w:val="true"/>
              </w:rPr>
              <w:t xml:space="preserve">' </w:t>
            </w:r>
            <w:r>
              <w:rPr>
                <w:rtl w:val="true"/>
              </w:rPr>
              <w:t>טלי</w:t>
            </w:r>
            <w:r>
              <w:rPr>
                <w:rFonts w:cs="Times New Roman;Times New Roman"/>
                <w:rtl w:val="true"/>
              </w:rPr>
              <w:t xml:space="preserve"> </w:t>
            </w:r>
            <w:r>
              <w:rPr>
                <w:rtl w:val="true"/>
              </w:rPr>
              <w:t>סמואל</w:t>
            </w:r>
          </w:p>
        </w:tc>
      </w:tr>
    </w:tbl>
    <w:p>
      <w:pPr>
        <w:pStyle w:val="Ruller4"/>
        <w:ind w:end="0"/>
        <w:jc w:val="both"/>
        <w:rPr>
          <w:rFonts w:ascii="Century" w:hAnsi="Century" w:cs="Century"/>
        </w:rPr>
      </w:pPr>
      <w:r>
        <w:rPr>
          <w:rFonts w:cs="Century" w:ascii="Century" w:hAnsi="Century"/>
          <w:rtl w:val="true"/>
        </w:rPr>
      </w:r>
    </w:p>
    <w:p>
      <w:pPr>
        <w:pStyle w:val="Ruller4"/>
        <w:spacing w:lineRule="exact" w:line="240" w:before="0" w:after="120"/>
        <w:ind w:hanging="283" w:start="283" w:end="0"/>
        <w:jc w:val="both"/>
        <w:rPr>
          <w:rFonts w:ascii="FrankRuehl" w:hAnsi="FrankRuehl" w:cs="FrankRuehl"/>
          <w:spacing w:val="0"/>
          <w:sz w:val="24"/>
          <w:szCs w:val="24"/>
        </w:rPr>
      </w:pPr>
      <w:bookmarkStart w:id="5" w:name="LawTable"/>
      <w:bookmarkEnd w:id="5"/>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4"/>
        <w:spacing w:lineRule="exact" w:line="240" w:before="0" w:after="120"/>
        <w:ind w:hanging="283" w:start="283" w:end="0"/>
        <w:jc w:val="both"/>
        <w:rPr>
          <w:rFonts w:ascii="FrankRuehl" w:hAnsi="FrankRuehl" w:cs="FrankRuehl"/>
          <w:spacing w:val="0"/>
          <w:sz w:val="24"/>
          <w:szCs w:val="24"/>
        </w:rPr>
      </w:pPr>
      <w:hyperlink r:id="rId2">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3">
        <w:r>
          <w:rPr>
            <w:rStyle w:val="Hyperlink"/>
            <w:rFonts w:cs="FrankRuehl" w:ascii="FrankRuehl" w:hAnsi="FrankRuehl"/>
            <w:color w:val="0000FF"/>
            <w:spacing w:val="0"/>
            <w:sz w:val="24"/>
            <w:szCs w:val="24"/>
            <w:u w:val="single"/>
          </w:rPr>
          <w:t>186</w:t>
        </w:r>
      </w:hyperlink>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244</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275</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402</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403</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טו</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טו</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428</w:t>
        </w:r>
      </w:hyperlink>
    </w:p>
    <w:p>
      <w:pPr>
        <w:pStyle w:val="Ruller4"/>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6" w:name="ABSTRACT_START"/>
      <w:bookmarkStart w:id="7" w:name="LawTable_End"/>
      <w:bookmarkEnd w:id="6"/>
      <w:bookmarkEnd w:id="7"/>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פסק כי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ענייננו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קטין אשר הורשע בביצוע עבירות 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סחיטה באיומים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גניבה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שימוש בסמים ועבירות רבות נוספות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מצדיק התערבות במידת עונש המאסר בפועל שהושת עליו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בהיותו חמור יתר על המידה ואינו משקף את האיזון הראוי בין מכלול שיקולי הענישה הרלוונטיים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לפיכך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המערער ירצה </w:t>
      </w:r>
      <w:r>
        <w:rPr>
          <w:rFonts w:cs="Times New Roman;Times New Roman" w:ascii="Times New Roman;Times New Roman" w:hAnsi="Times New Roman;Times New Roman"/>
          <w:spacing w:val="0"/>
          <w:szCs w:val="26"/>
        </w:rPr>
        <w:t>3</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שנות מאסר בפועל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חלף </w:t>
      </w:r>
      <w:r>
        <w:rPr>
          <w:rFonts w:cs="Times New Roman;Times New Roman" w:ascii="Times New Roman;Times New Roman" w:hAnsi="Times New Roman;Times New Roman"/>
          <w:spacing w:val="0"/>
          <w:szCs w:val="26"/>
        </w:rPr>
        <w:t>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שנים</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שיקולי ענישה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שיקולים לקולה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קטינים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אחדות הענישה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המערער הורשע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פי הודייתו במסגרת הסדר טיעון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בביצוע עבירות 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סחיטה באיומים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החזקת אגרופן או סכין שלא כדין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הפרעה לשוטר בשעת מילוי תפקידו ושיבוש הליכי משפט</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כמו כן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במסגרת הסדר הטיעון הורשע המערער על יסוד הודייתו בחמישה כתבי אישום נוספים שייחסו למערער בין היתר עבירות של שימוש בסמים לצריכה עצמית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פריצה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גניבה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תקיפה וחבלה ממשית בנסיבות מחמירות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איומים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נהיגה ללא רישיון בתוקף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וכן שימוש ברכב ללא רשות ונהיגה בדרך רשלנית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על המערער הושת עונש של </w:t>
      </w:r>
      <w:r>
        <w:rPr>
          <w:rFonts w:cs="Times New Roman;Times New Roman" w:ascii="Times New Roman;Times New Roman" w:hAnsi="Times New Roman;Times New Roman"/>
          <w:spacing w:val="0"/>
          <w:szCs w:val="26"/>
        </w:rPr>
        <w:t>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ועונשים נוספים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הערעור נסב אודות חומרת העונש</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אלרון ובהסכמת השופטים הנדל ו</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וילנר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קיבל את הערעור ופסק כי</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ככלל אין זו מדרכה של ערכאת הערעור להתערב בעונש שהשיתה הערכאה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אם כן העונש שנגזר סוטה באופן מהותי ממדיניות הענישה המקובלת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עניינו של המערער מצדיק התערבות במידת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בהיותו חמור יתר על המידה ואינו משקף את האיזון הראוי בין מכלול שיקולי הענישה הרלוונטיים בעניינו של המערער</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היה על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ליתן הנמקה רחבה יותר של מכלול השיקולים שהביאו אותו לגזור את דינו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אמנם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לפי סעיף </w:t>
      </w:r>
      <w:r>
        <w:rPr>
          <w:rFonts w:cs="Times New Roman;Times New Roman" w:ascii="Times New Roman;Times New Roman" w:hAnsi="Times New Roman;Times New Roman"/>
          <w:spacing w:val="0"/>
          <w:szCs w:val="26"/>
        </w:rPr>
        <w:t>40</w:t>
      </w:r>
      <w:r>
        <w:rPr>
          <w:rFonts w:ascii="Times New Roman;Times New Roman" w:hAnsi="Times New Roman;Times New Roman" w:cs="Times New Roman;Times New Roman"/>
          <w:spacing w:val="0"/>
          <w:szCs w:val="26"/>
          <w:rtl w:val="true"/>
        </w:rPr>
        <w:t>טו</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 העונשין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הוראות תיקון </w:t>
      </w:r>
      <w:r>
        <w:rPr>
          <w:rFonts w:cs="Times New Roman;Times New Roman" w:ascii="Times New Roman;Times New Roman" w:hAnsi="Times New Roman;Times New Roman"/>
          <w:spacing w:val="0"/>
          <w:szCs w:val="26"/>
        </w:rPr>
        <w:t>113</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אינן חלות על ענישת קטין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אולם לפי סעיף </w:t>
      </w:r>
      <w:r>
        <w:rPr>
          <w:rFonts w:cs="Times New Roman;Times New Roman" w:ascii="Times New Roman;Times New Roman" w:hAnsi="Times New Roman;Times New Roman"/>
          <w:spacing w:val="0"/>
          <w:szCs w:val="26"/>
        </w:rPr>
        <w:t>40</w:t>
      </w:r>
      <w:r>
        <w:rPr>
          <w:rFonts w:ascii="Times New Roman;Times New Roman" w:hAnsi="Times New Roman;Times New Roman" w:cs="Times New Roman;Times New Roman"/>
          <w:spacing w:val="0"/>
          <w:szCs w:val="26"/>
          <w:rtl w:val="true"/>
        </w:rPr>
        <w:t>טו</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רשאי להתחשב בעקרונות המנחים של תיקון זה תוך התאמתם לקביעת עונשו של קטין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מן הראוי כי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רוחו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של התיקון תחול גם על גזרי דינם של קטינים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באופן שככלל רצוי כי בתי המשפט יתחשבו במידה מסוימת במדיניות הענישה הנוהגת במקרים בעלי נסיבות דומות בבואם לגזור עונשו של נאשם שהוא קטין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וכך אף היה נכון וראוי לנהוג לפני התיקון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משכך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טוב היה עושה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לו היה נדרש במסגרת גזר דינו למדיניות הענישה הנוהגת במקרים בעלי נסיבות דומות למקרה שלפניו והיה בוחן לאורהּ</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את העונש ההולם למעשי המערער</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זאת ועוד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נדמה כי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ייחס משקל מצומצם בלבד להיות המערער קטין בעת מועד ביצוע העבירות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מסיבה זו מוצדק להפחית מעונשו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שקטינוּת כשלעצמה אינה מעניקה חסינות מפני השתת עונש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בנסיבות המצדיקות 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בעבירות שבוצעו על ידי קטינים הנחת המוצא היא כי נקודת האיזון בין שיקולי גמול והרתעה ושיקולי שיקום נוטה לטובת שיקולי השיקום במובן זה שיינתן משקל רב לאפשרות שיקומו ושילובו מחדש של הקטין בחברה ולנסיבותיו האישיות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בנסיבות העניין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ננעלה הדלת מפני סיכויי שיקומו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ולכך יש לתת ביטוי בקביעת מידת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להודיית המערער בעבירות המיוחסות לו במסגרת הסדר טיעון מקיף יש ליתן משקל בקביעת מידת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מעבר למשקל שניתן לה בבימ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גם עיקרון אחידות הענישה תומך בהקלה מסוימת בעונשו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שכן עיון השוואתי בין העונש שהוטל על המערער לבין העונש שהוטל על שותפו מלמד כי לא מתקיים יחס אחיד בין העונשים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חרף השוני המשמעותי בין חלקו של המערער בפרשה לחלקו של השותף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לנוכח כל האמור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דין הערעור על חומרת העונש להתקבל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במובן זה שעונש המאסר שהוטל על המערער יופחת ל</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3</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בניכוי ימי מעצרו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יתר רכיבי הענישה יוותרו על כנם</w:t>
      </w:r>
      <w:r>
        <w:rPr>
          <w:rFonts w:cs="Times New Roman;Times New Roman" w:ascii="Times New Roman;Times New Roman" w:hAnsi="Times New Roman;Times New Roman"/>
          <w:spacing w:val="0"/>
          <w:szCs w:val="26"/>
          <w:rtl w:val="true"/>
        </w:rPr>
        <w:t xml:space="preserve">. </w:t>
      </w:r>
    </w:p>
    <w:p>
      <w:pPr>
        <w:pStyle w:val="Ruller4"/>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Ruller4"/>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1"/>
        <w:numPr>
          <w:ilvl w:val="0"/>
          <w:numId w:val="1"/>
        </w:numPr>
        <w:ind w:hanging="0" w:start="0" w:end="0"/>
        <w:jc w:val="both"/>
        <w:rPr/>
      </w:pPr>
      <w:r>
        <w:rPr>
          <w:rtl w:val="true"/>
        </w:rPr>
        <w:t xml:space="preserve">לפנינו ערעור על גזר דינו של בית המשפט המחוזי לנוער בירושלים </w:t>
      </w:r>
      <w:r>
        <w:rPr>
          <w:rtl w:val="true"/>
        </w:rPr>
        <w:t>(</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רון</w:t>
      </w:r>
      <w:r>
        <w:rPr>
          <w:rFonts w:cs="Century" w:ascii="Century" w:hAnsi="Century"/>
          <w:sz w:val="22"/>
          <w:rtl w:val="true"/>
        </w:rPr>
        <w:t>)</w:t>
      </w:r>
      <w:r>
        <w:rPr>
          <w:rtl w:val="true"/>
        </w:rPr>
        <w:t xml:space="preserve"> </w:t>
      </w:r>
      <w:r>
        <w:rPr>
          <w:rtl w:val="true"/>
        </w:rPr>
        <w:t>ב</w:t>
      </w:r>
      <w:r>
        <w:rPr>
          <w:rtl w:val="true"/>
        </w:rPr>
        <w:t>ת</w:t>
      </w:r>
      <w:r>
        <w:rPr>
          <w:rtl w:val="true"/>
        </w:rPr>
        <w:t>"</w:t>
      </w:r>
      <w:r>
        <w:rPr>
          <w:rtl w:val="true"/>
        </w:rPr>
        <w:t>פ</w:t>
      </w:r>
      <w:r>
        <w:rPr>
          <w:rtl w:val="true"/>
        </w:rPr>
        <w:t xml:space="preserve"> </w:t>
      </w:r>
      <w:r>
        <w:rPr/>
        <w:t>60123-11-17</w:t>
      </w:r>
      <w:r>
        <w:rPr>
          <w:rtl w:val="true"/>
        </w:rPr>
        <w:t xml:space="preserve"> </w:t>
      </w:r>
      <w:r>
        <w:rPr>
          <w:rFonts w:ascii="Century" w:hAnsi="Century" w:cs="Century"/>
          <w:sz w:val="22"/>
          <w:sz w:val="22"/>
          <w:rtl w:val="true"/>
        </w:rPr>
        <w:t xml:space="preserve">מיום </w:t>
      </w:r>
      <w:r>
        <w:rPr>
          <w:rFonts w:cs="Century" w:ascii="Century" w:hAnsi="Century"/>
          <w:sz w:val="22"/>
        </w:rPr>
        <w:t>11.4.2018</w:t>
      </w:r>
      <w:r>
        <w:rPr>
          <w:rFonts w:cs="Century" w:ascii="Century" w:hAnsi="Century"/>
          <w:sz w:val="22"/>
          <w:rtl w:val="true"/>
        </w:rPr>
        <w:t xml:space="preserve"> </w:t>
      </w:r>
      <w:r>
        <w:rPr>
          <w:rFonts w:ascii="Century" w:hAnsi="Century" w:cs="Century"/>
          <w:sz w:val="22"/>
          <w:sz w:val="22"/>
          <w:rtl w:val="true"/>
        </w:rPr>
        <w:t xml:space="preserve">בגדרו הושת על המערער </w:t>
      </w:r>
      <w:r>
        <w:rPr>
          <w:rtl w:val="true"/>
        </w:rPr>
        <w:t xml:space="preserve">עונש של </w:t>
      </w:r>
      <w:r>
        <w:rPr/>
        <w:t>4</w:t>
      </w:r>
      <w:r>
        <w:rPr>
          <w:rtl w:val="true"/>
        </w:rPr>
        <w:t xml:space="preserve"> </w:t>
      </w:r>
      <w:r>
        <w:rPr>
          <w:rtl w:val="true"/>
        </w:rPr>
        <w:t>שנות מאסר בפועל</w:t>
      </w:r>
      <w:r>
        <w:rPr>
          <w:rtl w:val="true"/>
        </w:rPr>
        <w:t xml:space="preserve">, </w:t>
      </w:r>
      <w:r>
        <w:rPr>
          <w:rtl w:val="true"/>
        </w:rPr>
        <w:t xml:space="preserve">ולצדו הופעל בחופף עונש מאסר מותנה בן </w:t>
      </w:r>
      <w:r>
        <w:rPr/>
        <w:t>3</w:t>
      </w:r>
      <w:r>
        <w:rPr>
          <w:rtl w:val="true"/>
        </w:rPr>
        <w:t xml:space="preserve"> </w:t>
      </w:r>
      <w:r>
        <w:rPr>
          <w:rtl w:val="true"/>
        </w:rPr>
        <w:t xml:space="preserve">חודשים אשר נגזר עליו במסגרת </w:t>
      </w:r>
      <w:r>
        <w:rPr>
          <w:rtl w:val="true"/>
        </w:rPr>
        <w:t>ת</w:t>
      </w:r>
      <w:r>
        <w:rPr>
          <w:rtl w:val="true"/>
        </w:rPr>
        <w:t>"</w:t>
      </w:r>
      <w:r>
        <w:rPr>
          <w:rtl w:val="true"/>
        </w:rPr>
        <w:t>פ</w:t>
      </w:r>
      <w:r>
        <w:rPr>
          <w:rtl w:val="true"/>
        </w:rPr>
        <w:t xml:space="preserve"> </w:t>
      </w:r>
      <w:r>
        <w:rPr/>
        <w:t>63151-03-15</w:t>
      </w:r>
      <w:r>
        <w:rPr>
          <w:rtl w:val="true"/>
        </w:rPr>
        <w:t xml:space="preserve">; </w:t>
      </w:r>
      <w:r>
        <w:rPr>
          <w:rtl w:val="true"/>
        </w:rPr>
        <w:t xml:space="preserve">עונש של </w:t>
      </w:r>
      <w:r>
        <w:rPr/>
        <w:t>6</w:t>
      </w:r>
      <w:r>
        <w:rPr>
          <w:rtl w:val="true"/>
        </w:rPr>
        <w:t xml:space="preserve"> </w:t>
      </w:r>
      <w:r>
        <w:rPr>
          <w:rtl w:val="true"/>
        </w:rPr>
        <w:t>חודשי מאסר על תנאי למשך שנתיים</w:t>
      </w:r>
      <w:r>
        <w:rPr>
          <w:rtl w:val="true"/>
        </w:rPr>
        <w:t xml:space="preserve">; </w:t>
      </w:r>
      <w:r>
        <w:rPr>
          <w:rtl w:val="true"/>
        </w:rPr>
        <w:t>פסילה מקבלת רישיון נהיגה למשך שנתיים</w:t>
      </w:r>
      <w:r>
        <w:rPr>
          <w:rtl w:val="true"/>
        </w:rPr>
        <w:t xml:space="preserve">; </w:t>
      </w:r>
      <w:r>
        <w:rPr>
          <w:rtl w:val="true"/>
        </w:rPr>
        <w:t xml:space="preserve">וכן תשלום פיצויים למתלונן בסך </w:t>
      </w:r>
      <w:r>
        <w:rPr/>
        <w:t>10,000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כמתואר באישום הראשון בכתב האישום</w:t>
      </w:r>
      <w:r>
        <w:rPr>
          <w:rtl w:val="true"/>
        </w:rPr>
        <w:t xml:space="preserve">, </w:t>
      </w:r>
      <w:r>
        <w:rPr>
          <w:rtl w:val="true"/>
        </w:rPr>
        <w:t xml:space="preserve">בחמש הזדמנויות שונות במהלך שנת </w:t>
      </w:r>
      <w:r>
        <w:rPr/>
        <w:t>2017</w:t>
      </w:r>
      <w:r>
        <w:rPr>
          <w:rtl w:val="true"/>
        </w:rPr>
        <w:t xml:space="preserve"> </w:t>
      </w:r>
      <w:r>
        <w:rPr>
          <w:rtl w:val="true"/>
        </w:rPr>
        <w:t>פנה המערער</w:t>
      </w:r>
      <w:r>
        <w:rPr>
          <w:rtl w:val="true"/>
        </w:rPr>
        <w:t xml:space="preserve">, </w:t>
      </w:r>
      <w:r>
        <w:rPr>
          <w:rtl w:val="true"/>
        </w:rPr>
        <w:t xml:space="preserve">שהיה קטין </w:t>
      </w:r>
      <w:r>
        <w:rPr>
          <w:rtl w:val="true"/>
        </w:rPr>
        <w:t>במועדים הרלוונטיים לכתב האישום</w:t>
      </w:r>
      <w:r>
        <w:rPr>
          <w:rtl w:val="true"/>
        </w:rPr>
        <w:t xml:space="preserve">, </w:t>
      </w:r>
      <w:r>
        <w:rPr>
          <w:rtl w:val="true"/>
        </w:rPr>
        <w:t xml:space="preserve">אל המתלונן באמצעות שיחות טלפון ומִסְרוֹנִים ודרש ממנו באיומים כי ימסור לו סכומי כסף הנעים בין </w:t>
      </w:r>
      <w:r>
        <w:rPr/>
        <w:t>300</w:t>
      </w:r>
      <w:r>
        <w:rPr>
          <w:rtl w:val="true"/>
        </w:rPr>
        <w:t xml:space="preserve"> </w:t>
      </w:r>
      <w:r>
        <w:rPr>
          <w:rtl w:val="true"/>
        </w:rPr>
        <w:t>ל</w:t>
      </w:r>
      <w:r>
        <w:rPr>
          <w:rtl w:val="true"/>
        </w:rPr>
        <w:t>-</w:t>
      </w:r>
      <w:r>
        <w:rPr/>
        <w:t>1,000</w:t>
      </w:r>
      <w:r>
        <w:rPr>
          <w:rtl w:val="true"/>
        </w:rPr>
        <w:t xml:space="preserve"> </w:t>
      </w:r>
      <w:r>
        <w:rPr>
          <w:rtl w:val="true"/>
        </w:rPr>
        <w:t>ש</w:t>
      </w:r>
      <w:r>
        <w:rPr>
          <w:rtl w:val="true"/>
        </w:rPr>
        <w:t>"</w:t>
      </w:r>
      <w:r>
        <w:rPr>
          <w:rtl w:val="true"/>
        </w:rPr>
        <w:t>ח</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בין היתר</w:t>
      </w:r>
      <w:r>
        <w:rPr>
          <w:rtl w:val="true"/>
        </w:rPr>
        <w:t xml:space="preserve">, </w:t>
      </w:r>
      <w:r>
        <w:rPr>
          <w:rtl w:val="true"/>
        </w:rPr>
        <w:t>איים המערער על המתלונן כי יהרוג אותו וישרוף את ביתו אם לא יעביר לידיו את הכספים אותם דרש</w:t>
      </w:r>
      <w:r>
        <w:rPr>
          <w:rtl w:val="true"/>
        </w:rPr>
        <w:t xml:space="preserve">, </w:t>
      </w:r>
      <w:r>
        <w:rPr>
          <w:rtl w:val="true"/>
        </w:rPr>
        <w:t xml:space="preserve">ובהזדמנות אחת אף דרש כי ימסור לו מספר טלפון של בחורה מסוימת וכי </w:t>
      </w:r>
      <w:r>
        <w:rPr>
          <w:rtl w:val="true"/>
        </w:rPr>
        <w:t>"</w:t>
      </w:r>
      <w:r>
        <w:rPr>
          <w:rtl w:val="true"/>
        </w:rPr>
        <w:t>יזמין</w:t>
      </w:r>
      <w:r>
        <w:rPr>
          <w:rtl w:val="true"/>
        </w:rPr>
        <w:t xml:space="preserve">" </w:t>
      </w:r>
      <w:r>
        <w:rPr>
          <w:rtl w:val="true"/>
        </w:rPr>
        <w:t xml:space="preserve">עבורו </w:t>
      </w:r>
      <w:r>
        <w:rPr>
          <w:rtl w:val="true"/>
        </w:rPr>
        <w:t>"</w:t>
      </w:r>
      <w:r>
        <w:rPr>
          <w:rtl w:val="true"/>
        </w:rPr>
        <w:t>נערת ליווי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בתגובה לפניות אלו ניסה המתלונן להסביר למערער כי אין בידיו את סכומי הכסף אותם הוא דורש ואף התחנן כי יניח לו לנפשו</w:t>
      </w:r>
      <w:r>
        <w:rPr>
          <w:rtl w:val="true"/>
        </w:rPr>
        <w:t xml:space="preserve">, </w:t>
      </w:r>
      <w:r>
        <w:rPr>
          <w:rtl w:val="true"/>
        </w:rPr>
        <w:t>אך המערער עמד על דרישותיו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כתוצאה</w:t>
      </w:r>
      <w:r>
        <w:rPr>
          <w:rFonts w:eastAsia="Arial TUR;Arial" w:cs="Arial TUR;Arial"/>
          <w:rtl w:val="true"/>
        </w:rPr>
        <w:t xml:space="preserve"> </w:t>
      </w:r>
      <w:r>
        <w:rPr>
          <w:rtl w:val="true"/>
        </w:rPr>
        <w:t>ממעשי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הניח</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בארבע</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סכומי</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הנעים</w:t>
      </w:r>
      <w:r>
        <w:rPr>
          <w:rFonts w:eastAsia="Arial TUR;Arial" w:cs="Arial TUR;Arial"/>
          <w:rtl w:val="true"/>
        </w:rPr>
        <w:t xml:space="preserve"> </w:t>
      </w:r>
      <w:r>
        <w:rPr>
          <w:rtl w:val="true"/>
        </w:rPr>
        <w:t>בין</w:t>
      </w:r>
      <w:r>
        <w:rPr>
          <w:rFonts w:eastAsia="Arial TUR;Arial" w:cs="Arial TUR;Arial"/>
          <w:rtl w:val="true"/>
        </w:rPr>
        <w:t xml:space="preserve"> </w:t>
      </w:r>
      <w:r>
        <w:rPr/>
        <w:t>500-200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הסמוך</w:t>
      </w:r>
      <w:r>
        <w:rPr>
          <w:rFonts w:eastAsia="Arial TUR;Arial" w:cs="Arial TUR;Arial"/>
          <w:rtl w:val="true"/>
        </w:rPr>
        <w:t xml:space="preserve"> </w:t>
      </w:r>
      <w:r>
        <w:rPr>
          <w:rtl w:val="true"/>
        </w:rPr>
        <w:t>לביתו</w:t>
      </w:r>
      <w:r>
        <w:rPr>
          <w:rtl w:val="true"/>
        </w:rPr>
        <w:t xml:space="preserve">, </w:t>
      </w:r>
      <w:r>
        <w:rPr>
          <w:rtl w:val="true"/>
        </w:rPr>
        <w:t>ואלו</w:t>
      </w:r>
      <w:r>
        <w:rPr>
          <w:rFonts w:eastAsia="Arial TUR;Arial" w:cs="Arial TUR;Arial"/>
          <w:rtl w:val="true"/>
        </w:rPr>
        <w:t xml:space="preserve"> </w:t>
      </w:r>
      <w:r>
        <w:rPr>
          <w:rtl w:val="true"/>
        </w:rPr>
        <w:t>נלקחו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שהונחו</w:t>
      </w:r>
      <w:r>
        <w:rPr>
          <w:rFonts w:eastAsia="Arial TUR;Arial" w:cs="Arial TUR;Arial"/>
          <w:rtl w:val="true"/>
        </w:rPr>
        <w:t xml:space="preserve"> </w:t>
      </w:r>
      <w:r>
        <w:rPr>
          <w:rtl w:val="true"/>
        </w:rPr>
        <w:t>שם</w:t>
      </w:r>
      <w:r>
        <w:rPr>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מהמתלונן</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של</w:t>
      </w:r>
      <w:r>
        <w:rPr>
          <w:rFonts w:eastAsia="Arial TUR;Arial" w:cs="Arial TUR;Arial"/>
          <w:rtl w:val="true"/>
        </w:rPr>
        <w:t xml:space="preserve"> </w:t>
      </w:r>
      <w:r>
        <w:rPr/>
        <w:t>1,300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Fonts w:eastAsia="Arial TUR;Arial" w:cs="Arial TUR;Arial"/>
          <w:rtl w:val="true"/>
        </w:rPr>
        <w:t xml:space="preserve">  </w:t>
      </w:r>
    </w:p>
    <w:p>
      <w:pPr>
        <w:pStyle w:val="Ruller41"/>
        <w:numPr>
          <w:ilvl w:val="0"/>
          <w:numId w:val="1"/>
        </w:numPr>
        <w:ind w:hanging="0" w:start="0" w:end="0"/>
        <w:jc w:val="both"/>
        <w:rPr/>
      </w:pPr>
      <w:r>
        <w:rPr>
          <w:rtl w:val="true"/>
        </w:rPr>
        <w:t>על פי האישום השני בכתב האישום</w:t>
      </w:r>
      <w:r>
        <w:rPr>
          <w:rtl w:val="true"/>
        </w:rPr>
        <w:t xml:space="preserve">, </w:t>
      </w:r>
      <w:r>
        <w:rPr>
          <w:rtl w:val="true"/>
        </w:rPr>
        <w:t xml:space="preserve">במהלך חודש נובמבר </w:t>
      </w:r>
      <w:r>
        <w:rPr/>
        <w:t>2017</w:t>
      </w:r>
      <w:r>
        <w:rPr>
          <w:rtl w:val="true"/>
        </w:rPr>
        <w:t xml:space="preserve"> </w:t>
      </w:r>
      <w:r>
        <w:rPr>
          <w:rtl w:val="true"/>
        </w:rPr>
        <w:t xml:space="preserve">קשר המערער קשר עם נאשם נוסף </w:t>
      </w:r>
      <w:r>
        <w:rPr>
          <w:rtl w:val="true"/>
        </w:rPr>
        <w:t>(</w:t>
      </w:r>
      <w:r>
        <w:rPr>
          <w:rtl w:val="true"/>
        </w:rPr>
        <w:t>להלן גם</w:t>
      </w:r>
      <w:r>
        <w:rPr>
          <w:rtl w:val="true"/>
        </w:rPr>
        <w:t xml:space="preserve">: </w:t>
      </w:r>
      <w:r>
        <w:rPr>
          <w:rFonts w:ascii="Century" w:hAnsi="Century" w:cs="Miriam"/>
          <w:b/>
          <w:b/>
          <w:spacing w:val="0"/>
          <w:sz w:val="22"/>
          <w:sz w:val="22"/>
          <w:szCs w:val="24"/>
          <w:rtl w:val="true"/>
        </w:rPr>
        <w:t>השותף</w:t>
      </w:r>
      <w:r>
        <w:rPr>
          <w:rFonts w:cs="Century" w:ascii="Century" w:hAnsi="Century"/>
          <w:sz w:val="22"/>
          <w:rtl w:val="true"/>
        </w:rPr>
        <w:t xml:space="preserve">, </w:t>
      </w:r>
      <w:r>
        <w:rPr>
          <w:rFonts w:ascii="Century" w:hAnsi="Century" w:cs="Century"/>
          <w:sz w:val="22"/>
          <w:sz w:val="22"/>
          <w:rtl w:val="true"/>
        </w:rPr>
        <w:t>וביחד גם</w:t>
      </w:r>
      <w:r>
        <w:rPr>
          <w:rFonts w:cs="Century" w:ascii="Century" w:hAnsi="Century"/>
          <w:sz w:val="22"/>
          <w:rtl w:val="true"/>
        </w:rPr>
        <w:t xml:space="preserve">: </w:t>
      </w:r>
      <w:r>
        <w:rPr>
          <w:rFonts w:ascii="Century" w:hAnsi="Century" w:cs="Miriam"/>
          <w:b/>
          <w:b/>
          <w:spacing w:val="0"/>
          <w:sz w:val="22"/>
          <w:sz w:val="22"/>
          <w:szCs w:val="24"/>
          <w:rtl w:val="true"/>
        </w:rPr>
        <w:t>השותפים</w:t>
      </w:r>
      <w:r>
        <w:rPr>
          <w:rFonts w:cs="Century" w:ascii="Century" w:hAnsi="Century"/>
          <w:sz w:val="22"/>
          <w:rtl w:val="true"/>
        </w:rPr>
        <w:t>)</w:t>
      </w:r>
      <w:r>
        <w:rPr>
          <w:rtl w:val="true"/>
        </w:rPr>
        <w:t xml:space="preserve"> </w:t>
      </w:r>
      <w:r>
        <w:rPr>
          <w:rFonts w:ascii="Century" w:hAnsi="Century" w:cs="Century"/>
          <w:sz w:val="22"/>
          <w:sz w:val="22"/>
          <w:rtl w:val="true"/>
        </w:rPr>
        <w:t>להגיע</w:t>
      </w:r>
      <w:r>
        <w:rPr>
          <w:rtl w:val="true"/>
        </w:rPr>
        <w:t xml:space="preserve"> לבית המתלונן ולדרוש ממנו סכומי כסף שונים</w:t>
      </w:r>
      <w:r>
        <w:rPr>
          <w:rtl w:val="true"/>
        </w:rPr>
        <w:t xml:space="preserve">. </w:t>
      </w:r>
      <w:r>
        <w:rPr>
          <w:rtl w:val="true"/>
        </w:rPr>
        <w:t>השניים סיכמו כי יכו את המתלונן אם יסרב למסור להם כסף</w:t>
      </w:r>
      <w:r>
        <w:rPr>
          <w:rtl w:val="true"/>
        </w:rPr>
        <w:t xml:space="preserve">. </w:t>
      </w:r>
      <w:r>
        <w:rPr>
          <w:rtl w:val="true"/>
        </w:rPr>
        <w:t>כמתואר להלן</w:t>
      </w:r>
      <w:r>
        <w:rPr>
          <w:rtl w:val="true"/>
        </w:rPr>
        <w:t xml:space="preserve">, </w:t>
      </w:r>
      <w:r>
        <w:rPr>
          <w:rtl w:val="true"/>
        </w:rPr>
        <w:t>המערער והנאשם הנוסף עשו כן במספר הזדמנויות שונות</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ביום </w:t>
      </w:r>
      <w:r>
        <w:rPr/>
        <w:t>15.11.17</w:t>
      </w:r>
      <w:r>
        <w:rPr>
          <w:rtl w:val="true"/>
        </w:rPr>
        <w:t xml:space="preserve"> </w:t>
      </w:r>
      <w:r>
        <w:rPr>
          <w:rtl w:val="true"/>
        </w:rPr>
        <w:t xml:space="preserve">הגיעו השותפים לביתו של המתלונן ודרשו ממנו סכום של </w:t>
      </w:r>
      <w:r>
        <w:rPr/>
        <w:t>850</w:t>
      </w:r>
      <w:r>
        <w:rPr>
          <w:rtl w:val="true"/>
        </w:rPr>
        <w:t xml:space="preserve"> </w:t>
      </w:r>
      <w:r>
        <w:rPr>
          <w:rtl w:val="true"/>
        </w:rPr>
        <w:t>ש</w:t>
      </w:r>
      <w:r>
        <w:rPr>
          <w:rtl w:val="true"/>
        </w:rPr>
        <w:t>"</w:t>
      </w:r>
      <w:r>
        <w:rPr>
          <w:rtl w:val="true"/>
        </w:rPr>
        <w:t>ח</w:t>
      </w:r>
      <w:r>
        <w:rPr>
          <w:rtl w:val="true"/>
        </w:rPr>
        <w:t xml:space="preserve">. </w:t>
      </w:r>
      <w:r>
        <w:rPr>
          <w:rtl w:val="true"/>
        </w:rPr>
        <w:t>המתלונן השיב כי הוא זקוק למספר ימים כדי להשיג את סכום הכסף הנדרש</w:t>
      </w:r>
      <w:r>
        <w:rPr>
          <w:rtl w:val="true"/>
        </w:rPr>
        <w:t xml:space="preserve">. </w:t>
      </w:r>
      <w:r>
        <w:rPr>
          <w:rtl w:val="true"/>
        </w:rPr>
        <w:t>בתגובה</w:t>
      </w:r>
      <w:r>
        <w:rPr>
          <w:rtl w:val="true"/>
        </w:rPr>
        <w:t xml:space="preserve">, </w:t>
      </w:r>
      <w:r>
        <w:rPr>
          <w:rtl w:val="true"/>
        </w:rPr>
        <w:t xml:space="preserve">לקח המערער את ארנקוֹ בכוח הוציא ממנו סכום של </w:t>
      </w:r>
      <w:r>
        <w:rPr/>
        <w:t>1,400</w:t>
      </w:r>
      <w:r>
        <w:rPr>
          <w:rtl w:val="true"/>
        </w:rPr>
        <w:t xml:space="preserve"> </w:t>
      </w:r>
      <w:r>
        <w:rPr>
          <w:rtl w:val="true"/>
        </w:rPr>
        <w:t>ש</w:t>
      </w:r>
      <w:r>
        <w:rPr>
          <w:rtl w:val="true"/>
        </w:rPr>
        <w:t>"</w:t>
      </w:r>
      <w:r>
        <w:rPr>
          <w:rtl w:val="true"/>
        </w:rPr>
        <w:t>ח ואיים עליו שלא יספר על כך</w:t>
      </w:r>
      <w:r>
        <w:rPr>
          <w:rtl w:val="true"/>
        </w:rPr>
        <w:t xml:space="preserve">, </w:t>
      </w:r>
      <w:r>
        <w:rPr>
          <w:rtl w:val="true"/>
        </w:rPr>
        <w:t>בעודו מוציא סכין מכיסו</w:t>
      </w:r>
      <w:r>
        <w:rPr>
          <w:rtl w:val="true"/>
        </w:rPr>
        <w:t xml:space="preserve">. </w:t>
      </w:r>
      <w:r>
        <w:rPr>
          <w:rtl w:val="true"/>
        </w:rPr>
        <w:t>בשלב זה עזבו השותפים את המקום ולאחר זמן מה חילקו ביניהם באופן שווה את סכום הכסף אותו נטלו</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בחלוף ארבעה ימים הגיעו השותפים פעם נוספת לביתו של המתלונן</w:t>
      </w:r>
      <w:r>
        <w:rPr>
          <w:rtl w:val="true"/>
        </w:rPr>
        <w:t xml:space="preserve">. </w:t>
      </w:r>
      <w:r>
        <w:rPr>
          <w:rtl w:val="true"/>
        </w:rPr>
        <w:t>לאחר שהמתלונן פתח את דלת ביתו</w:t>
      </w:r>
      <w:r>
        <w:rPr>
          <w:rtl w:val="true"/>
        </w:rPr>
        <w:t xml:space="preserve">, </w:t>
      </w:r>
      <w:r>
        <w:rPr>
          <w:rtl w:val="true"/>
        </w:rPr>
        <w:t>דחף אותו המערער וסטר לו פעמיים בפניו</w:t>
      </w:r>
      <w:r>
        <w:rPr>
          <w:rtl w:val="true"/>
        </w:rPr>
        <w:t xml:space="preserve">. </w:t>
      </w:r>
      <w:r>
        <w:rPr>
          <w:rtl w:val="true"/>
        </w:rPr>
        <w:t>משהסביר המתלונן למערער כי אין בידיו כסף</w:t>
      </w:r>
      <w:r>
        <w:rPr>
          <w:rtl w:val="true"/>
        </w:rPr>
        <w:t xml:space="preserve">, </w:t>
      </w:r>
      <w:r>
        <w:rPr>
          <w:rtl w:val="true"/>
        </w:rPr>
        <w:t>החל הלה לחפש אחר כסף בביתו</w:t>
      </w:r>
      <w:r>
        <w:rPr>
          <w:rtl w:val="true"/>
        </w:rPr>
        <w:t xml:space="preserve">. </w:t>
      </w:r>
      <w:r>
        <w:rPr>
          <w:rtl w:val="true"/>
        </w:rPr>
        <w:t xml:space="preserve">בשל פחדו מהשותפים מסר המתלונן לשותפים סכום של </w:t>
      </w:r>
      <w:r>
        <w:rPr/>
        <w:t>220</w:t>
      </w:r>
      <w:r>
        <w:rPr>
          <w:rtl w:val="true"/>
        </w:rPr>
        <w:t xml:space="preserve"> </w:t>
      </w:r>
      <w:r>
        <w:rPr>
          <w:rtl w:val="true"/>
        </w:rPr>
        <w:t>ש</w:t>
      </w:r>
      <w:r>
        <w:rPr>
          <w:rtl w:val="true"/>
        </w:rPr>
        <w:t>"</w:t>
      </w:r>
      <w:r>
        <w:rPr>
          <w:rtl w:val="true"/>
        </w:rPr>
        <w:t>ח</w:t>
      </w:r>
      <w:r>
        <w:rPr>
          <w:rtl w:val="true"/>
        </w:rPr>
        <w:t xml:space="preserve">, </w:t>
      </w:r>
      <w:r>
        <w:rPr>
          <w:rtl w:val="true"/>
        </w:rPr>
        <w:t>והמערער הזהירו שלא יספר על כך לאיש</w:t>
      </w:r>
      <w:r>
        <w:rPr>
          <w:rtl w:val="true"/>
        </w:rPr>
        <w:t xml:space="preserve">. </w:t>
      </w:r>
      <w:r>
        <w:rPr>
          <w:rtl w:val="true"/>
        </w:rPr>
        <w:t>השותפים עזבו את המקום וחילקו ביניהם באופן שווה את הכסף</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בהמשך אותו יום פנה המערער למתלונן פעם נוספת ודרש כי ימסור לידיו סכום נוסף של </w:t>
      </w:r>
      <w:r>
        <w:rPr/>
        <w:t>1,000</w:t>
      </w:r>
      <w:r>
        <w:rPr>
          <w:rtl w:val="true"/>
        </w:rPr>
        <w:t xml:space="preserve"> </w:t>
      </w:r>
      <w:r>
        <w:rPr>
          <w:rtl w:val="true"/>
        </w:rPr>
        <w:t>ש</w:t>
      </w:r>
      <w:r>
        <w:rPr>
          <w:rtl w:val="true"/>
        </w:rPr>
        <w:t>"</w:t>
      </w:r>
      <w:r>
        <w:rPr>
          <w:rtl w:val="true"/>
        </w:rPr>
        <w:t>ח</w:t>
      </w:r>
      <w:r>
        <w:rPr>
          <w:rtl w:val="true"/>
        </w:rPr>
        <w:t xml:space="preserve">. </w:t>
      </w:r>
      <w:r>
        <w:rPr>
          <w:rtl w:val="true"/>
        </w:rPr>
        <w:t xml:space="preserve">למחרת היום פנה המערער למתלונן והזכיר לו כי קבעו להיפגש באותו הערב וכי עליו להעביר לו </w:t>
      </w:r>
      <w:r>
        <w:rPr/>
        <w:t>1,500</w:t>
      </w:r>
      <w:r>
        <w:rPr>
          <w:rtl w:val="true"/>
        </w:rPr>
        <w:t xml:space="preserve"> </w:t>
      </w:r>
      <w:r>
        <w:rPr>
          <w:rtl w:val="true"/>
        </w:rPr>
        <w:t>ש</w:t>
      </w:r>
      <w:r>
        <w:rPr>
          <w:rtl w:val="true"/>
        </w:rPr>
        <w:t>"</w:t>
      </w:r>
      <w:r>
        <w:rPr>
          <w:rtl w:val="true"/>
        </w:rPr>
        <w:t>ח</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עוד באותו היום יצר המערער קשר עם המתלונן</w:t>
      </w:r>
      <w:r>
        <w:rPr>
          <w:rtl w:val="true"/>
        </w:rPr>
        <w:t xml:space="preserve">, </w:t>
      </w:r>
      <w:r>
        <w:rPr>
          <w:rtl w:val="true"/>
        </w:rPr>
        <w:t>בשיחות טלפון ובמסרונים</w:t>
      </w:r>
      <w:r>
        <w:rPr>
          <w:rtl w:val="true"/>
        </w:rPr>
        <w:t xml:space="preserve">, </w:t>
      </w:r>
      <w:r>
        <w:rPr>
          <w:rtl w:val="true"/>
        </w:rPr>
        <w:t>ודרש ממנו את הכסף תוך הפעלת מסכת איומים ולחצים</w:t>
      </w:r>
      <w:r>
        <w:rPr>
          <w:rtl w:val="true"/>
        </w:rPr>
        <w:t xml:space="preserve">. </w:t>
      </w:r>
      <w:r>
        <w:rPr>
          <w:rtl w:val="true"/>
        </w:rPr>
        <w:t>בסופו של דבר הודיע המתלונן כי הצליח להשיג סכום של כ</w:t>
      </w:r>
      <w:r>
        <w:rPr>
          <w:rtl w:val="true"/>
        </w:rPr>
        <w:t>-</w:t>
      </w:r>
      <w:r>
        <w:rPr/>
        <w:t>300-400</w:t>
      </w:r>
      <w:r>
        <w:rPr>
          <w:rtl w:val="true"/>
        </w:rPr>
        <w:t xml:space="preserve"> </w:t>
      </w:r>
      <w:r>
        <w:rPr>
          <w:rtl w:val="true"/>
        </w:rPr>
        <w:t>ש</w:t>
      </w:r>
      <w:r>
        <w:rPr>
          <w:rtl w:val="true"/>
        </w:rPr>
        <w:t>"</w:t>
      </w:r>
      <w:r>
        <w:rPr>
          <w:rtl w:val="true"/>
        </w:rPr>
        <w:t>ח והשלושה קבעו מקום מפגש</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כאשר נפגשו</w:t>
      </w:r>
      <w:r>
        <w:rPr>
          <w:rtl w:val="true"/>
        </w:rPr>
        <w:t xml:space="preserve">, </w:t>
      </w:r>
      <w:r>
        <w:rPr>
          <w:rtl w:val="true"/>
        </w:rPr>
        <w:t>הורה המערער למתלונן לשלם עבור נסיעתו יחד עם השותף במונית</w:t>
      </w:r>
      <w:r>
        <w:rPr>
          <w:rtl w:val="true"/>
        </w:rPr>
        <w:t xml:space="preserve">, </w:t>
      </w:r>
      <w:r>
        <w:rPr>
          <w:rtl w:val="true"/>
        </w:rPr>
        <w:t xml:space="preserve">בסך </w:t>
      </w:r>
      <w:r>
        <w:rPr/>
        <w:t>50</w:t>
      </w:r>
      <w:r>
        <w:rPr>
          <w:rtl w:val="true"/>
        </w:rPr>
        <w:t xml:space="preserve"> </w:t>
      </w:r>
      <w:r>
        <w:rPr>
          <w:rtl w:val="true"/>
        </w:rPr>
        <w:t>ש</w:t>
      </w:r>
      <w:r>
        <w:rPr>
          <w:rtl w:val="true"/>
        </w:rPr>
        <w:t>"</w:t>
      </w:r>
      <w:r>
        <w:rPr>
          <w:rtl w:val="true"/>
        </w:rPr>
        <w:t>ח</w:t>
      </w:r>
      <w:r>
        <w:rPr>
          <w:rtl w:val="true"/>
        </w:rPr>
        <w:t xml:space="preserve">, </w:t>
      </w:r>
      <w:r>
        <w:rPr>
          <w:rtl w:val="true"/>
        </w:rPr>
        <w:t>ולאחר מכן דרשו ממנו להעביר לידיהם את סכום הכסף שהביא עימו</w:t>
      </w:r>
      <w:r>
        <w:rPr>
          <w:rtl w:val="true"/>
        </w:rPr>
        <w:t xml:space="preserve">, </w:t>
      </w:r>
      <w:r>
        <w:rPr>
          <w:rtl w:val="true"/>
        </w:rPr>
        <w:t xml:space="preserve">בסך </w:t>
      </w:r>
      <w:r>
        <w:rPr/>
        <w:t>350</w:t>
      </w:r>
      <w:r>
        <w:rPr>
          <w:rtl w:val="true"/>
        </w:rPr>
        <w:t xml:space="preserve"> </w:t>
      </w:r>
      <w:r>
        <w:rPr>
          <w:rtl w:val="true"/>
        </w:rPr>
        <w:t>ש</w:t>
      </w:r>
      <w:r>
        <w:rPr>
          <w:rtl w:val="true"/>
        </w:rPr>
        <w:t>"</w:t>
      </w:r>
      <w:r>
        <w:rPr>
          <w:rtl w:val="true"/>
        </w:rPr>
        <w:t>ח</w:t>
      </w:r>
      <w:r>
        <w:rPr>
          <w:rtl w:val="true"/>
        </w:rPr>
        <w:t xml:space="preserve">. </w:t>
      </w:r>
      <w:r>
        <w:rPr>
          <w:rtl w:val="true"/>
        </w:rPr>
        <w:t>המערער ושותפו חיפשו את ארנקו של המתלונן על בגדיו תוך שאיימו עליו כי יקבל מכות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שוטרים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בריצה</w:t>
      </w:r>
      <w:r>
        <w:rPr>
          <w:rtl w:val="true"/>
        </w:rPr>
        <w:t xml:space="preserve">. </w:t>
      </w:r>
      <w:r>
        <w:rPr>
          <w:rtl w:val="true"/>
        </w:rPr>
        <w:t>במהלך</w:t>
      </w:r>
      <w:r>
        <w:rPr>
          <w:rFonts w:eastAsia="Arial TUR;Arial" w:cs="Arial TUR;Arial"/>
          <w:rtl w:val="true"/>
        </w:rPr>
        <w:t xml:space="preserve"> </w:t>
      </w:r>
      <w:r>
        <w:rPr>
          <w:rtl w:val="true"/>
        </w:rPr>
        <w:t>בריחתו</w:t>
      </w:r>
      <w:r>
        <w:rPr>
          <w:rFonts w:eastAsia="Arial TUR;Arial" w:cs="Arial TUR;Arial"/>
          <w:rtl w:val="true"/>
        </w:rPr>
        <w:t xml:space="preserve"> </w:t>
      </w:r>
      <w:r>
        <w:rPr>
          <w:rtl w:val="true"/>
        </w:rPr>
        <w:t>זרק</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ברשותו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מהמתלונן</w:t>
      </w:r>
      <w:r>
        <w:rPr>
          <w:rFonts w:eastAsia="Arial TUR;Arial" w:cs="Arial TUR;Arial"/>
          <w:rtl w:val="true"/>
        </w:rPr>
        <w:t xml:space="preserve"> </w:t>
      </w:r>
      <w:r>
        <w:rPr>
          <w:rtl w:val="true"/>
        </w:rPr>
        <w:t>ובעת</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נתפסה</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שלופה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כמו כן בסמוך למעצרו מחק המערער את כל ההתכתבויות בטלפון הנייד שלו בינו לבין המתלונן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בגין ביצוע מעשים אלו הורשע המערער על פי הודייתו במסגרת הסדר טיעון בביצוע </w:t>
      </w:r>
      <w:r>
        <w:rPr/>
        <w:t>2</w:t>
      </w:r>
      <w:r>
        <w:rPr>
          <w:rtl w:val="true"/>
        </w:rPr>
        <w:t xml:space="preserve"> </w:t>
      </w:r>
      <w:r>
        <w:rPr>
          <w:rtl w:val="true"/>
        </w:rPr>
        <w:t xml:space="preserve">עבירות של שוד בנסיבות </w:t>
      </w:r>
      <w:hyperlink r:id="rId11">
        <w:r>
          <w:rPr>
            <w:rStyle w:val="Hyperlink"/>
            <w:color w:val="0000FF"/>
            <w:u w:val="single"/>
            <w:rtl w:val="true"/>
          </w:rPr>
          <w:t>סעיף</w:t>
        </w:r>
        <w:r>
          <w:rPr>
            <w:rStyle w:val="Hyperlink"/>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w:t>
      </w:r>
      <w:r>
        <w:rPr>
          <w:rtl w:val="true"/>
        </w:rPr>
        <w:t xml:space="preserve">; </w:t>
      </w:r>
      <w:r>
        <w:rPr>
          <w:rtl w:val="true"/>
        </w:rPr>
        <w:t>עבירה של ניסיון שוד בנסיבות מחמירות</w:t>
      </w:r>
      <w:r>
        <w:rPr>
          <w:rtl w:val="true"/>
        </w:rPr>
        <w:t xml:space="preserve">, </w:t>
      </w:r>
      <w:r>
        <w:rPr>
          <w:rtl w:val="true"/>
        </w:rPr>
        <w:t xml:space="preserve">לפי </w:t>
      </w:r>
      <w:hyperlink r:id="rId13">
        <w:r>
          <w:rPr>
            <w:rStyle w:val="Hyperlink"/>
            <w:color w:val="0000FF"/>
            <w:u w:val="single"/>
            <w:rtl w:val="true"/>
          </w:rPr>
          <w:t>סעיף</w:t>
        </w:r>
        <w:r>
          <w:rPr>
            <w:rStyle w:val="Hyperlink"/>
            <w:color w:val="0000FF"/>
            <w:u w:val="single"/>
            <w:rtl w:val="true"/>
          </w:rPr>
          <w:t xml:space="preserve"> </w:t>
        </w:r>
        <w:r>
          <w:rPr>
            <w:rStyle w:val="Hyperlink"/>
            <w:color w:val="0000FF"/>
            <w:u w:val="single"/>
          </w:rPr>
          <w:t>403</w:t>
        </w:r>
      </w:hyperlink>
      <w:r>
        <w:rPr>
          <w:rtl w:val="true"/>
        </w:rPr>
        <w:t xml:space="preserve"> </w:t>
      </w:r>
      <w:r>
        <w:rPr>
          <w:rtl w:val="true"/>
        </w:rPr>
        <w:t>סיפא לחוק העונשין</w:t>
      </w:r>
      <w:r>
        <w:rPr>
          <w:rtl w:val="true"/>
        </w:rPr>
        <w:t xml:space="preserve">; </w:t>
      </w:r>
      <w:r>
        <w:rPr/>
        <w:t>8</w:t>
      </w:r>
      <w:r>
        <w:rPr>
          <w:rtl w:val="true"/>
        </w:rPr>
        <w:t xml:space="preserve"> </w:t>
      </w:r>
      <w:r>
        <w:rPr>
          <w:rtl w:val="true"/>
        </w:rPr>
        <w:t>עבירות של סחיטה באיומים</w:t>
      </w:r>
      <w:r>
        <w:rPr>
          <w:rtl w:val="true"/>
        </w:rPr>
        <w:t xml:space="preserve">, </w:t>
      </w:r>
      <w:r>
        <w:rPr>
          <w:rtl w:val="true"/>
        </w:rPr>
        <w:t xml:space="preserve">לפי </w:t>
      </w:r>
      <w:hyperlink r:id="rId14">
        <w:r>
          <w:rPr>
            <w:rStyle w:val="Hyperlink"/>
            <w:color w:val="0000FF"/>
            <w:u w:val="single"/>
            <w:rtl w:val="true"/>
          </w:rPr>
          <w:t>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לחוק העונשין</w:t>
      </w:r>
      <w:r>
        <w:rPr>
          <w:rtl w:val="true"/>
        </w:rPr>
        <w:t xml:space="preserve">; </w:t>
      </w:r>
      <w:r>
        <w:rPr/>
        <w:t>2</w:t>
      </w:r>
      <w:r>
        <w:rPr>
          <w:rtl w:val="true"/>
        </w:rPr>
        <w:t xml:space="preserve"> </w:t>
      </w:r>
      <w:r>
        <w:rPr>
          <w:rtl w:val="true"/>
        </w:rPr>
        <w:t>עבירות של החזקת אגרופן או סכין שלא כדין</w:t>
      </w:r>
      <w:r>
        <w:rPr>
          <w:rtl w:val="true"/>
        </w:rPr>
        <w:t xml:space="preserve">, </w:t>
      </w:r>
      <w:r>
        <w:rPr>
          <w:rtl w:val="true"/>
        </w:rPr>
        <w:t xml:space="preserve">לפי </w:t>
      </w:r>
      <w:hyperlink r:id="rId15">
        <w:r>
          <w:rPr>
            <w:rStyle w:val="Hyperlink"/>
            <w:color w:val="0000FF"/>
            <w:u w:val="single"/>
            <w:rtl w:val="true"/>
          </w:rPr>
          <w:t>סעיף</w:t>
        </w:r>
        <w:r>
          <w:rPr>
            <w:rStyle w:val="Hyperlink"/>
            <w:color w:val="0000FF"/>
            <w:u w:val="single"/>
            <w:rtl w:val="true"/>
          </w:rPr>
          <w:t xml:space="preserve"> </w:t>
        </w:r>
        <w:r>
          <w:rPr>
            <w:rStyle w:val="Hyperlink"/>
            <w:color w:val="0000FF"/>
            <w:u w:val="single"/>
          </w:rPr>
          <w:t>186</w:t>
        </w:r>
      </w:hyperlink>
      <w:r>
        <w:rPr>
          <w:rtl w:val="true"/>
        </w:rPr>
        <w:t xml:space="preserve"> </w:t>
      </w:r>
      <w:r>
        <w:rPr>
          <w:rtl w:val="true"/>
        </w:rPr>
        <w:t>לחוק העונשין</w:t>
      </w:r>
      <w:r>
        <w:rPr>
          <w:rtl w:val="true"/>
        </w:rPr>
        <w:t xml:space="preserve">; </w:t>
      </w:r>
      <w:r>
        <w:rPr>
          <w:rtl w:val="true"/>
        </w:rPr>
        <w:t>עבירה של הפרעה לשוטר בשעת מילוי תפקידו</w:t>
      </w:r>
      <w:r>
        <w:rPr>
          <w:rtl w:val="true"/>
        </w:rPr>
        <w:t xml:space="preserve">, </w:t>
      </w:r>
      <w:r>
        <w:rPr>
          <w:rtl w:val="true"/>
        </w:rPr>
        <w:t xml:space="preserve">לפי </w:t>
      </w:r>
      <w:hyperlink r:id="rId16">
        <w:r>
          <w:rPr>
            <w:rStyle w:val="Hyperlink"/>
            <w:color w:val="0000FF"/>
            <w:u w:val="single"/>
            <w:rtl w:val="true"/>
          </w:rPr>
          <w:t>סעיף</w:t>
        </w:r>
        <w:r>
          <w:rPr>
            <w:rStyle w:val="Hyperlink"/>
            <w:color w:val="0000FF"/>
            <w:u w:val="single"/>
            <w:rtl w:val="true"/>
          </w:rPr>
          <w:t xml:space="preserve"> </w:t>
        </w:r>
        <w:r>
          <w:rPr>
            <w:rStyle w:val="Hyperlink"/>
            <w:color w:val="0000FF"/>
            <w:u w:val="single"/>
          </w:rPr>
          <w:t>275</w:t>
        </w:r>
      </w:hyperlink>
      <w:r>
        <w:rPr>
          <w:rtl w:val="true"/>
        </w:rPr>
        <w:t xml:space="preserve"> </w:t>
      </w:r>
      <w:r>
        <w:rPr>
          <w:rtl w:val="true"/>
        </w:rPr>
        <w:t>לחוק העונשין</w:t>
      </w:r>
      <w:r>
        <w:rPr>
          <w:rtl w:val="true"/>
        </w:rPr>
        <w:t xml:space="preserve">; </w:t>
      </w:r>
      <w:r>
        <w:rPr>
          <w:rtl w:val="true"/>
        </w:rPr>
        <w:t>ובעבירה של שיבוש הליכי משפט</w:t>
      </w:r>
      <w:r>
        <w:rPr>
          <w:rtl w:val="true"/>
        </w:rPr>
        <w:t xml:space="preserve">, </w:t>
      </w:r>
      <w:r>
        <w:rPr>
          <w:rtl w:val="true"/>
        </w:rPr>
        <w:t xml:space="preserve">לפי </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244</w:t>
        </w:r>
      </w:hyperlink>
      <w:r>
        <w:rPr>
          <w:rtl w:val="true"/>
        </w:rPr>
        <w:t xml:space="preserve"> </w:t>
      </w:r>
      <w:r>
        <w:rPr>
          <w:rtl w:val="true"/>
        </w:rPr>
        <w:t>לחוק העונשין</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כמו כן במסגרת הסדר הטיעון הורשע המערער על יסוד הודייתו בחמישה כתבי אישום נוספים אשר צורפו להליך</w:t>
      </w:r>
      <w:r>
        <w:rPr>
          <w:rtl w:val="true"/>
        </w:rPr>
        <w:t xml:space="preserve">. </w:t>
      </w:r>
      <w:r>
        <w:rPr>
          <w:rtl w:val="true"/>
        </w:rPr>
        <w:t>כתבי אישום אלו ייחסו למערער בין היתר עבירות של שימוש בסמים לצריכה עצמית</w:t>
      </w:r>
      <w:r>
        <w:rPr>
          <w:rtl w:val="true"/>
        </w:rPr>
        <w:t xml:space="preserve">; </w:t>
      </w:r>
      <w:r>
        <w:rPr>
          <w:rtl w:val="true"/>
        </w:rPr>
        <w:t>פריצה</w:t>
      </w:r>
      <w:r>
        <w:rPr>
          <w:rtl w:val="true"/>
        </w:rPr>
        <w:t xml:space="preserve">; </w:t>
      </w:r>
      <w:r>
        <w:rPr>
          <w:rtl w:val="true"/>
        </w:rPr>
        <w:t>גניבה</w:t>
      </w:r>
      <w:r>
        <w:rPr>
          <w:rtl w:val="true"/>
        </w:rPr>
        <w:t xml:space="preserve">; </w:t>
      </w:r>
      <w:r>
        <w:rPr>
          <w:rtl w:val="true"/>
        </w:rPr>
        <w:t>תקיפה וחבלה ממשית בנסיבות מחמירות</w:t>
      </w:r>
      <w:r>
        <w:rPr>
          <w:rtl w:val="true"/>
        </w:rPr>
        <w:t xml:space="preserve">; </w:t>
      </w:r>
      <w:r>
        <w:rPr>
          <w:rtl w:val="true"/>
        </w:rPr>
        <w:t>איומים</w:t>
      </w:r>
      <w:r>
        <w:rPr>
          <w:rtl w:val="true"/>
        </w:rPr>
        <w:t xml:space="preserve">;  </w:t>
      </w:r>
      <w:r>
        <w:rPr>
          <w:rtl w:val="true"/>
        </w:rPr>
        <w:t>נהיגה ללא רישיון בתוקף</w:t>
      </w:r>
      <w:r>
        <w:rPr>
          <w:rtl w:val="true"/>
        </w:rPr>
        <w:t xml:space="preserve">; </w:t>
      </w:r>
      <w:r>
        <w:rPr>
          <w:rtl w:val="true"/>
        </w:rPr>
        <w:t>וכן שימוש ברכב ללא רשות ונהיגה בדרך רשלנית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משפט קמא הורה על הכנת תסקיר עונש בעניינו של המערער</w:t>
      </w:r>
      <w:r>
        <w:rPr>
          <w:rtl w:val="true"/>
        </w:rPr>
        <w:t xml:space="preserve">, </w:t>
      </w:r>
      <w:r>
        <w:rPr>
          <w:rtl w:val="true"/>
        </w:rPr>
        <w:t xml:space="preserve">ומתסקיר קצינת המבחן לנוער מיום </w:t>
      </w:r>
      <w:r>
        <w:rPr/>
        <w:t>12.3.2018</w:t>
      </w:r>
      <w:r>
        <w:rPr>
          <w:rtl w:val="true"/>
        </w:rPr>
        <w:t xml:space="preserve"> </w:t>
      </w:r>
      <w:r>
        <w:rPr>
          <w:rtl w:val="true"/>
        </w:rPr>
        <w:t>עלה כי למערער עבר פלילי בגינו אף ריצה עונש מאסר בפועל</w:t>
      </w:r>
      <w:r>
        <w:rPr>
          <w:rtl w:val="true"/>
        </w:rPr>
        <w:t xml:space="preserve">, </w:t>
      </w:r>
      <w:r>
        <w:rPr>
          <w:rtl w:val="true"/>
        </w:rPr>
        <w:t>וכי הוא לא הצליח להתמיד במסגרות שיקומיות שונות</w:t>
      </w:r>
      <w:r>
        <w:rPr>
          <w:rtl w:val="true"/>
        </w:rPr>
        <w:t xml:space="preserve">. </w:t>
      </w:r>
      <w:r>
        <w:rPr>
          <w:rtl w:val="true"/>
        </w:rPr>
        <w:t>על פי התרשמותו של שירות המבחן</w:t>
      </w:r>
      <w:r>
        <w:rPr>
          <w:rtl w:val="true"/>
        </w:rPr>
        <w:t xml:space="preserve">, </w:t>
      </w:r>
      <w:r>
        <w:rPr>
          <w:rtl w:val="true"/>
        </w:rPr>
        <w:t xml:space="preserve">המערער מצוי </w:t>
      </w:r>
      <w:r>
        <w:rPr>
          <w:rtl w:val="true"/>
        </w:rPr>
        <w:t>"</w:t>
      </w:r>
      <w:r>
        <w:rPr>
          <w:rtl w:val="true"/>
        </w:rPr>
        <w:t>בסיכון אישי ועברייני גבוה לעצמו ולסביבה</w:t>
      </w:r>
      <w:r>
        <w:rPr>
          <w:rtl w:val="true"/>
        </w:rPr>
        <w:t xml:space="preserve">". </w:t>
      </w:r>
      <w:r>
        <w:rPr>
          <w:rtl w:val="true"/>
        </w:rPr>
        <w:t>משכך</w:t>
      </w:r>
      <w:r>
        <w:rPr>
          <w:rtl w:val="true"/>
        </w:rPr>
        <w:t xml:space="preserve">, </w:t>
      </w:r>
      <w:r>
        <w:rPr>
          <w:rtl w:val="true"/>
        </w:rPr>
        <w:t>לא בא שירות המבחן בהמלצה טיפולית בעניינו</w:t>
      </w:r>
      <w:r>
        <w:rPr>
          <w:rtl w:val="true"/>
        </w:rPr>
        <w:t xml:space="preserve">, </w:t>
      </w:r>
      <w:r>
        <w:rPr>
          <w:rtl w:val="true"/>
        </w:rPr>
        <w:t xml:space="preserve">והומלץ על </w:t>
      </w:r>
      <w:r>
        <w:rPr>
          <w:rtl w:val="true"/>
        </w:rPr>
        <w:t>"</w:t>
      </w:r>
      <w:r>
        <w:rPr>
          <w:rtl w:val="true"/>
        </w:rPr>
        <w:t>ענישה מוחשית ומרתיעה</w:t>
      </w:r>
      <w:r>
        <w:rPr>
          <w:rtl w:val="true"/>
        </w:rPr>
        <w:t xml:space="preserve">" </w:t>
      </w:r>
      <w:r>
        <w:rPr>
          <w:rtl w:val="true"/>
        </w:rPr>
        <w:t>כדי למנוע ממנו מעורבות חוזרת בפלילים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לבית המשפט קמא הוגש גם תסקיר נפגע עבירה מיום </w:t>
      </w:r>
      <w:r>
        <w:rPr/>
        <w:t>13.3.2018</w:t>
      </w:r>
      <w:r>
        <w:rPr>
          <w:rtl w:val="true"/>
        </w:rPr>
        <w:t xml:space="preserve">, </w:t>
      </w:r>
      <w:r>
        <w:rPr>
          <w:rtl w:val="true"/>
        </w:rPr>
        <w:t>בגדרו תוארה הפגיעה החמורה שנגרמה למתלונן כתוצאה ממעשיו של המערער והנאשם הנוסף</w:t>
      </w:r>
      <w:r>
        <w:rPr>
          <w:rtl w:val="true"/>
        </w:rPr>
        <w:t xml:space="preserve">, </w:t>
      </w:r>
      <w:r>
        <w:rPr>
          <w:rtl w:val="true"/>
        </w:rPr>
        <w:t>ובכלל זה מצוקה ממשית</w:t>
      </w:r>
      <w:r>
        <w:rPr>
          <w:rtl w:val="true"/>
        </w:rPr>
        <w:t xml:space="preserve">, </w:t>
      </w:r>
      <w:r>
        <w:rPr>
          <w:rtl w:val="true"/>
        </w:rPr>
        <w:t>תחושות לחץ נפשי</w:t>
      </w:r>
      <w:r>
        <w:rPr>
          <w:rtl w:val="true"/>
        </w:rPr>
        <w:t xml:space="preserve">, </w:t>
      </w:r>
      <w:r>
        <w:rPr>
          <w:rtl w:val="true"/>
        </w:rPr>
        <w:t>חרדה ו</w:t>
      </w:r>
      <w:r>
        <w:rPr>
          <w:rtl w:val="true"/>
        </w:rPr>
        <w:t>"</w:t>
      </w:r>
      <w:r>
        <w:rPr>
          <w:rtl w:val="true"/>
        </w:rPr>
        <w:t>אימת מוות</w:t>
      </w:r>
      <w:r>
        <w:rPr>
          <w:rtl w:val="true"/>
        </w:rPr>
        <w:t xml:space="preserve">" </w:t>
      </w:r>
      <w:r>
        <w:rPr>
          <w:rtl w:val="true"/>
        </w:rPr>
        <w:t>המלוות אותו מאז האירועים</w:t>
      </w:r>
      <w:r>
        <w:rPr>
          <w:rtl w:val="true"/>
        </w:rPr>
        <w:t xml:space="preserve">. </w:t>
      </w:r>
      <w:r>
        <w:rPr>
          <w:rtl w:val="true"/>
        </w:rPr>
        <w:t xml:space="preserve">לנוכח </w:t>
      </w:r>
      <w:r>
        <w:rPr>
          <w:rtl w:val="true"/>
        </w:rPr>
        <w:t>"</w:t>
      </w:r>
      <w:r>
        <w:rPr>
          <w:rtl w:val="true"/>
        </w:rPr>
        <w:t>תמונת הנזקים הקשה</w:t>
      </w:r>
      <w:r>
        <w:rPr>
          <w:rtl w:val="true"/>
        </w:rPr>
        <w:t xml:space="preserve">" </w:t>
      </w:r>
      <w:r>
        <w:rPr>
          <w:rtl w:val="true"/>
        </w:rPr>
        <w:t>הומלץ על פיצוי כספי משמעותי למתלונן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בגזר דינו קבע בית המשפט כי מסוכנותו של המערער </w:t>
      </w:r>
      <w:r>
        <w:rPr>
          <w:rtl w:val="true"/>
        </w:rPr>
        <w:t>"</w:t>
      </w:r>
      <w:r>
        <w:rPr>
          <w:rtl w:val="true"/>
        </w:rPr>
        <w:t>רבה ומתמשכת</w:t>
      </w:r>
      <w:r>
        <w:rPr>
          <w:rtl w:val="true"/>
        </w:rPr>
        <w:t xml:space="preserve">" </w:t>
      </w:r>
      <w:r>
        <w:rPr>
          <w:rtl w:val="true"/>
        </w:rPr>
        <w:t>ובהתאם על העונש שיוטל עליו לשקף הן את עקרון ההלימה והן שיקולי הרתעה אישית</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לחוּמרא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מהמערער</w:t>
      </w:r>
      <w:r>
        <w:rPr>
          <w:rFonts w:eastAsia="Arial TUR;Arial" w:cs="Arial TUR;Arial"/>
          <w:rtl w:val="true"/>
        </w:rPr>
        <w:t xml:space="preserve"> </w:t>
      </w:r>
      <w:r>
        <w:rPr>
          <w:rtl w:val="true"/>
        </w:rPr>
        <w:t>נשקפת</w:t>
      </w:r>
      <w:r>
        <w:rPr>
          <w:rFonts w:eastAsia="Arial TUR;Arial" w:cs="Arial TUR;Arial"/>
          <w:rtl w:val="true"/>
        </w:rPr>
        <w:t xml:space="preserve"> </w:t>
      </w:r>
      <w:r>
        <w:rPr>
          <w:rtl w:val="true"/>
        </w:rPr>
        <w:t>מסוכנות</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שבגינם</w:t>
      </w:r>
      <w:r>
        <w:rPr>
          <w:rFonts w:eastAsia="Arial TUR;Arial" w:cs="Arial TUR;Arial"/>
          <w:rtl w:val="true"/>
        </w:rPr>
        <w:t xml:space="preserve"> </w:t>
      </w:r>
      <w:r>
        <w:rPr>
          <w:rtl w:val="true"/>
        </w:rPr>
        <w:t>הורשע</w:t>
      </w:r>
      <w:r>
        <w:rPr>
          <w:rtl w:val="true"/>
        </w:rPr>
        <w:t xml:space="preserve">, </w:t>
      </w:r>
      <w:r>
        <w:rPr>
          <w:rtl w:val="true"/>
        </w:rPr>
        <w:t>הפנה</w:t>
      </w:r>
      <w:r>
        <w:rPr>
          <w:rFonts w:eastAsia="Arial TUR;Arial" w:cs="Arial TUR;Arial"/>
          <w:rtl w:val="true"/>
        </w:rPr>
        <w:t xml:space="preserve"> </w:t>
      </w:r>
      <w:r>
        <w:rPr>
          <w:rtl w:val="true"/>
        </w:rPr>
        <w:t>לצירוף</w:t>
      </w:r>
      <w:r>
        <w:rPr>
          <w:rFonts w:eastAsia="Arial TUR;Arial" w:cs="Arial TUR;Arial"/>
          <w:rtl w:val="true"/>
        </w:rPr>
        <w:t xml:space="preserve"> </w:t>
      </w:r>
      <w:r>
        <w:rPr>
          <w:rtl w:val="true"/>
        </w:rPr>
        <w:t>התיקים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מההליך</w:t>
      </w:r>
      <w:r>
        <w:rPr>
          <w:rFonts w:eastAsia="Arial TUR;Arial" w:cs="Arial TUR;Arial"/>
          <w:rtl w:val="true"/>
        </w:rPr>
        <w:t xml:space="preserve"> </w:t>
      </w:r>
      <w:r>
        <w:rPr>
          <w:rtl w:val="true"/>
        </w:rPr>
        <w:t>שלפנינו</w:t>
      </w:r>
      <w:r>
        <w:rPr>
          <w:rtl w:val="true"/>
        </w:rPr>
        <w:t xml:space="preserve">, </w:t>
      </w:r>
      <w:r>
        <w:rPr>
          <w:rtl w:val="true"/>
        </w:rPr>
        <w:t>ולהרשעותיו</w:t>
      </w:r>
      <w:r>
        <w:rPr>
          <w:rFonts w:eastAsia="Arial TUR;Arial" w:cs="Arial TUR;Arial"/>
          <w:rtl w:val="true"/>
        </w:rPr>
        <w:t xml:space="preserve"> </w:t>
      </w:r>
      <w:r>
        <w:rPr>
          <w:rtl w:val="true"/>
        </w:rPr>
        <w:t>הקודמות</w:t>
      </w:r>
      <w:r>
        <w:rPr>
          <w:rtl w:val="true"/>
        </w:rPr>
        <w:t xml:space="preserve">, </w:t>
      </w: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ריצה</w:t>
      </w:r>
      <w:r>
        <w:rPr>
          <w:rtl w:val="true"/>
        </w:rPr>
        <w:t>.</w:t>
      </w:r>
    </w:p>
    <w:p>
      <w:pPr>
        <w:pStyle w:val="Ruller4"/>
        <w:ind w:end="0"/>
        <w:jc w:val="both"/>
        <w:rPr/>
      </w:pPr>
      <w:r>
        <w:rPr>
          <w:rtl w:val="true"/>
        </w:rPr>
      </w:r>
    </w:p>
    <w:p>
      <w:pPr>
        <w:pStyle w:val="Ruller4"/>
        <w:ind w:end="0"/>
        <w:jc w:val="both"/>
        <w:rPr/>
      </w:pPr>
      <w:r>
        <w:rPr>
          <w:rtl w:val="true"/>
        </w:rPr>
        <w:tab/>
      </w:r>
      <w:r>
        <w:rPr>
          <w:rtl w:val="true"/>
        </w:rPr>
        <w:t>לצד</w:t>
      </w:r>
      <w:r>
        <w:rPr>
          <w:rFonts w:eastAsia="Arial TUR;Arial" w:cs="Arial TUR;Arial"/>
          <w:rtl w:val="true"/>
        </w:rPr>
        <w:t xml:space="preserve"> </w:t>
      </w:r>
      <w:r>
        <w:rPr>
          <w:rtl w:val="true"/>
        </w:rPr>
        <w:t>זאת</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השיקול</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והיחיד</w:t>
      </w:r>
      <w:r>
        <w:rPr>
          <w:rtl w:val="true"/>
        </w:rPr>
        <w:t xml:space="preserve">" </w:t>
      </w:r>
      <w:r>
        <w:rPr>
          <w:rtl w:val="true"/>
        </w:rPr>
        <w:t>שיש</w:t>
      </w:r>
      <w:r>
        <w:rPr>
          <w:rFonts w:eastAsia="Arial TUR;Arial" w:cs="Arial TUR;Arial"/>
          <w:rtl w:val="true"/>
        </w:rPr>
        <w:t xml:space="preserve"> </w:t>
      </w:r>
      <w:r>
        <w:rPr>
          <w:rtl w:val="true"/>
        </w:rPr>
        <w:t>לזקוף</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טמון</w:t>
      </w:r>
      <w:r>
        <w:rPr>
          <w:rFonts w:eastAsia="Arial TUR;Arial" w:cs="Arial TUR;Arial"/>
          <w:rtl w:val="true"/>
        </w:rPr>
        <w:t xml:space="preserve"> </w:t>
      </w:r>
      <w:r>
        <w:rPr>
          <w:rtl w:val="true"/>
        </w:rPr>
        <w:t>בהודייתו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וכי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המותנה</w:t>
      </w:r>
      <w:r>
        <w:rPr>
          <w:rFonts w:eastAsia="Arial TUR;Arial" w:cs="Arial TUR;Arial"/>
          <w:rtl w:val="true"/>
        </w:rPr>
        <w:t xml:space="preserve"> </w:t>
      </w:r>
      <w:r>
        <w:rPr>
          <w:rtl w:val="true"/>
        </w:rPr>
        <w:t>התלוי</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יופעל</w:t>
      </w:r>
      <w:r>
        <w:rPr>
          <w:rFonts w:eastAsia="Arial TUR;Arial" w:cs="Arial TUR;Arial"/>
          <w:rtl w:val="true"/>
        </w:rPr>
        <w:t xml:space="preserve"> </w:t>
      </w:r>
      <w:r>
        <w:rPr>
          <w:rtl w:val="true"/>
        </w:rPr>
        <w:t>בחופף</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זה</w:t>
      </w:r>
      <w:r>
        <w:rPr>
          <w:rtl w:val="true"/>
        </w:rPr>
        <w:t>.</w:t>
      </w:r>
    </w:p>
    <w:p>
      <w:pPr>
        <w:pStyle w:val="Ruller4"/>
        <w:ind w:end="0"/>
        <w:jc w:val="both"/>
        <w:rPr/>
      </w:pPr>
      <w:r>
        <w:rPr>
          <w:rFonts w:eastAsia="Arial TUR;Arial" w:cs="Arial TUR;Arial"/>
          <w:rtl w:val="true"/>
        </w:rPr>
        <w:t xml:space="preserve"> </w:t>
      </w:r>
    </w:p>
    <w:p>
      <w:pPr>
        <w:pStyle w:val="Ruller41"/>
        <w:numPr>
          <w:ilvl w:val="0"/>
          <w:numId w:val="1"/>
        </w:numPr>
        <w:ind w:hanging="0" w:start="0" w:end="0"/>
        <w:jc w:val="both"/>
        <w:rPr/>
      </w:pPr>
      <w:r>
        <w:rPr>
          <w:rtl w:val="true"/>
        </w:rPr>
        <w:tab/>
      </w:r>
      <w:r>
        <w:rPr>
          <w:rtl w:val="true"/>
        </w:rPr>
        <w:t xml:space="preserve">לנוכח כל זאת הטיל בית משפט קמא על המערער עונש של </w:t>
      </w:r>
      <w:r>
        <w:rPr/>
        <w:t>4</w:t>
      </w:r>
      <w:r>
        <w:rPr>
          <w:rtl w:val="true"/>
        </w:rPr>
        <w:t xml:space="preserve"> </w:t>
      </w:r>
      <w:r>
        <w:rPr>
          <w:rtl w:val="true"/>
        </w:rPr>
        <w:t>שנות מאסר בפועל</w:t>
      </w:r>
      <w:r>
        <w:rPr>
          <w:rtl w:val="true"/>
        </w:rPr>
        <w:t xml:space="preserve">, </w:t>
      </w:r>
      <w:r>
        <w:rPr>
          <w:rtl w:val="true"/>
        </w:rPr>
        <w:t xml:space="preserve">ועונשים נוספים המפורטים בפסקה </w:t>
      </w:r>
      <w:r>
        <w:rPr/>
        <w:t>1</w:t>
      </w:r>
      <w:r>
        <w:rPr>
          <w:rtl w:val="true"/>
        </w:rPr>
        <w:t xml:space="preserve"> </w:t>
      </w:r>
      <w:r>
        <w:rPr>
          <w:rtl w:val="true"/>
        </w:rPr>
        <w:t>לעיל</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בנימוקי הערעור ובדיון בעל</w:t>
      </w:r>
      <w:r>
        <w:rPr>
          <w:rtl w:val="true"/>
        </w:rPr>
        <w:t>-</w:t>
      </w:r>
      <w:r>
        <w:rPr>
          <w:rtl w:val="true"/>
        </w:rPr>
        <w:t>פה שנערך לפנינו טען בא</w:t>
      </w:r>
      <w:r>
        <w:rPr>
          <w:rtl w:val="true"/>
        </w:rPr>
        <w:t>-</w:t>
      </w:r>
      <w:r>
        <w:rPr>
          <w:rtl w:val="true"/>
        </w:rPr>
        <w:t xml:space="preserve">כוח המערער כי שגה בית משפט קמא משהטיל על המערער עונש </w:t>
      </w:r>
      <w:r>
        <w:rPr>
          <w:rtl w:val="true"/>
        </w:rPr>
        <w:t>"</w:t>
      </w:r>
      <w:r>
        <w:rPr>
          <w:rtl w:val="true"/>
        </w:rPr>
        <w:t>קיצוני וחמור</w:t>
      </w:r>
      <w:r>
        <w:rPr>
          <w:rtl w:val="true"/>
        </w:rPr>
        <w:t xml:space="preserve">", </w:t>
      </w:r>
      <w:r>
        <w:rPr>
          <w:rtl w:val="true"/>
        </w:rPr>
        <w:t>כלשונו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ייחס</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מספיק</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לגילו</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ולנסיבותיו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עולה</w:t>
      </w:r>
      <w:r>
        <w:rPr>
          <w:rtl w:val="true"/>
        </w:rPr>
        <w:t xml:space="preserve">, </w:t>
      </w:r>
      <w:r>
        <w:rPr>
          <w:rtl w:val="true"/>
        </w:rPr>
        <w:t>כך</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מתמודד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קשיים</w:t>
      </w:r>
      <w:r>
        <w:rPr>
          <w:rFonts w:eastAsia="Arial TUR;Arial" w:cs="Arial TUR;Arial"/>
          <w:rtl w:val="true"/>
        </w:rPr>
        <w:t xml:space="preserve"> </w:t>
      </w:r>
      <w:r>
        <w:rPr>
          <w:rtl w:val="true"/>
        </w:rPr>
        <w:t>רגשיים</w:t>
      </w:r>
      <w:r>
        <w:rPr>
          <w:rFonts w:eastAsia="Arial TUR;Arial" w:cs="Arial TUR;Arial"/>
          <w:rtl w:val="true"/>
        </w:rPr>
        <w:t xml:space="preserve"> </w:t>
      </w:r>
      <w:r>
        <w:rPr>
          <w:rtl w:val="true"/>
        </w:rPr>
        <w:t>ונפשיים</w:t>
      </w:r>
      <w:r>
        <w:rPr>
          <w:rFonts w:eastAsia="Arial TUR;Arial" w:cs="Arial TUR;Arial"/>
          <w:rtl w:val="true"/>
        </w:rPr>
        <w:t xml:space="preserve"> </w:t>
      </w:r>
      <w:r>
        <w:rPr>
          <w:rtl w:val="true"/>
        </w:rPr>
        <w:t>שונים</w:t>
      </w:r>
      <w:r>
        <w:rPr>
          <w:rtl w:val="true"/>
        </w:rPr>
        <w:t>".</w:t>
      </w:r>
    </w:p>
    <w:p>
      <w:pPr>
        <w:pStyle w:val="Ruller4"/>
        <w:ind w:end="0"/>
        <w:jc w:val="both"/>
        <w:rPr/>
      </w:pPr>
      <w:r>
        <w:rPr>
          <w:rFonts w:eastAsia="Arial TUR;Arial" w:cs="Arial TUR;Arial"/>
          <w:rtl w:val="true"/>
        </w:rPr>
        <w:t xml:space="preserve"> </w:t>
      </w:r>
    </w:p>
    <w:p>
      <w:pPr>
        <w:pStyle w:val="Ruller4"/>
        <w:ind w:end="0"/>
        <w:jc w:val="both"/>
        <w:rPr/>
      </w:pPr>
      <w:r>
        <w:rPr>
          <w:rtl w:val="true"/>
        </w:rPr>
        <w:tab/>
      </w:r>
      <w:r>
        <w:rPr>
          <w:rtl w:val="true"/>
        </w:rPr>
        <w:t>בא</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קיצוני</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דומים</w:t>
      </w:r>
      <w:r>
        <w:rPr>
          <w:rtl w:val="true"/>
        </w:rPr>
        <w:t xml:space="preserve">, </w:t>
      </w:r>
      <w:r>
        <w:rPr>
          <w:rtl w:val="true"/>
        </w:rPr>
        <w:t>וכי</w:t>
      </w:r>
      <w:r>
        <w:rPr>
          <w:rFonts w:eastAsia="Arial TUR;Arial" w:cs="Arial TUR;Arial"/>
          <w:rtl w:val="true"/>
        </w:rPr>
        <w:t xml:space="preserve"> </w:t>
      </w:r>
      <w:r>
        <w:rPr>
          <w:rtl w:val="true"/>
        </w:rPr>
        <w:t>חסרה</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rtl w:val="true"/>
        </w:rPr>
        <w:t>הנמקה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כהגדרתו</w:t>
      </w:r>
      <w:r>
        <w:rPr>
          <w:rtl w:val="true"/>
        </w:rPr>
        <w:t xml:space="preserve">, </w:t>
      </w:r>
      <w:r>
        <w:rPr>
          <w:rtl w:val="true"/>
        </w:rPr>
        <w:t>מדוע</w:t>
      </w:r>
      <w:r>
        <w:rPr>
          <w:rFonts w:eastAsia="Arial TUR;Arial" w:cs="Arial TUR;Arial"/>
          <w:rtl w:val="true"/>
        </w:rPr>
        <w:t xml:space="preserve"> </w:t>
      </w:r>
      <w:r>
        <w:rPr>
          <w:rtl w:val="true"/>
        </w:rPr>
        <w:t>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עליו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לבסוף</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עיקרון</w:t>
      </w:r>
      <w:r>
        <w:rPr>
          <w:rFonts w:eastAsia="Arial TUR;Arial" w:cs="Arial TUR;Arial"/>
          <w:rtl w:val="true"/>
        </w:rPr>
        <w:t xml:space="preserve"> </w:t>
      </w:r>
      <w:r>
        <w:rPr>
          <w:rtl w:val="true"/>
        </w:rPr>
        <w:t>אחידות</w:t>
      </w:r>
      <w:r>
        <w:rPr>
          <w:rFonts w:eastAsia="Arial TUR;Arial" w:cs="Arial TUR;Arial"/>
          <w:rtl w:val="true"/>
        </w:rPr>
        <w:t xml:space="preserve"> </w:t>
      </w:r>
      <w:r>
        <w:rPr>
          <w:rtl w:val="true"/>
        </w:rPr>
        <w:t>הענישה</w:t>
      </w:r>
      <w:r>
        <w:rPr>
          <w:rtl w:val="true"/>
        </w:rPr>
        <w:t xml:space="preserve">, </w:t>
      </w:r>
      <w:r>
        <w:rPr>
          <w:rtl w:val="true"/>
        </w:rPr>
        <w:t>שכן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טענה באת</w:t>
      </w:r>
      <w:r>
        <w:rPr>
          <w:rtl w:val="true"/>
        </w:rPr>
        <w:t>-</w:t>
      </w:r>
      <w:r>
        <w:rPr>
          <w:rtl w:val="true"/>
        </w:rPr>
        <w:t>כוח המשיבה כי אין להקל בעונשו של המערער ההולם את חומרת מעשיו ואת מסוכנותו הרבה</w:t>
      </w:r>
      <w:r>
        <w:rPr>
          <w:rtl w:val="true"/>
        </w:rPr>
        <w:t xml:space="preserve">, </w:t>
      </w:r>
      <w:r>
        <w:rPr>
          <w:rtl w:val="true"/>
        </w:rPr>
        <w:t>כעולה מתיאור המעשים בכתב האישום</w:t>
      </w:r>
      <w:r>
        <w:rPr>
          <w:rtl w:val="true"/>
        </w:rPr>
        <w:t xml:space="preserve">; </w:t>
      </w:r>
      <w:r>
        <w:rPr>
          <w:rtl w:val="true"/>
        </w:rPr>
        <w:t>מהרשעותיו בעבירות רבות ב</w:t>
      </w:r>
      <w:r>
        <w:rPr>
          <w:rtl w:val="true"/>
        </w:rPr>
        <w:t>-</w:t>
      </w:r>
      <w:r>
        <w:rPr/>
        <w:t>5</w:t>
      </w:r>
      <w:r>
        <w:rPr>
          <w:rtl w:val="true"/>
        </w:rPr>
        <w:t xml:space="preserve"> </w:t>
      </w:r>
      <w:r>
        <w:rPr>
          <w:rtl w:val="true"/>
        </w:rPr>
        <w:t>כתבי אישום נוספים אשר צורפו להליך זה</w:t>
      </w:r>
      <w:r>
        <w:rPr>
          <w:rtl w:val="true"/>
        </w:rPr>
        <w:t xml:space="preserve">; </w:t>
      </w:r>
      <w:r>
        <w:rPr>
          <w:rtl w:val="true"/>
        </w:rPr>
        <w:t>ומתסקירי שירות המבחן בעניינו</w:t>
      </w:r>
      <w:r>
        <w:rPr>
          <w:rtl w:val="true"/>
        </w:rPr>
        <w:t>.</w:t>
      </w:r>
    </w:p>
    <w:p>
      <w:pPr>
        <w:pStyle w:val="Ruller4"/>
        <w:ind w:end="0"/>
        <w:jc w:val="both"/>
        <w:rPr/>
      </w:pPr>
      <w:r>
        <w:rPr>
          <w:rtl w:val="true"/>
        </w:rPr>
        <w:tab/>
      </w:r>
    </w:p>
    <w:p>
      <w:pPr>
        <w:pStyle w:val="Ruller4"/>
        <w:ind w:end="0"/>
        <w:jc w:val="both"/>
        <w:rPr/>
      </w:pPr>
      <w:r>
        <w:rPr>
          <w:rtl w:val="true"/>
        </w:rPr>
        <w:tab/>
      </w:r>
      <w:r>
        <w:rPr>
          <w:rtl w:val="true"/>
        </w:rPr>
        <w:t>בהקשר</w:t>
      </w:r>
      <w:r>
        <w:rPr>
          <w:rFonts w:eastAsia="Arial TUR;Arial" w:cs="Arial TUR;Arial"/>
          <w:rtl w:val="true"/>
        </w:rPr>
        <w:t xml:space="preserve"> </w:t>
      </w:r>
      <w:r>
        <w:rPr>
          <w:rtl w:val="true"/>
        </w:rPr>
        <w:t>אחרון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כעולה</w:t>
      </w:r>
      <w:r>
        <w:rPr>
          <w:rFonts w:eastAsia="Arial TUR;Arial" w:cs="Arial TUR;Arial"/>
          <w:rtl w:val="true"/>
        </w:rPr>
        <w:t xml:space="preserve"> </w:t>
      </w:r>
      <w:r>
        <w:rPr>
          <w:rtl w:val="true"/>
        </w:rPr>
        <w:t>מהתסקיר</w:t>
      </w:r>
      <w:r>
        <w:rPr>
          <w:rFonts w:eastAsia="Arial TUR;Arial" w:cs="Arial TUR;Arial"/>
          <w:rtl w:val="true"/>
        </w:rPr>
        <w:t xml:space="preserve"> </w:t>
      </w:r>
      <w:r>
        <w:rPr>
          <w:rtl w:val="true"/>
        </w:rPr>
        <w:t>המשלים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ביום</w:t>
      </w:r>
      <w:r>
        <w:rPr>
          <w:rFonts w:eastAsia="Arial TUR;Arial" w:cs="Arial TUR;Arial"/>
          <w:rtl w:val="true"/>
        </w:rPr>
        <w:t xml:space="preserve"> </w:t>
      </w:r>
      <w:r>
        <w:rPr/>
        <w:t>12.6.2019</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במהלך הדיון בערעור התברר כי המערער טרם שילם את הפיצוי אשר נפסק כי עליו לשלם למתלונן</w:t>
      </w:r>
      <w:r>
        <w:rPr>
          <w:rtl w:val="true"/>
        </w:rPr>
        <w:t>.</w:t>
      </w:r>
    </w:p>
    <w:p>
      <w:pPr>
        <w:pStyle w:val="Ruller4"/>
        <w:ind w:end="0"/>
        <w:jc w:val="both"/>
        <w:rPr/>
      </w:pPr>
      <w:r>
        <w:rPr>
          <w:rtl w:val="true"/>
        </w:rPr>
      </w:r>
    </w:p>
    <w:p>
      <w:pPr>
        <w:pStyle w:val="Ruller4"/>
        <w:ind w:end="0"/>
        <w:jc w:val="both"/>
        <w:rPr/>
      </w:pPr>
      <w:r>
        <w:rPr>
          <w:rtl w:val="true"/>
        </w:rPr>
        <w:tab/>
      </w:r>
      <w:r>
        <w:rPr>
          <w:rtl w:val="true"/>
        </w:rPr>
        <w:t>לנוכח</w:t>
      </w:r>
      <w:r>
        <w:rPr>
          <w:rFonts w:eastAsia="Arial TUR;Arial" w:cs="Arial TUR;Arial"/>
          <w:rtl w:val="true"/>
        </w:rPr>
        <w:t xml:space="preserve"> </w:t>
      </w:r>
      <w:r>
        <w:rPr>
          <w:rtl w:val="true"/>
        </w:rPr>
        <w:t>זאת</w:t>
      </w:r>
      <w:r>
        <w:rPr>
          <w:rtl w:val="true"/>
        </w:rPr>
        <w:t xml:space="preserve">, </w:t>
      </w:r>
      <w:r>
        <w:rPr>
          <w:rtl w:val="true"/>
        </w:rPr>
        <w:t>החלטנו</w:t>
      </w:r>
      <w:r>
        <w:rPr>
          <w:rFonts w:eastAsia="Arial TUR;Arial" w:cs="Arial TUR;Arial"/>
          <w:rtl w:val="true"/>
        </w:rPr>
        <w:t xml:space="preserve"> </w:t>
      </w:r>
      <w:r>
        <w:rPr>
          <w:rtl w:val="true"/>
        </w:rPr>
        <w:t>בתום</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התיק</w:t>
      </w:r>
      <w:r>
        <w:rPr>
          <w:rFonts w:eastAsia="Arial TUR;Arial" w:cs="Arial TUR;Arial"/>
          <w:rtl w:val="true"/>
        </w:rPr>
        <w:t xml:space="preserve"> </w:t>
      </w:r>
      <w:r>
        <w:rPr>
          <w:rtl w:val="true"/>
        </w:rPr>
        <w:t>יועבר</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w:t>
      </w:r>
      <w:r>
        <w:rPr>
          <w:rtl w:val="true"/>
        </w:rPr>
        <w:t>וזאת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להפקיד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הפיצויים</w:t>
      </w:r>
      <w:r>
        <w:rPr>
          <w:rFonts w:eastAsia="Arial TUR;Arial" w:cs="Arial TUR;Arial"/>
          <w:rtl w:val="true"/>
        </w:rPr>
        <w:t xml:space="preserve"> </w:t>
      </w:r>
      <w:r>
        <w:rPr>
          <w:rtl w:val="true"/>
        </w:rPr>
        <w:t>בקופת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w:t>
      </w:r>
    </w:p>
    <w:p>
      <w:pPr>
        <w:pStyle w:val="Ruller4"/>
        <w:ind w:end="0"/>
        <w:jc w:val="both"/>
        <w:rPr/>
      </w:pPr>
      <w:r>
        <w:rPr>
          <w:rtl w:val="true"/>
        </w:rPr>
      </w:r>
    </w:p>
    <w:p>
      <w:pPr>
        <w:pStyle w:val="Ruller4"/>
        <w:ind w:end="0"/>
        <w:jc w:val="both"/>
        <w:rPr/>
      </w:pPr>
      <w:r>
        <w:rPr>
          <w:rtl w:val="true"/>
        </w:rPr>
        <w:tab/>
      </w:r>
      <w:r>
        <w:rPr>
          <w:rtl w:val="true"/>
        </w:rPr>
        <w:t>משהפקיד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בקופת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החלטנו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נוסף</w:t>
      </w:r>
      <w:r>
        <w:rPr>
          <w:rtl w:val="true"/>
        </w:rPr>
        <w:t xml:space="preserve">.  </w:t>
      </w:r>
    </w:p>
    <w:p>
      <w:pPr>
        <w:pStyle w:val="Ruller4"/>
        <w:ind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rFonts w:ascii="Century" w:hAnsi="Century" w:cs="Century"/>
        </w:rPr>
      </w:pPr>
      <w:r>
        <w:rPr>
          <w:rtl w:val="true"/>
        </w:rPr>
        <w:t>ככלל אין זו מדרכה של ערכאת הערעור להתערב בעונש שהושת על ידי הערכאה הדיונית אלא אם כן העונש שנגזר סוטה באופן מהותי ממדיניות הענישה המקובלת</w:t>
      </w:r>
      <w:r>
        <w:rPr>
          <w:rtl w:val="true"/>
        </w:rPr>
        <w:t xml:space="preserve">. </w:t>
      </w:r>
      <w:r>
        <w:rPr>
          <w:rtl w:val="true"/>
        </w:rPr>
        <w:t xml:space="preserve">אולם במקרה דנן אנו סבורים כי עניינו של המערער מצדיק את התערבותנו במידת העונש שנגזר עליו </w:t>
      </w:r>
      <w:r>
        <w:rPr>
          <w:rtl w:val="true"/>
        </w:rPr>
        <w:t>(</w:t>
      </w:r>
      <w:r>
        <w:rPr>
          <w:rtl w:val="true"/>
        </w:rPr>
        <w:t>ראו והשוו</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27/17</w:t>
        </w:r>
      </w:hyperlink>
      <w:r>
        <w:rPr>
          <w:rtl w:val="true"/>
        </w:rPr>
        <w:t xml:space="preserve"> </w:t>
      </w:r>
      <w:r>
        <w:rPr>
          <w:rFonts w:ascii="Century" w:hAnsi="Century" w:cs="Miriam"/>
          <w:b/>
          <w:b/>
          <w:spacing w:val="0"/>
          <w:sz w:val="22"/>
          <w:sz w:val="22"/>
          <w:szCs w:val="24"/>
          <w:rtl w:val="true"/>
        </w:rPr>
        <w:t>בסל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12.12.2017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cs="Century"/>
          <w:sz w:val="22"/>
          <w:sz w:val="22"/>
          <w:rtl w:val="true"/>
        </w:rPr>
        <w:t xml:space="preserve"> </w:t>
      </w:r>
      <w:r>
        <w:rPr>
          <w:rFonts w:ascii="Century" w:hAnsi="Century" w:cs="Miriam"/>
          <w:b/>
          <w:b/>
          <w:spacing w:val="0"/>
          <w:sz w:val="22"/>
          <w:sz w:val="22"/>
          <w:szCs w:val="24"/>
          <w:rtl w:val="true"/>
        </w:rPr>
        <w:t>בסל</w:t>
      </w:r>
      <w:r>
        <w:rPr>
          <w:rFonts w:cs="Century" w:ascii="Century" w:hAnsi="Century"/>
          <w:sz w:val="22"/>
          <w:rtl w:val="true"/>
        </w:rPr>
        <w:t>).</w:t>
      </w:r>
    </w:p>
    <w:p>
      <w:pPr>
        <w:pStyle w:val="Ruller41"/>
        <w:numPr>
          <w:ilvl w:val="0"/>
          <w:numId w:val="0"/>
        </w:numPr>
        <w:ind w:hanging="0" w:start="0" w:end="0"/>
        <w:jc w:val="both"/>
        <w:rPr>
          <w:rFonts w:ascii="Century" w:hAnsi="Century" w:cs="Century"/>
        </w:rPr>
      </w:pPr>
      <w:r>
        <w:rPr>
          <w:rFonts w:cs="Century" w:ascii="Century" w:hAnsi="Century"/>
          <w:rtl w:val="true"/>
        </w:rPr>
      </w:r>
    </w:p>
    <w:p>
      <w:pPr>
        <w:pStyle w:val="Ruller41"/>
        <w:numPr>
          <w:ilvl w:val="0"/>
          <w:numId w:val="0"/>
        </w:numPr>
        <w:ind w:hanging="0" w:start="0" w:end="0"/>
        <w:jc w:val="both"/>
        <w:rPr>
          <w:rFonts w:ascii="Century" w:hAnsi="Century" w:cs="Century"/>
        </w:rPr>
      </w:pPr>
      <w:r>
        <w:rPr>
          <w:rFonts w:eastAsia="Garamond"/>
          <w:rtl w:val="true"/>
        </w:rPr>
        <w:t xml:space="preserve"> </w:t>
      </w:r>
      <w:r>
        <w:rPr>
          <w:rtl w:val="true"/>
        </w:rPr>
        <w:tab/>
      </w:r>
      <w:r>
        <w:rPr>
          <w:rFonts w:ascii="Century" w:hAnsi="Century" w:cs="Century"/>
          <w:rtl w:val="true"/>
        </w:rPr>
        <w:t>לגישתנו</w:t>
      </w:r>
      <w:r>
        <w:rPr>
          <w:rFonts w:cs="Century" w:ascii="Century" w:hAnsi="Century"/>
          <w:rtl w:val="true"/>
        </w:rPr>
        <w:t xml:space="preserve">, </w:t>
      </w:r>
      <w:r>
        <w:rPr>
          <w:rFonts w:ascii="Century" w:hAnsi="Century" w:cs="Century"/>
          <w:rtl w:val="true"/>
        </w:rPr>
        <w:t xml:space="preserve">העונש אשר הטיל בית משפט קמא על המערער בגין העבירות בהן הורשע </w:t>
      </w:r>
      <w:r>
        <w:rPr>
          <w:rFonts w:ascii="Century" w:hAnsi="Century" w:cs="Century"/>
          <w:rtl w:val="true"/>
        </w:rPr>
        <w:t>–</w:t>
      </w:r>
      <w:r>
        <w:rPr>
          <w:rFonts w:ascii="Century" w:hAnsi="Century" w:cs="Century"/>
          <w:rtl w:val="true"/>
        </w:rPr>
        <w:t xml:space="preserve"> אף בהתחשב בהרשעותיו הנוספות בגין כתבי האישום אשר צורפו להליך זה </w:t>
      </w:r>
      <w:r>
        <w:rPr>
          <w:rFonts w:ascii="Century" w:hAnsi="Century" w:cs="Century"/>
          <w:rtl w:val="true"/>
        </w:rPr>
        <w:t>–</w:t>
      </w:r>
      <w:r>
        <w:rPr>
          <w:rFonts w:ascii="Century" w:hAnsi="Century" w:cs="Century"/>
          <w:rtl w:val="true"/>
        </w:rPr>
        <w:t xml:space="preserve"> הוא עונש חמור יתר על המידה ואינו משקף את האיזון הראוי בין מכלול שיקולי הענישה הרלוונטיים בעניינו של המערער כפי שיובהר בהמשך</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יש מידה רבה של צדק בדברי בא</w:t>
      </w:r>
      <w:r>
        <w:rPr>
          <w:rtl w:val="true"/>
        </w:rPr>
        <w:t>-</w:t>
      </w:r>
      <w:r>
        <w:rPr>
          <w:rtl w:val="true"/>
        </w:rPr>
        <w:t>כוח המערער כי היה על בית משפט קמא ליתן הנמקה רחבה יותר של מכלול השיקולים שהביאו אותו לגזור את דינו של המערער כפי שגזר</w:t>
      </w:r>
      <w:r>
        <w:rPr>
          <w:rtl w:val="true"/>
        </w:rPr>
        <w:t>.</w:t>
      </w:r>
    </w:p>
    <w:p>
      <w:pPr>
        <w:pStyle w:val="Ruller4"/>
        <w:ind w:end="0"/>
        <w:jc w:val="both"/>
        <w:rPr/>
      </w:pPr>
      <w:r>
        <w:rPr>
          <w:rtl w:val="true"/>
        </w:rPr>
      </w:r>
    </w:p>
    <w:p>
      <w:pPr>
        <w:pStyle w:val="Ruller41"/>
        <w:numPr>
          <w:ilvl w:val="0"/>
          <w:numId w:val="0"/>
        </w:numPr>
        <w:ind w:hanging="0" w:start="0" w:end="0"/>
        <w:jc w:val="both"/>
        <w:rPr>
          <w:rFonts w:ascii="Century" w:hAnsi="Century" w:cs="Century"/>
        </w:rPr>
      </w:pPr>
      <w:r>
        <w:rPr>
          <w:rtl w:val="true"/>
        </w:rPr>
        <w:tab/>
      </w:r>
      <w:r>
        <w:rPr>
          <w:rtl w:val="true"/>
        </w:rPr>
        <w:t>אמנם</w:t>
      </w:r>
      <w:r>
        <w:rPr>
          <w:rtl w:val="true"/>
        </w:rPr>
        <w:t xml:space="preserve">, </w:t>
      </w:r>
      <w:r>
        <w:rPr>
          <w:rtl w:val="true"/>
        </w:rPr>
        <w:t xml:space="preserve">בהתאם לקבוע </w:t>
      </w:r>
      <w:hyperlink r:id="rId19">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טו</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הוראות תיקון </w:t>
      </w:r>
      <w:r>
        <w:rPr/>
        <w:t>113</w:t>
      </w:r>
      <w:r>
        <w:rPr>
          <w:rtl w:val="true"/>
        </w:rPr>
        <w:t xml:space="preserve"> </w:t>
      </w:r>
      <w:r>
        <w:rPr>
          <w:rtl w:val="true"/>
        </w:rPr>
        <w:t>אינן חלות על ענישת קטין</w:t>
      </w:r>
      <w:r>
        <w:rPr>
          <w:rtl w:val="true"/>
        </w:rPr>
        <w:t xml:space="preserve">, </w:t>
      </w:r>
      <w:r>
        <w:rPr>
          <w:rtl w:val="true"/>
        </w:rPr>
        <w:t xml:space="preserve">אולם כאמור </w:t>
      </w:r>
      <w:hyperlink r:id="rId21">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טו</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בית המשפט </w:t>
      </w:r>
      <w:r>
        <w:rPr>
          <w:rFonts w:ascii="Century" w:hAnsi="Century" w:cs="Miriam"/>
          <w:b/>
          <w:b/>
          <w:spacing w:val="0"/>
          <w:szCs w:val="24"/>
          <w:rtl w:val="true"/>
        </w:rPr>
        <w:t>רשאי</w:t>
      </w:r>
      <w:r>
        <w:rPr>
          <w:rFonts w:ascii="Century" w:hAnsi="Century" w:cs="Century"/>
          <w:rtl w:val="true"/>
        </w:rPr>
        <w:t xml:space="preserve"> להתחשב בעקרונותיו המנחים של תיקון זה תוך התאמתם לקביעת עונשו של קטין</w:t>
      </w:r>
      <w:r>
        <w:rPr>
          <w:rFonts w:cs="Century" w:ascii="Century" w:hAnsi="Century"/>
          <w:rtl w:val="true"/>
        </w:rPr>
        <w:t>.</w:t>
      </w:r>
    </w:p>
    <w:p>
      <w:pPr>
        <w:pStyle w:val="Ruller41"/>
        <w:numPr>
          <w:ilvl w:val="0"/>
          <w:numId w:val="0"/>
        </w:numPr>
        <w:ind w:hanging="0" w:start="0" w:end="0"/>
        <w:jc w:val="both"/>
        <w:rPr>
          <w:rFonts w:ascii="Century" w:hAnsi="Century" w:cs="Century"/>
        </w:rPr>
      </w:pPr>
      <w:r>
        <w:rPr>
          <w:rFonts w:cs="Century" w:ascii="Century" w:hAnsi="Century"/>
          <w:rtl w:val="true"/>
        </w:rPr>
      </w:r>
    </w:p>
    <w:p>
      <w:pPr>
        <w:pStyle w:val="Ruller41"/>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 xml:space="preserve">מן הראוי הוא כי </w:t>
      </w:r>
      <w:r>
        <w:rPr>
          <w:rFonts w:cs="Century" w:ascii="Century" w:hAnsi="Century"/>
          <w:rtl w:val="true"/>
        </w:rPr>
        <w:t>"</w:t>
      </w:r>
      <w:r>
        <w:rPr>
          <w:rFonts w:ascii="Century" w:hAnsi="Century" w:cs="Century"/>
          <w:rtl w:val="true"/>
        </w:rPr>
        <w:t>רוחו</w:t>
      </w:r>
      <w:r>
        <w:rPr>
          <w:rFonts w:cs="Century" w:ascii="Century" w:hAnsi="Century"/>
          <w:rtl w:val="true"/>
        </w:rPr>
        <w:t xml:space="preserve">" </w:t>
      </w:r>
      <w:r>
        <w:rPr>
          <w:rFonts w:ascii="Century" w:hAnsi="Century" w:cs="Century"/>
          <w:rtl w:val="true"/>
        </w:rPr>
        <w:t>של התיקון תחול גם על גזרי דינם של קטינים</w:t>
      </w:r>
      <w:r>
        <w:rPr>
          <w:rFonts w:cs="Century" w:ascii="Century" w:hAnsi="Century"/>
          <w:rtl w:val="true"/>
        </w:rPr>
        <w:t xml:space="preserve">, </w:t>
      </w:r>
      <w:r>
        <w:rPr>
          <w:rFonts w:ascii="Century" w:hAnsi="Century" w:cs="Century"/>
          <w:rtl w:val="true"/>
        </w:rPr>
        <w:t>באופן שככלל רצוי כי בתי המשפט יתחשבו במידה מסוימת</w:t>
      </w:r>
      <w:r>
        <w:rPr>
          <w:rFonts w:ascii="Century" w:hAnsi="Century" w:cs="Century"/>
          <w:rtl w:val="true"/>
        </w:rPr>
        <w:t xml:space="preserve"> במדיניות הענישה הנוהגת במקרים בעלי נסיבות דומות בבואם לגזור עונשו של נאשם</w:t>
      </w:r>
      <w:r>
        <w:rPr>
          <w:rFonts w:ascii="Century" w:hAnsi="Century" w:cs="Century"/>
          <w:rtl w:val="true"/>
        </w:rPr>
        <w:t xml:space="preserve"> שהוא קטין </w:t>
      </w:r>
      <w:r>
        <w:rPr>
          <w:rtl w:val="true"/>
        </w:rPr>
        <w:t xml:space="preserve">וכך אף היה נכון וראוי לנהוג לפני התיקון </w:t>
      </w:r>
      <w:r>
        <w:rPr>
          <w:rtl w:val="true"/>
        </w:rPr>
        <w:t>(</w:t>
      </w:r>
      <w:r>
        <w:rPr>
          <w:rtl w:val="true"/>
        </w:rPr>
        <w:t>ראו והשוו</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5355/14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w:t>
      </w:r>
      <w:r>
        <w:rPr>
          <w:rFonts w:ascii="Century" w:hAnsi="Century" w:cs="Miriam"/>
          <w:b/>
          <w:b/>
          <w:spacing w:val="0"/>
          <w:szCs w:val="24"/>
          <w:rtl w:val="true"/>
        </w:rPr>
        <w:t>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27.10.2015</w:t>
      </w:r>
      <w:r>
        <w:rPr>
          <w:rFonts w:cs="Century" w:ascii="Century" w:hAnsi="Century"/>
          <w:rtl w:val="true"/>
        </w:rPr>
        <w:t xml:space="preserve">); </w:t>
      </w:r>
      <w:hyperlink r:id="rId2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1569/13</w:t>
        </w:r>
      </w:hyperlink>
      <w:r>
        <w:rPr>
          <w:rFonts w:cs="Century" w:ascii="Century" w:hAnsi="Century"/>
          <w:rtl w:val="true"/>
        </w:rPr>
        <w:t xml:space="preserve"> </w:t>
      </w:r>
      <w:r>
        <w:rPr>
          <w:rFonts w:ascii="Century" w:hAnsi="Century" w:cs="Miriam"/>
          <w:b/>
          <w:b/>
          <w:spacing w:val="0"/>
          <w:szCs w:val="24"/>
          <w:rtl w:val="true"/>
        </w:rPr>
        <w:t>כריים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13.1.2015</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משכך</w:t>
      </w:r>
      <w:r>
        <w:rPr>
          <w:rFonts w:cs="Century" w:ascii="Century" w:hAnsi="Century"/>
          <w:rtl w:val="true"/>
        </w:rPr>
        <w:t xml:space="preserve">, </w:t>
      </w:r>
      <w:r>
        <w:rPr>
          <w:rFonts w:ascii="Century" w:hAnsi="Century" w:cs="Century"/>
          <w:rtl w:val="true"/>
        </w:rPr>
        <w:t xml:space="preserve">טוב היה עושה בית משפט קמא לו היה נדרש במסגרת גזר דינו למדיניות הענישה הנוהגת במקרים בעלי נסיבות דומות למקרה שלפניו והיה בוחן </w:t>
      </w:r>
      <w:r>
        <w:rPr>
          <w:rtl w:val="true"/>
        </w:rPr>
        <w:t>לאורהּ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המערער</w:t>
      </w:r>
      <w:r>
        <w:rPr>
          <w:rtl w:val="true"/>
        </w:rPr>
        <w:t xml:space="preserve">. </w:t>
      </w:r>
      <w:r>
        <w:rPr>
          <w:rtl w:val="true"/>
        </w:rPr>
        <w:t>יש</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נוהג</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מחמיר</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6461/11</w:t>
        </w:r>
      </w:hyperlink>
      <w:r>
        <w:rPr>
          <w:rtl w:val="true"/>
        </w:rPr>
        <w:t xml:space="preserve"> </w:t>
      </w:r>
      <w:r>
        <w:rPr>
          <w:rFonts w:ascii="Century" w:hAnsi="Century" w:cs="Miriam"/>
          <w:b/>
          <w:b/>
          <w:spacing w:val="0"/>
          <w:szCs w:val="24"/>
          <w:rtl w:val="true"/>
        </w:rPr>
        <w:t>יאסין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10</w:t>
      </w:r>
      <w:r>
        <w:rPr>
          <w:rFonts w:cs="Century" w:ascii="Century" w:hAnsi="Century"/>
          <w:rtl w:val="true"/>
        </w:rPr>
        <w:t xml:space="preserve"> (</w:t>
      </w:r>
      <w:r>
        <w:rPr>
          <w:rFonts w:cs="Century" w:ascii="Century" w:hAnsi="Century"/>
        </w:rPr>
        <w:t>22.1.2014</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sz w:val="22"/>
        </w:rPr>
      </w:pPr>
      <w:r>
        <w:rPr>
          <w:rFonts w:ascii="Century" w:hAnsi="Century" w:cs="Century"/>
          <w:sz w:val="22"/>
          <w:sz w:val="22"/>
          <w:rtl w:val="true"/>
        </w:rPr>
        <w:t>זאת ועוד</w:t>
      </w:r>
      <w:r>
        <w:rPr>
          <w:rFonts w:cs="Century" w:ascii="Century" w:hAnsi="Century"/>
          <w:sz w:val="22"/>
          <w:rtl w:val="true"/>
        </w:rPr>
        <w:t xml:space="preserve">, </w:t>
      </w:r>
      <w:r>
        <w:rPr>
          <w:rFonts w:ascii="Century" w:hAnsi="Century" w:cs="Century"/>
          <w:sz w:val="22"/>
          <w:sz w:val="22"/>
          <w:rtl w:val="true"/>
        </w:rPr>
        <w:t>נדמה כי בית משפט קמא ייחס משקל מצומצם בלבד להיותו של המערער קטין בעת מועד ביצוע העבירות</w:t>
      </w:r>
      <w:r>
        <w:rPr>
          <w:rFonts w:cs="Century" w:ascii="Century" w:hAnsi="Century"/>
          <w:sz w:val="22"/>
          <w:rtl w:val="true"/>
        </w:rPr>
        <w:t xml:space="preserve">, </w:t>
      </w:r>
      <w:r>
        <w:rPr>
          <w:rFonts w:ascii="Century" w:hAnsi="Century" w:cs="Century"/>
          <w:sz w:val="22"/>
          <w:sz w:val="22"/>
          <w:rtl w:val="true"/>
        </w:rPr>
        <w:t>ואף מסיבה זו מוצדק להפחית מעונשו</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pPr>
      <w:r>
        <w:rPr>
          <w:rtl w:val="true"/>
        </w:rPr>
        <w:tab/>
      </w:r>
      <w:r>
        <w:rPr>
          <w:rFonts w:ascii="Century" w:hAnsi="Century" w:cs="Century"/>
          <w:rtl w:val="true"/>
        </w:rPr>
        <w:t>אף שקטינוּת כשלעצמה אינה מעניקה חסינות מפני השתת עונש מאסר בפועל בנסיבות המצדיקות זאת</w:t>
      </w:r>
      <w:r>
        <w:rPr>
          <w:rFonts w:cs="Century" w:ascii="Century" w:hAnsi="Century"/>
          <w:rtl w:val="true"/>
        </w:rPr>
        <w:t xml:space="preserve">, </w:t>
      </w:r>
      <w:r>
        <w:rPr>
          <w:rtl w:val="true"/>
        </w:rPr>
        <w:t>הרי</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התפיסה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בשיקול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להילקח</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קטין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49/09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cs="Century" w:ascii="Century" w:hAnsi="Century"/>
        </w:rPr>
        <w:t>8.3.2009</w:t>
      </w:r>
      <w:r>
        <w:rPr>
          <w:rFonts w:cs="Century" w:ascii="Century" w:hAnsi="Century"/>
          <w:rtl w:val="true"/>
        </w:rPr>
        <w:t>)).</w:t>
      </w:r>
    </w:p>
    <w:p>
      <w:pPr>
        <w:pStyle w:val="Ruller4"/>
        <w:ind w:end="0"/>
        <w:jc w:val="both"/>
        <w:rPr/>
      </w:pPr>
      <w:r>
        <w:rPr>
          <w:rtl w:val="true"/>
        </w:rPr>
      </w:r>
    </w:p>
    <w:p>
      <w:pPr>
        <w:pStyle w:val="Ruller41"/>
        <w:numPr>
          <w:ilvl w:val="0"/>
          <w:numId w:val="0"/>
        </w:numPr>
        <w:ind w:hanging="0" w:start="0" w:end="0"/>
        <w:jc w:val="both"/>
        <w:rPr>
          <w:rFonts w:ascii="Century" w:hAnsi="Century" w:cs="Century"/>
        </w:rPr>
      </w:pPr>
      <w:r>
        <w:rPr>
          <w:rtl w:val="true"/>
        </w:rPr>
        <w:tab/>
      </w:r>
      <w:r>
        <w:rPr>
          <w:rtl w:val="true"/>
        </w:rPr>
        <w:t>כך</w:t>
      </w:r>
      <w:r>
        <w:rPr>
          <w:rtl w:val="true"/>
        </w:rPr>
        <w:t xml:space="preserve">, </w:t>
      </w:r>
      <w:r>
        <w:rPr>
          <w:rtl w:val="true"/>
        </w:rPr>
        <w:t xml:space="preserve">בעבירות שבוצעו על ידי קטינים הנחת המוצא היא כי נקודת האיזון בין שיקולי גמול והרתעה ושיקולי שיקום נוטה לטובת שיקולי השיקום במובן זה שיינתן משקל רב לאפשרות שיקומו ושילובו מחדש של הקטין בחברה ולנסיבותיו האישיות </w:t>
      </w:r>
      <w:r>
        <w:rPr>
          <w:rtl w:val="true"/>
        </w:rPr>
        <w:t>(</w:t>
      </w:r>
      <w:r>
        <w:rPr>
          <w:rtl w:val="true"/>
        </w:rPr>
        <w:t>וראו</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7228/11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4.4.2012</w:t>
      </w:r>
      <w:r>
        <w:rPr>
          <w:rFonts w:cs="Century" w:ascii="Century" w:hAnsi="Century"/>
          <w:rtl w:val="true"/>
        </w:rPr>
        <w:t xml:space="preserve">); </w:t>
      </w:r>
      <w:hyperlink r:id="rId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7350/12</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14.1.2013</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pPr>
      <w:r>
        <w:rPr>
          <w:rtl w:val="true"/>
        </w:rPr>
        <w:tab/>
      </w:r>
      <w:r>
        <w:rPr>
          <w:rtl w:val="true"/>
        </w:rPr>
        <w:t>אין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מהאמור</w:t>
      </w:r>
      <w:r>
        <w:rPr>
          <w:rFonts w:eastAsia="Arial TUR;Arial" w:cs="Arial TUR;Arial"/>
          <w:rtl w:val="true"/>
        </w:rPr>
        <w:t xml:space="preserve"> </w:t>
      </w:r>
      <w:r>
        <w:rPr>
          <w:rtl w:val="true"/>
        </w:rPr>
        <w:t>בתסקירי</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התמיד</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בהליכים</w:t>
      </w:r>
      <w:r>
        <w:rPr>
          <w:rFonts w:eastAsia="Arial TUR;Arial" w:cs="Arial TUR;Arial"/>
          <w:rtl w:val="true"/>
        </w:rPr>
        <w:t xml:space="preserve"> </w:t>
      </w:r>
      <w:r>
        <w:rPr>
          <w:rtl w:val="true"/>
        </w:rPr>
        <w:t>טיפוליים</w:t>
      </w:r>
      <w:r>
        <w:rPr>
          <w:rFonts w:eastAsia="Arial TUR;Arial" w:cs="Arial TUR;Arial"/>
          <w:rtl w:val="true"/>
        </w:rPr>
        <w:t xml:space="preserve"> </w:t>
      </w:r>
      <w:r>
        <w:rPr>
          <w:rtl w:val="true"/>
        </w:rPr>
        <w:t>ושיקומיים</w:t>
      </w:r>
      <w:r>
        <w:rPr>
          <w:rFonts w:eastAsia="Arial TUR;Arial" w:cs="Arial TUR;Arial"/>
          <w:rtl w:val="true"/>
        </w:rPr>
        <w:t xml:space="preserve"> </w:t>
      </w:r>
      <w:r>
        <w:rPr>
          <w:rtl w:val="true"/>
        </w:rPr>
        <w:t>שונים</w:t>
      </w:r>
      <w:r>
        <w:rPr>
          <w:rtl w:val="true"/>
        </w:rPr>
        <w:t xml:space="preserve">, </w:t>
      </w:r>
      <w:r>
        <w:rPr>
          <w:rtl w:val="true"/>
        </w:rPr>
        <w:t>למרות</w:t>
      </w:r>
      <w:r>
        <w:rPr>
          <w:rFonts w:eastAsia="Arial TUR;Arial" w:cs="Arial TUR;Arial"/>
          <w:rtl w:val="true"/>
        </w:rPr>
        <w:t xml:space="preserve"> </w:t>
      </w:r>
      <w:r>
        <w:rPr>
          <w:rtl w:val="true"/>
        </w:rPr>
        <w:t>מאמציהם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הרווחה</w:t>
      </w:r>
      <w:r>
        <w:rPr>
          <w:rFonts w:eastAsia="Arial TUR;Arial" w:cs="Arial TUR;Arial"/>
          <w:rtl w:val="true"/>
        </w:rPr>
        <w:t xml:space="preserve"> </w:t>
      </w:r>
      <w:r>
        <w:rPr>
          <w:rtl w:val="true"/>
        </w:rPr>
        <w:t>בעניינו</w:t>
      </w:r>
      <w:r>
        <w:rPr>
          <w:rtl w:val="true"/>
        </w:rPr>
        <w:t xml:space="preserve">. </w:t>
      </w:r>
      <w:r>
        <w:rPr>
          <w:rtl w:val="true"/>
        </w:rPr>
        <w:t>משכך</w:t>
      </w:r>
      <w:r>
        <w:rPr>
          <w:rtl w:val="true"/>
        </w:rPr>
        <w:t xml:space="preserve">, </w:t>
      </w:r>
      <w:r>
        <w:rPr>
          <w:rtl w:val="true"/>
        </w:rPr>
        <w:t>ולנוכח</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והצורך</w:t>
      </w:r>
      <w:r>
        <w:rPr>
          <w:rFonts w:eastAsia="Arial TUR;Arial" w:cs="Arial TUR;Arial"/>
          <w:rtl w:val="true"/>
        </w:rPr>
        <w:t xml:space="preserve"> </w:t>
      </w:r>
      <w:r>
        <w:rPr>
          <w:rtl w:val="true"/>
        </w:rPr>
        <w:t>בהרתעתו</w:t>
      </w:r>
      <w:r>
        <w:rPr>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לכלול</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זאת</w:t>
      </w:r>
      <w:r>
        <w:rPr>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לא</w:t>
      </w:r>
      <w:r>
        <w:rPr>
          <w:rFonts w:eastAsia="Arial TUR;Arial" w:cs="Arial TUR;Arial"/>
          <w:rtl w:val="true"/>
        </w:rPr>
        <w:t xml:space="preserve"> </w:t>
      </w:r>
      <w:r>
        <w:rPr>
          <w:rtl w:val="true"/>
        </w:rPr>
        <w:t>ננעלה</w:t>
      </w:r>
      <w:r>
        <w:rPr>
          <w:rFonts w:eastAsia="Arial TUR;Arial" w:cs="Arial TUR;Arial"/>
          <w:rtl w:val="true"/>
        </w:rPr>
        <w:t xml:space="preserve"> </w:t>
      </w:r>
      <w:r>
        <w:rPr>
          <w:rtl w:val="true"/>
        </w:rPr>
        <w:t>הדלת</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סיכויי</w:t>
      </w:r>
      <w:r>
        <w:rPr>
          <w:rFonts w:eastAsia="Arial TUR;Arial" w:cs="Arial TUR;Arial"/>
          <w:rtl w:val="true"/>
        </w:rPr>
        <w:t xml:space="preserve"> </w:t>
      </w:r>
      <w:r>
        <w:rPr>
          <w:rtl w:val="true"/>
        </w:rPr>
        <w:t>שיקומו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ולכך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העונש</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אף להודייתו של המערער בעבירות המיוחסות לו במסגרת הסדר טיעון מקיף אשר כלל את כתב האישום בעניין שלפנינו ו</w:t>
      </w:r>
      <w:r>
        <w:rPr>
          <w:rtl w:val="true"/>
        </w:rPr>
        <w:t>-</w:t>
      </w:r>
      <w:r>
        <w:rPr/>
        <w:t>5</w:t>
      </w:r>
      <w:r>
        <w:rPr>
          <w:rtl w:val="true"/>
        </w:rPr>
        <w:t xml:space="preserve"> </w:t>
      </w:r>
      <w:r>
        <w:rPr>
          <w:rtl w:val="true"/>
        </w:rPr>
        <w:t>כתבי אישום נוספים יש ליתן משקל בקביעת מידת העונש</w:t>
      </w:r>
      <w:r>
        <w:rPr>
          <w:rtl w:val="true"/>
        </w:rPr>
        <w:t xml:space="preserve">, </w:t>
      </w:r>
      <w:r>
        <w:rPr>
          <w:rtl w:val="true"/>
        </w:rPr>
        <w:t xml:space="preserve">מעבר למשקל שניתן לה על ידי בית המשפט קמא </w:t>
      </w:r>
    </w:p>
    <w:p>
      <w:pPr>
        <w:pStyle w:val="Ruller4"/>
        <w:ind w:end="0"/>
        <w:jc w:val="both"/>
        <w:rPr/>
      </w:pPr>
      <w:r>
        <w:rPr>
          <w:rtl w:val="true"/>
        </w:rPr>
      </w:r>
    </w:p>
    <w:p>
      <w:pPr>
        <w:pStyle w:val="Ruller41"/>
        <w:numPr>
          <w:ilvl w:val="0"/>
          <w:numId w:val="1"/>
        </w:numPr>
        <w:ind w:hanging="0" w:start="0" w:end="0"/>
        <w:jc w:val="both"/>
        <w:rPr/>
      </w:pPr>
      <w:r>
        <w:rPr>
          <w:rtl w:val="true"/>
        </w:rPr>
        <w:t>ולבסוף</w:t>
      </w:r>
      <w:r>
        <w:rPr>
          <w:rtl w:val="true"/>
        </w:rPr>
        <w:t xml:space="preserve">, </w:t>
      </w:r>
      <w:r>
        <w:rPr>
          <w:rtl w:val="true"/>
        </w:rPr>
        <w:t>מצאנו טעם מסוים גם בטענת המערער לפיה עיקרון אחידות הענישה תומך אף הוא בהקלה מסוימת בעונשו</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על פי עקרון אחידות הענישה</w:t>
      </w:r>
      <w:r>
        <w:rPr>
          <w:rtl w:val="true"/>
        </w:rPr>
        <w:t xml:space="preserve">, </w:t>
      </w:r>
      <w:r>
        <w:rPr>
          <w:rtl w:val="true"/>
        </w:rPr>
        <w:t>המהווה עיקרון יסוד בשיטתנו המשפטית</w:t>
      </w:r>
      <w:r>
        <w:rPr>
          <w:rtl w:val="true"/>
        </w:rPr>
        <w:t xml:space="preserve">,  </w:t>
      </w:r>
      <w:r>
        <w:rPr>
          <w:rtl w:val="true"/>
        </w:rPr>
        <w:t>במצבים דומים מבחינת אופי העבירות ונסיבותיהם האישיות של הנאשמים ראוי להחיל</w:t>
      </w:r>
      <w:r>
        <w:rPr>
          <w:rtl w:val="true"/>
        </w:rPr>
        <w:t xml:space="preserve">, </w:t>
      </w:r>
      <w:r>
        <w:rPr>
          <w:rtl w:val="true"/>
        </w:rPr>
        <w:t>במידת האפשר</w:t>
      </w:r>
      <w:r>
        <w:rPr>
          <w:rtl w:val="true"/>
        </w:rPr>
        <w:t xml:space="preserve">, </w:t>
      </w:r>
      <w:r>
        <w:rPr>
          <w:rtl w:val="true"/>
        </w:rPr>
        <w:t>שיקולי ענישה דומים</w:t>
      </w:r>
      <w:r>
        <w:rPr>
          <w:rtl w:val="true"/>
        </w:rPr>
        <w:t xml:space="preserve">. </w:t>
      </w:r>
      <w:r>
        <w:rPr>
          <w:rtl w:val="true"/>
        </w:rPr>
        <w:t xml:space="preserve">עיקרון זה מקבל משנה תוקף מיוחד שעה שמדובר בנאשמים המורשעים בגדרה של אותה פרשה </w:t>
      </w:r>
      <w:r>
        <w:rPr>
          <w:rtl w:val="true"/>
        </w:rPr>
        <w:t>(</w:t>
      </w:r>
      <w:r>
        <w:rPr>
          <w:rtl w:val="true"/>
        </w:rPr>
        <w:t>וראו</w:t>
      </w:r>
      <w:r>
        <w:rPr>
          <w:rtl w:val="true"/>
        </w:rPr>
        <w:t xml:space="preserve">: </w:t>
      </w:r>
      <w:r>
        <w:rPr>
          <w:rtl w:val="true"/>
        </w:rPr>
        <w:t xml:space="preserve">עניין </w:t>
      </w:r>
      <w:r>
        <w:rPr>
          <w:rFonts w:ascii="Century" w:hAnsi="Century" w:cs="Miriam"/>
          <w:b/>
          <w:b/>
          <w:spacing w:val="0"/>
          <w:sz w:val="22"/>
          <w:sz w:val="22"/>
          <w:szCs w:val="24"/>
          <w:rtl w:val="true"/>
        </w:rPr>
        <w:t>בסל</w:t>
      </w:r>
      <w:r>
        <w:rPr>
          <w:rFonts w:ascii="Century" w:hAnsi="Century" w:eastAsia="Century" w:cs="Century"/>
          <w:b/>
          <w:b/>
          <w:spacing w:val="0"/>
          <w:sz w:val="22"/>
          <w:sz w:val="22"/>
          <w:szCs w:val="24"/>
          <w:rtl w:val="true"/>
        </w:rPr>
        <w:t xml:space="preserve"> </w:t>
      </w:r>
      <w:r>
        <w:rPr>
          <w:rFonts w:ascii="Century" w:hAnsi="Century" w:cs="Century"/>
          <w:sz w:val="22"/>
          <w:sz w:val="22"/>
          <w:rtl w:val="true"/>
        </w:rPr>
        <w:t>לעיל</w:t>
      </w:r>
      <w:r>
        <w:rPr>
          <w:rFonts w:cs="Century" w:ascii="Century" w:hAnsi="Century"/>
          <w:sz w:val="22"/>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5590/16</w:t>
        </w:r>
      </w:hyperlink>
      <w:r>
        <w:rPr>
          <w:rtl w:val="true"/>
        </w:rPr>
        <w:t xml:space="preserve"> </w:t>
      </w:r>
      <w:r>
        <w:rPr>
          <w:rFonts w:ascii="Century" w:hAnsi="Century" w:cs="Miriam"/>
          <w:b/>
          <w:b/>
          <w:spacing w:val="0"/>
          <w:sz w:val="22"/>
          <w:sz w:val="22"/>
          <w:szCs w:val="24"/>
          <w:rtl w:val="true"/>
        </w:rPr>
        <w:t>נתשה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44</w:t>
      </w:r>
      <w:r>
        <w:rPr>
          <w:rFonts w:cs="Century" w:ascii="Century" w:hAnsi="Century"/>
          <w:sz w:val="22"/>
          <w:rtl w:val="true"/>
        </w:rPr>
        <w:t xml:space="preserve"> (</w:t>
      </w:r>
      <w:r>
        <w:rPr>
          <w:rFonts w:cs="Century" w:ascii="Century" w:hAnsi="Century"/>
          <w:sz w:val="22"/>
        </w:rPr>
        <w:t>17.1.2018</w:t>
      </w:r>
      <w:r>
        <w:rPr>
          <w:rFonts w:cs="Century" w:ascii="Century" w:hAnsi="Century"/>
          <w:sz w:val="22"/>
          <w:rtl w:val="true"/>
        </w:rPr>
        <w:t>)).</w:t>
      </w:r>
    </w:p>
    <w:p>
      <w:pPr>
        <w:pStyle w:val="Ruller4"/>
        <w:ind w:end="0"/>
        <w:jc w:val="both"/>
        <w:rPr/>
      </w:pPr>
      <w:r>
        <w:rPr>
          <w:rtl w:val="true"/>
        </w:rPr>
      </w:r>
    </w:p>
    <w:p>
      <w:pPr>
        <w:pStyle w:val="Ruller4"/>
        <w:ind w:end="0"/>
        <w:jc w:val="both"/>
        <w:rPr/>
      </w:pPr>
      <w:r>
        <w:rPr>
          <w:rtl w:val="true"/>
        </w:rPr>
        <w:tab/>
      </w:r>
      <w:r>
        <w:rPr>
          <w:rtl w:val="true"/>
        </w:rPr>
        <w:t>עיון</w:t>
      </w:r>
      <w:r>
        <w:rPr>
          <w:rFonts w:eastAsia="Arial TUR;Arial" w:cs="Arial TUR;Arial"/>
          <w:rtl w:val="true"/>
        </w:rPr>
        <w:t xml:space="preserve"> </w:t>
      </w:r>
      <w:r>
        <w:rPr>
          <w:rtl w:val="true"/>
        </w:rPr>
        <w:t>השוואתי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יחס</w:t>
      </w:r>
      <w:r>
        <w:rPr>
          <w:rFonts w:eastAsia="Arial TUR;Arial" w:cs="Arial TUR;Arial"/>
          <w:rtl w:val="true"/>
        </w:rPr>
        <w:t xml:space="preserve"> </w:t>
      </w:r>
      <w:r>
        <w:rPr>
          <w:rtl w:val="true"/>
        </w:rPr>
        <w:t>אחיד</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העונשים</w:t>
      </w:r>
      <w:r>
        <w:rPr>
          <w:rtl w:val="true"/>
        </w:rPr>
        <w:t xml:space="preserve">. </w:t>
      </w:r>
      <w:r>
        <w:rPr>
          <w:rtl w:val="true"/>
        </w:rPr>
        <w:t>כך</w:t>
      </w:r>
      <w:r>
        <w:rPr>
          <w:rtl w:val="true"/>
        </w:rPr>
        <w:t xml:space="preserve">, </w:t>
      </w:r>
      <w:r>
        <w:rPr>
          <w:rtl w:val="true"/>
        </w:rPr>
        <w:t>בעוד</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הושת</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בן</w:t>
      </w:r>
      <w:r>
        <w:rPr>
          <w:rFonts w:eastAsia="Arial TUR;Arial" w:cs="Arial TUR;Arial"/>
          <w:rtl w:val="true"/>
        </w:rPr>
        <w:t xml:space="preserve"> </w:t>
      </w:r>
      <w:r>
        <w:rPr/>
        <w:t>4</w:t>
      </w:r>
      <w:r>
        <w:rPr>
          <w:rtl w:val="true"/>
        </w:rPr>
        <w:t xml:space="preserve"> </w:t>
      </w:r>
      <w:r>
        <w:rPr>
          <w:rtl w:val="true"/>
        </w:rPr>
        <w:t>שנים</w:t>
      </w:r>
      <w:r>
        <w:rPr>
          <w:rtl w:val="true"/>
        </w:rPr>
        <w:t xml:space="preserve">, </w:t>
      </w:r>
      <w:r>
        <w:rPr>
          <w:rtl w:val="true"/>
        </w:rPr>
        <w:t>שותפו</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 xml:space="preserve">, </w:t>
      </w:r>
      <w:r>
        <w:rPr>
          <w:rtl w:val="true"/>
        </w:rPr>
        <w:t>ונגזר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לתועלת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בהיקף</w:t>
      </w:r>
      <w:r>
        <w:rPr>
          <w:rFonts w:eastAsia="Arial TUR;Arial" w:cs="Arial TUR;Arial"/>
          <w:rtl w:val="true"/>
        </w:rPr>
        <w:t xml:space="preserve"> </w:t>
      </w:r>
      <w:r>
        <w:rPr>
          <w:rtl w:val="true"/>
        </w:rPr>
        <w:t>של</w:t>
      </w:r>
      <w:r>
        <w:rPr>
          <w:rFonts w:eastAsia="Arial TUR;Arial" w:cs="Arial TUR;Arial"/>
          <w:rtl w:val="true"/>
        </w:rPr>
        <w:t xml:space="preserve"> </w:t>
      </w:r>
      <w:r>
        <w:rPr/>
        <w:t>200</w:t>
      </w:r>
      <w:r>
        <w:rPr>
          <w:rtl w:val="true"/>
        </w:rPr>
        <w:t xml:space="preserve"> </w:t>
      </w:r>
      <w:r>
        <w:rPr>
          <w:rtl w:val="true"/>
        </w:rPr>
        <w:t>שעות</w:t>
      </w:r>
      <w:r>
        <w:rPr>
          <w:rFonts w:eastAsia="Arial TUR;Arial" w:cs="Arial TUR;Arial"/>
          <w:rtl w:val="true"/>
        </w:rPr>
        <w:t xml:space="preserve"> </w:t>
      </w:r>
      <w:r>
        <w:rPr>
          <w:rtl w:val="true"/>
        </w:rPr>
        <w:t>ולשלם</w:t>
      </w:r>
      <w:r>
        <w:rPr>
          <w:rFonts w:eastAsia="Arial TUR;Arial" w:cs="Arial TUR;Arial"/>
          <w:rtl w:val="true"/>
        </w:rPr>
        <w:t xml:space="preserve"> </w:t>
      </w:r>
      <w:r>
        <w:rPr>
          <w:rtl w:val="true"/>
        </w:rPr>
        <w:t>פיצויים</w:t>
      </w:r>
      <w:r>
        <w:rPr>
          <w:rFonts w:eastAsia="Arial TUR;Arial" w:cs="Arial TUR;Arial"/>
          <w:rtl w:val="true"/>
        </w:rPr>
        <w:t xml:space="preserve"> </w:t>
      </w:r>
      <w:r>
        <w:rPr>
          <w:rtl w:val="true"/>
        </w:rPr>
        <w:t>למתלונן</w:t>
      </w:r>
      <w:r>
        <w:rPr>
          <w:rFonts w:eastAsia="Arial TUR;Arial" w:cs="Arial TUR;Arial"/>
          <w:rtl w:val="true"/>
        </w:rPr>
        <w:t xml:space="preserve"> </w:t>
      </w:r>
      <w:r>
        <w:rPr>
          <w:rtl w:val="true"/>
        </w:rPr>
        <w:t>בסך</w:t>
      </w:r>
      <w:r>
        <w:rPr>
          <w:rFonts w:eastAsia="Arial TUR;Arial" w:cs="Arial TUR;Arial"/>
          <w:rtl w:val="true"/>
        </w:rPr>
        <w:t xml:space="preserve"> </w:t>
      </w:r>
      <w:r>
        <w:rPr/>
        <w:t>10,000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בלבד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לא</w:t>
      </w:r>
      <w:r>
        <w:rPr>
          <w:rFonts w:eastAsia="Arial TUR;Arial" w:cs="Arial TUR;Arial"/>
          <w:rtl w:val="true"/>
        </w:rPr>
        <w:t xml:space="preserve"> </w:t>
      </w:r>
      <w:r>
        <w:rPr>
          <w:rtl w:val="true"/>
        </w:rPr>
        <w:t>נעלמה</w:t>
      </w:r>
      <w:r>
        <w:rPr>
          <w:rFonts w:eastAsia="Arial TUR;Arial" w:cs="Arial TUR;Arial"/>
          <w:rtl w:val="true"/>
        </w:rPr>
        <w:t xml:space="preserve"> </w:t>
      </w:r>
      <w:r>
        <w:rPr>
          <w:rtl w:val="true"/>
        </w:rPr>
        <w:t>מעיננו</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שוני</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השותף</w:t>
      </w:r>
      <w:r>
        <w:rPr>
          <w:rtl w:val="true"/>
        </w:rPr>
        <w:t xml:space="preserve">. </w:t>
      </w:r>
      <w:r>
        <w:rPr>
          <w:rtl w:val="true"/>
        </w:rPr>
        <w:t>אכן</w:t>
      </w:r>
      <w:r>
        <w:rPr>
          <w:rtl w:val="true"/>
        </w:rPr>
        <w:t xml:space="preserve">, </w:t>
      </w:r>
      <w:r>
        <w:rPr>
          <w:rtl w:val="true"/>
        </w:rPr>
        <w:t>המערער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הואשם</w:t>
      </w:r>
      <w:r>
        <w:rPr>
          <w:rFonts w:eastAsia="Arial TUR;Arial" w:cs="Arial TUR;Arial"/>
          <w:rtl w:val="true"/>
        </w:rPr>
        <w:t xml:space="preserve"> </w:t>
      </w:r>
      <w:r>
        <w:rPr>
          <w:rtl w:val="true"/>
        </w:rPr>
        <w:t>בהם</w:t>
      </w:r>
      <w:r>
        <w:rPr>
          <w:rtl w:val="true"/>
        </w:rPr>
        <w:t xml:space="preserve">, </w:t>
      </w:r>
      <w:r>
        <w:rPr>
          <w:rtl w:val="true"/>
        </w:rPr>
        <w:t>וחלקו</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משל</w:t>
      </w:r>
      <w:r>
        <w:rPr>
          <w:rFonts w:eastAsia="Arial TUR;Arial" w:cs="Arial TUR;Arial"/>
          <w:rtl w:val="true"/>
        </w:rPr>
        <w:t xml:space="preserve"> </w:t>
      </w:r>
      <w:r>
        <w:rPr>
          <w:rtl w:val="true"/>
        </w:rPr>
        <w:t>המערער</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דעתנו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נוחה</w:t>
      </w:r>
      <w:r>
        <w:rPr>
          <w:rFonts w:eastAsia="Arial TUR;Arial" w:cs="Arial TUR;Arial"/>
          <w:rtl w:val="true"/>
        </w:rPr>
        <w:t xml:space="preserve"> </w:t>
      </w:r>
      <w:r>
        <w:rPr>
          <w:rtl w:val="true"/>
        </w:rPr>
        <w:t>מהפער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בשוד</w:t>
      </w:r>
      <w:r>
        <w:rPr>
          <w:rFonts w:eastAsia="Arial TUR;Arial" w:cs="Arial TUR;Arial"/>
          <w:rtl w:val="true"/>
        </w:rPr>
        <w:t xml:space="preserve"> </w:t>
      </w:r>
      <w:r>
        <w:rPr>
          <w:rtl w:val="true"/>
        </w:rPr>
        <w:t>מזוין</w:t>
      </w:r>
      <w:r>
        <w:rPr>
          <w:rFonts w:eastAsia="Arial TUR;Arial" w:cs="Arial TUR;Arial"/>
          <w:rtl w:val="true"/>
        </w:rPr>
        <w:t xml:space="preserve"> </w:t>
      </w:r>
      <w:r>
        <w:rPr>
          <w:rtl w:val="true"/>
        </w:rPr>
        <w:t>ובניסיון</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לנוכח כל האמור הגענו למסקנה כי דין הערעור על חומרת העונש להתקבל</w:t>
      </w:r>
      <w:r>
        <w:rPr>
          <w:rtl w:val="true"/>
        </w:rPr>
        <w:t xml:space="preserve">, </w:t>
      </w:r>
      <w:r>
        <w:rPr>
          <w:rtl w:val="true"/>
        </w:rPr>
        <w:t>במובן זה שעונש המאסר שהוטל על המערער יופחת ל</w:t>
      </w:r>
      <w:r>
        <w:rPr>
          <w:rtl w:val="true"/>
        </w:rPr>
        <w:t>-</w:t>
      </w:r>
      <w:r>
        <w:rPr/>
        <w:t>3</w:t>
      </w:r>
      <w:r>
        <w:rPr>
          <w:rtl w:val="true"/>
        </w:rPr>
        <w:t xml:space="preserve"> </w:t>
      </w:r>
      <w:r>
        <w:rPr>
          <w:rtl w:val="true"/>
        </w:rPr>
        <w:t>שנים</w:t>
      </w:r>
      <w:r>
        <w:rPr>
          <w:rtl w:val="true"/>
        </w:rPr>
        <w:t xml:space="preserve">, </w:t>
      </w:r>
      <w:r>
        <w:rPr>
          <w:rtl w:val="true"/>
        </w:rPr>
        <w:t xml:space="preserve">בניכוי ימי מעצרו </w:t>
      </w:r>
      <w:r>
        <w:rPr>
          <w:rtl w:val="true"/>
        </w:rPr>
        <w:t>–</w:t>
      </w:r>
      <w:r>
        <w:rPr>
          <w:rtl w:val="true"/>
        </w:rPr>
        <w:t xml:space="preserve"> הכול כפי שמפורט בגזר דינו של בית משפט קמא</w:t>
      </w:r>
      <w:r>
        <w:rPr>
          <w:rtl w:val="true"/>
        </w:rPr>
        <w:t xml:space="preserve">. </w:t>
      </w:r>
      <w:r>
        <w:rPr>
          <w:rtl w:val="true"/>
        </w:rPr>
        <w:t>יתר רכיבי הענישה יוותרו על כנם</w:t>
      </w:r>
      <w:r>
        <w:rPr>
          <w:rtl w:val="true"/>
        </w:rPr>
        <w:t xml:space="preserve">. </w:t>
      </w:r>
    </w:p>
    <w:p>
      <w:pPr>
        <w:pStyle w:val="Ruller4"/>
        <w:ind w:end="0"/>
        <w:jc w:val="both"/>
        <w:rPr/>
      </w:pPr>
      <w:r>
        <w:rPr>
          <w:rtl w:val="true"/>
        </w:rPr>
      </w:r>
    </w:p>
    <w:p>
      <w:pPr>
        <w:pStyle w:val="Ruller4"/>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ט</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22.7.2019</w:t>
      </w:r>
      <w:r>
        <w:rPr>
          <w:rtl w:val="true"/>
        </w:rPr>
        <w:t xml:space="preserve">). </w:t>
      </w:r>
      <w:bookmarkEnd w:id="16"/>
    </w:p>
    <w:p>
      <w:pPr>
        <w:pStyle w:val="Ruller4"/>
        <w:ind w:end="0"/>
        <w:jc w:val="both"/>
        <w:rPr/>
      </w:pPr>
      <w:r>
        <w:rPr>
          <w:rtl w:val="true"/>
        </w:rPr>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vertAlign w:val="subscript"/>
        </w:rPr>
      </w:pPr>
      <w:r>
        <w:rPr>
          <w:rFonts w:cs="Times New Roman;Times New Roman"/>
          <w:sz w:val="16"/>
          <w:rtl w:val="true"/>
        </w:rPr>
        <w:t xml:space="preserve">   </w:t>
      </w:r>
      <w:r>
        <w:rPr>
          <w:sz w:val="16"/>
        </w:rPr>
        <w:t>18040740</w:t>
      </w:r>
      <w:r>
        <w:rPr>
          <w:sz w:val="16"/>
          <w:rtl w:val="true"/>
        </w:rPr>
        <w:t>_</w:t>
      </w:r>
      <w:r>
        <w:rPr>
          <w:sz w:val="16"/>
        </w:rPr>
        <w:t>J07.docx</w:t>
      </w:r>
      <w:r>
        <w:rPr>
          <w:sz w:val="16"/>
          <w:rtl w:val="true"/>
        </w:rPr>
        <w:t xml:space="preserve">   </w:t>
      </w:r>
      <w:r>
        <w:rPr>
          <w:sz w:val="16"/>
          <w:sz w:val="16"/>
          <w:rtl w:val="true"/>
        </w:rPr>
        <w:t>ס</w:t>
      </w:r>
      <w:r>
        <w:rPr>
          <w:sz w:val="16"/>
          <w:sz w:val="16"/>
          <w:rtl w:val="true"/>
        </w:rPr>
        <w:t>ח</w:t>
      </w:r>
      <w:r>
        <w:rPr>
          <w:sz w:val="16"/>
          <w:rtl w:val="true"/>
        </w:rPr>
        <w:t>+</w:t>
      </w:r>
      <w:r>
        <w:rPr>
          <w:sz w:val="16"/>
          <w:sz w:val="16"/>
          <w:rtl w:val="true"/>
        </w:rPr>
        <w:t>עע</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9">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54678313-4074/18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0">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1"/>
      <w:footerReference w:type="default" r:id="rId3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4074/18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86" TargetMode="External"/><Relationship Id="rId4" Type="http://schemas.openxmlformats.org/officeDocument/2006/relationships/hyperlink" Target="http://www.nevo.co.il/law/70301/244" TargetMode="External"/><Relationship Id="rId5" Type="http://schemas.openxmlformats.org/officeDocument/2006/relationships/hyperlink" Target="http://www.nevo.co.il/law/70301/275" TargetMode="External"/><Relationship Id="rId6" Type="http://schemas.openxmlformats.org/officeDocument/2006/relationships/hyperlink" Target="http://www.nevo.co.il/law/70301/402.b" TargetMode="External"/><Relationship Id="rId7" Type="http://schemas.openxmlformats.org/officeDocument/2006/relationships/hyperlink" Target="http://www.nevo.co.il/law/70301/403" TargetMode="External"/><Relationship Id="rId8" Type="http://schemas.openxmlformats.org/officeDocument/2006/relationships/hyperlink" Target="http://www.nevo.co.il/law/70301/40if.a" TargetMode="External"/><Relationship Id="rId9" Type="http://schemas.openxmlformats.org/officeDocument/2006/relationships/hyperlink" Target="http://www.nevo.co.il/law/70301/40if.b" TargetMode="External"/><Relationship Id="rId10" Type="http://schemas.openxmlformats.org/officeDocument/2006/relationships/hyperlink" Target="http://www.nevo.co.il/law/70301/428" TargetMode="External"/><Relationship Id="rId11" Type="http://schemas.openxmlformats.org/officeDocument/2006/relationships/hyperlink" Target="http://www.nevo.co.il/law/70301/402.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03" TargetMode="External"/><Relationship Id="rId14" Type="http://schemas.openxmlformats.org/officeDocument/2006/relationships/hyperlink" Target="http://www.nevo.co.il/law/70301/428" TargetMode="External"/><Relationship Id="rId15" Type="http://schemas.openxmlformats.org/officeDocument/2006/relationships/hyperlink" Target="http://www.nevo.co.il/law/70301/186" TargetMode="External"/><Relationship Id="rId16" Type="http://schemas.openxmlformats.org/officeDocument/2006/relationships/hyperlink" Target="http://www.nevo.co.il/law/70301/275" TargetMode="External"/><Relationship Id="rId17" Type="http://schemas.openxmlformats.org/officeDocument/2006/relationships/hyperlink" Target="http://www.nevo.co.il/law/70301/244" TargetMode="External"/><Relationship Id="rId18" Type="http://schemas.openxmlformats.org/officeDocument/2006/relationships/hyperlink" Target="http://www.nevo.co.il/case/21946424" TargetMode="External"/><Relationship Id="rId19" Type="http://schemas.openxmlformats.org/officeDocument/2006/relationships/hyperlink" Target="http://www.nevo.co.il/law/70301/40if.a"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0if.b" TargetMode="External"/><Relationship Id="rId22" Type="http://schemas.openxmlformats.org/officeDocument/2006/relationships/hyperlink" Target="http://www.nevo.co.il/case/17908563" TargetMode="External"/><Relationship Id="rId23" Type="http://schemas.openxmlformats.org/officeDocument/2006/relationships/hyperlink" Target="http://www.nevo.co.il/case/6669251" TargetMode="External"/><Relationship Id="rId24" Type="http://schemas.openxmlformats.org/officeDocument/2006/relationships/hyperlink" Target="http://www.nevo.co.il/case/5594740" TargetMode="External"/><Relationship Id="rId25" Type="http://schemas.openxmlformats.org/officeDocument/2006/relationships/hyperlink" Target="http://www.nevo.co.il/case/2237972" TargetMode="External"/><Relationship Id="rId26" Type="http://schemas.openxmlformats.org/officeDocument/2006/relationships/hyperlink" Target="http://www.nevo.co.il/case/6247668" TargetMode="External"/><Relationship Id="rId27" Type="http://schemas.openxmlformats.org/officeDocument/2006/relationships/hyperlink" Target="http://www.nevo.co.il/case/6247752" TargetMode="External"/><Relationship Id="rId28" Type="http://schemas.openxmlformats.org/officeDocument/2006/relationships/hyperlink" Target="http://www.nevo.co.il/case/21476340" TargetMode="External"/><Relationship Id="rId29" Type="http://schemas.openxmlformats.org/officeDocument/2006/relationships/hyperlink" Target="http://supreme.court.gov.il/"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2019-07-23T10:22:00Z</dcterms:created>
  <dc:creator>h4</dc:creator>
  <dc:description/>
  <cp:keywords/>
  <dc:language>en-IL</dc:language>
  <cp:lastModifiedBy>orly</cp:lastModifiedBy>
  <cp:lastPrinted>2019-07-22T08:18:00Z</cp:lastPrinted>
  <dcterms:modified xsi:type="dcterms:W3CDTF">2019-07-23T10:22:00Z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21946424;17908563;6669251;5594740;2237972;6247668;6247752;21476340</vt:lpwstr>
  </property>
  <property fmtid="{D5CDD505-2E9C-101B-9397-08002B2CF9AE}" pid="9" name="CITY">
    <vt:lpwstr/>
  </property>
  <property fmtid="{D5CDD505-2E9C-101B-9397-08002B2CF9AE}" pid="10" name="DATE">
    <vt:lpwstr>20190722</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הנדל;י' אלרון;י' וילנר</vt:lpwstr>
  </property>
  <property fmtid="{D5CDD505-2E9C-101B-9397-08002B2CF9AE}" pid="14" name="LAWLISTTMP1">
    <vt:lpwstr>70301/402.b;403;428;186;275;244;40if.a;40if.b</vt:lpwstr>
  </property>
  <property fmtid="{D5CDD505-2E9C-101B-9397-08002B2CF9AE}" pid="15" name="LAWYER">
    <vt:lpwstr>אפרת גולדשטיין;דוד הלוי;טלי סמואל</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עונשין</vt:lpwstr>
  </property>
  <property fmtid="{D5CDD505-2E9C-101B-9397-08002B2CF9AE}" pid="32" name="NOSE16">
    <vt:lpwstr>עונשין</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ענישה</vt:lpwstr>
  </property>
  <property fmtid="{D5CDD505-2E9C-101B-9397-08002B2CF9AE}" pid="43" name="NOSE26">
    <vt:lpwstr>ענישה</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1446;1446;1446;1446;1446;1446</vt:lpwstr>
  </property>
  <property fmtid="{D5CDD505-2E9C-101B-9397-08002B2CF9AE}" pid="48" name="NOSE31">
    <vt:lpwstr>שיקולי ענישה</vt:lpwstr>
  </property>
  <property fmtid="{D5CDD505-2E9C-101B-9397-08002B2CF9AE}" pid="49" name="NOSE310">
    <vt:lpwstr/>
  </property>
  <property fmtid="{D5CDD505-2E9C-101B-9397-08002B2CF9AE}" pid="50" name="NOSE32">
    <vt:lpwstr>מדיניות ענישה: שיקולים לקולה</vt:lpwstr>
  </property>
  <property fmtid="{D5CDD505-2E9C-101B-9397-08002B2CF9AE}" pid="51" name="NOSE33">
    <vt:lpwstr>מדיניות ענישה: קטינים</vt:lpwstr>
  </property>
  <property fmtid="{D5CDD505-2E9C-101B-9397-08002B2CF9AE}" pid="52" name="NOSE34">
    <vt:lpwstr>מדיניות ענישה: שיקום</vt:lpwstr>
  </property>
  <property fmtid="{D5CDD505-2E9C-101B-9397-08002B2CF9AE}" pid="53" name="NOSE35">
    <vt:lpwstr>מדיניות ענישה: אחדות הענישה</vt:lpwstr>
  </property>
  <property fmtid="{D5CDD505-2E9C-101B-9397-08002B2CF9AE}" pid="54" name="NOSE36">
    <vt:lpwstr>מדיניות ענישה: התערבות ערכאת ערעור</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15506;8996;15724;14346;13222;8982</vt:lpwstr>
  </property>
  <property fmtid="{D5CDD505-2E9C-101B-9397-08002B2CF9AE}" pid="59" name="PADIDATE">
    <vt:lpwstr>20190723</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4074</vt:lpwstr>
  </property>
  <property fmtid="{D5CDD505-2E9C-101B-9397-08002B2CF9AE}" pid="65" name="PROCYEAR">
    <vt:lpwstr>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410120190722</vt:lpwstr>
  </property>
  <property fmtid="{D5CDD505-2E9C-101B-9397-08002B2CF9AE}" pid="69" name="TYPE_N_DATE">
    <vt:lpwstr>41020190722</vt:lpwstr>
  </property>
  <property fmtid="{D5CDD505-2E9C-101B-9397-08002B2CF9AE}" pid="70" name="VOLUME">
    <vt:lpwstr/>
  </property>
  <property fmtid="{D5CDD505-2E9C-101B-9397-08002B2CF9AE}" pid="71" name="WORDNUMPAGES">
    <vt:lpwstr>10</vt:lpwstr>
  </property>
</Properties>
</file>