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72"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FileNumber1"/>
              <w:spacing w:lineRule="auto" w:line="240"/>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8363" w:type="dxa"/>
            <w:tcBorders/>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4087/19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ג</w:t>
            </w:r>
            <w:r>
              <w:rPr>
                <w:rtl w:val="true"/>
              </w:rPr>
              <w:t xml:space="preserve">' </w:t>
            </w:r>
            <w:r>
              <w:rPr>
                <w:rtl w:val="true"/>
              </w:rPr>
              <w:t>כנפי</w:t>
            </w:r>
            <w:r>
              <w:rPr>
                <w:rtl w:val="true"/>
              </w:rPr>
              <w:t>-</w:t>
            </w:r>
            <w:r>
              <w:rPr>
                <w:rtl w:val="true"/>
              </w:rPr>
              <w:t>שטייניץ</w:t>
            </w:r>
          </w:p>
        </w:tc>
      </w:tr>
    </w:tbl>
    <w:p>
      <w:pPr>
        <w:pStyle w:val="Ruller31"/>
        <w:spacing w:lineRule="auto" w:line="240"/>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פלוני</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ה</w:t>
            </w:r>
            <w:r>
              <w:rPr>
                <w:rFonts w:cs="David;Times New Roman" w:ascii="David;Times New Roman" w:hAnsi="David;Times New Roman"/>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both"/>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51973-06-13</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w:t>
            </w:r>
            <w:r>
              <w:rPr>
                <w:sz w:val="24"/>
                <w:sz w:val="24"/>
                <w:szCs w:val="24"/>
                <w:rtl w:val="true"/>
              </w:rPr>
              <w:t>יום</w:t>
            </w:r>
            <w:r>
              <w:rPr>
                <w:rFonts w:cs="Times New Roman"/>
                <w:sz w:val="24"/>
                <w:sz w:val="24"/>
                <w:szCs w:val="24"/>
                <w:rtl w:val="true"/>
              </w:rPr>
              <w:t xml:space="preserve"> </w:t>
            </w:r>
            <w:r>
              <w:rPr>
                <w:sz w:val="24"/>
                <w:szCs w:val="24"/>
              </w:rPr>
              <w:t>10.4.2019</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ח</w:t>
            </w:r>
            <w:r>
              <w:rPr>
                <w:sz w:val="24"/>
                <w:szCs w:val="24"/>
                <w:rtl w:val="true"/>
              </w:rPr>
              <w:t xml:space="preserve">' </w:t>
            </w:r>
            <w:r>
              <w:rPr>
                <w:sz w:val="24"/>
                <w:sz w:val="24"/>
                <w:szCs w:val="24"/>
                <w:rtl w:val="true"/>
              </w:rPr>
              <w:t>סלוטקי</w:t>
            </w:r>
            <w:r>
              <w:rPr>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אינפלד</w:t>
            </w:r>
            <w:r>
              <w:rPr>
                <w:rFonts w:cs="Times New Roman"/>
                <w:sz w:val="24"/>
                <w:sz w:val="24"/>
                <w:szCs w:val="24"/>
                <w:rtl w:val="true"/>
              </w:rPr>
              <w:t xml:space="preserve"> </w:t>
            </w:r>
            <w:r>
              <w:rPr>
                <w:sz w:val="24"/>
                <w:sz w:val="24"/>
                <w:szCs w:val="24"/>
                <w:rtl w:val="true"/>
              </w:rPr>
              <w:t>וא</w:t>
            </w:r>
            <w:r>
              <w:rPr>
                <w:sz w:val="24"/>
                <w:szCs w:val="24"/>
                <w:rtl w:val="true"/>
              </w:rPr>
              <w:t xml:space="preserve">' </w:t>
            </w:r>
            <w:r>
              <w:rPr>
                <w:sz w:val="24"/>
                <w:sz w:val="24"/>
                <w:szCs w:val="24"/>
                <w:rtl w:val="true"/>
              </w:rPr>
              <w:t>חזק</w:t>
            </w:r>
          </w:p>
        </w:tc>
      </w:tr>
    </w:tbl>
    <w:p>
      <w:pPr>
        <w:pStyle w:val="Ruller31"/>
        <w:spacing w:lineRule="auto" w:line="240"/>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ז</w:t>
            </w:r>
            <w:r>
              <w:rPr>
                <w:rFonts w:cs="Times New Roman"/>
                <w:sz w:val="24"/>
                <w:sz w:val="24"/>
                <w:szCs w:val="24"/>
                <w:rtl w:val="true"/>
              </w:rPr>
              <w:t xml:space="preserve"> </w:t>
            </w:r>
            <w:r>
              <w:rPr>
                <w:sz w:val="24"/>
                <w:sz w:val="24"/>
                <w:szCs w:val="24"/>
                <w:rtl w:val="true"/>
              </w:rPr>
              <w:t>באדר</w:t>
            </w:r>
            <w:r>
              <w:rPr>
                <w:rFonts w:cs="Times New Roman"/>
                <w:sz w:val="24"/>
                <w:sz w:val="24"/>
                <w:szCs w:val="24"/>
                <w:rtl w:val="true"/>
              </w:rPr>
              <w:t xml:space="preserve"> </w:t>
            </w:r>
            <w:r>
              <w:rPr>
                <w:sz w:val="24"/>
                <w:sz w:val="24"/>
                <w:szCs w:val="24"/>
                <w:rtl w:val="true"/>
              </w:rPr>
              <w:t>ב</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30.03.2022</w:t>
            </w:r>
            <w:r>
              <w:rPr>
                <w:rtl w:val="true"/>
              </w:rPr>
              <w:t xml:space="preserve">) </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עמית</w:t>
            </w:r>
            <w:r>
              <w:rPr>
                <w:rFonts w:cs="Times New Roman"/>
                <w:rtl w:val="true"/>
              </w:rPr>
              <w:t xml:space="preserve"> </w:t>
            </w:r>
            <w:r>
              <w:rPr>
                <w:rtl w:val="true"/>
              </w:rPr>
              <w:t>דויטשר</w:t>
            </w:r>
          </w:p>
        </w:tc>
      </w:tr>
      <w:tr>
        <w:trPr/>
        <w:tc>
          <w:tcPr>
            <w:tcW w:w="3213"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המשיבה</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מוחמד</w:t>
            </w:r>
            <w:r>
              <w:rPr>
                <w:rFonts w:cs="Times New Roman"/>
                <w:rtl w:val="true"/>
              </w:rPr>
              <w:t xml:space="preserve"> </w:t>
            </w:r>
            <w:r>
              <w:rPr>
                <w:rtl w:val="true"/>
              </w:rPr>
              <w:t>סראחנה</w:t>
            </w:r>
          </w:p>
        </w:tc>
      </w:tr>
    </w:tbl>
    <w:p>
      <w:pPr>
        <w:pStyle w:val="Ruller31"/>
        <w:spacing w:lineRule="exact" w:line="240" w:before="12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exact" w:line="240" w:before="120" w:after="120"/>
        <w:ind w:hanging="283" w:start="283" w:end="0"/>
        <w:jc w:val="both"/>
        <w:rPr>
          <w:rFonts w:ascii="FrankRuehl" w:hAnsi="FrankRuehl" w:cs="FrankRuehl"/>
          <w:spacing w:val="0"/>
          <w:sz w:val="24"/>
          <w:szCs w:val="24"/>
        </w:rPr>
      </w:pPr>
      <w:bookmarkStart w:id="5" w:name="LawTable"/>
      <w:bookmarkEnd w:id="5"/>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120" w:after="120"/>
        <w:ind w:hanging="283" w:start="283" w:end="0"/>
        <w:jc w:val="both"/>
        <w:rPr/>
      </w:pPr>
      <w:hyperlink r:id="rId3">
        <w:r>
          <w:rPr>
            <w:rStyle w:val="Hyperlink"/>
            <w:rFonts w:ascii="FrankRuehl" w:hAnsi="FrankRuehl"/>
            <w:spacing w:val="0"/>
            <w:sz w:val="24"/>
            <w:sz w:val="24"/>
            <w:szCs w:val="24"/>
            <w:u w:val="none"/>
            <w:rtl w:val="true"/>
          </w:rPr>
          <w:t>חוק העונשין</w:t>
        </w:r>
        <w:r>
          <w:rPr>
            <w:rStyle w:val="Hyperlink"/>
            <w:rFonts w:cs="FrankRuehl" w:ascii="FrankRuehl" w:hAnsi="FrankRuehl"/>
            <w:spacing w:val="0"/>
            <w:sz w:val="24"/>
            <w:szCs w:val="24"/>
            <w:u w:val="none"/>
            <w:rtl w:val="true"/>
          </w:rPr>
          <w:t xml:space="preserve">, </w:t>
        </w:r>
        <w:r>
          <w:rPr>
            <w:rStyle w:val="Hyperlink"/>
            <w:rFonts w:ascii="FrankRuehl" w:hAnsi="FrankRuehl"/>
            <w:spacing w:val="0"/>
            <w:sz w:val="24"/>
            <w:sz w:val="24"/>
            <w:szCs w:val="24"/>
            <w:u w:val="none"/>
            <w:rtl w:val="true"/>
          </w:rPr>
          <w:t>תשל</w:t>
        </w:r>
        <w:r>
          <w:rPr>
            <w:rStyle w:val="Hyperlink"/>
            <w:rFonts w:cs="FrankRuehl" w:ascii="FrankRuehl" w:hAnsi="FrankRuehl"/>
            <w:spacing w:val="0"/>
            <w:sz w:val="24"/>
            <w:szCs w:val="24"/>
            <w:u w:val="none"/>
            <w:rtl w:val="true"/>
          </w:rPr>
          <w:t>"</w:t>
        </w:r>
        <w:r>
          <w:rPr>
            <w:rStyle w:val="Hyperlink"/>
            <w:rFonts w:ascii="FrankRuehl" w:hAnsi="FrankRuehl"/>
            <w:spacing w:val="0"/>
            <w:sz w:val="24"/>
            <w:sz w:val="24"/>
            <w:szCs w:val="24"/>
            <w:u w:val="none"/>
            <w:rtl w:val="true"/>
          </w:rPr>
          <w:t>ז</w:t>
        </w:r>
        <w:r>
          <w:rPr>
            <w:rStyle w:val="Hyperlink"/>
            <w:rFonts w:cs="FrankRuehl" w:ascii="FrankRuehl" w:hAnsi="FrankRuehl"/>
            <w:spacing w:val="0"/>
            <w:sz w:val="24"/>
            <w:szCs w:val="24"/>
            <w:u w:val="none"/>
            <w:rtl w:val="true"/>
          </w:rPr>
          <w:t>-</w:t>
        </w:r>
        <w:r>
          <w:rPr>
            <w:rStyle w:val="Hyperlink"/>
            <w:rFonts w:cs="FrankRuehl" w:ascii="FrankRuehl" w:hAnsi="FrankRuehl"/>
            <w:spacing w:val="0"/>
            <w:sz w:val="24"/>
            <w:szCs w:val="24"/>
            <w:u w:val="none"/>
          </w:rPr>
          <w:t>1977</w:t>
        </w:r>
      </w:hyperlink>
      <w:r>
        <w:rPr>
          <w:rFonts w:cs="FrankRuehl" w:ascii="FrankRuehl" w:hAnsi="FrankRuehl"/>
          <w:color w:val="0000FF"/>
          <w:spacing w:val="0"/>
          <w:sz w:val="24"/>
          <w:szCs w:val="24"/>
          <w:rtl w:val="true"/>
        </w:rPr>
        <w:t xml:space="preserve">: </w:t>
      </w:r>
      <w:r>
        <w:rPr>
          <w:rFonts w:ascii="FrankRuehl" w:hAnsi="FrankRuehl"/>
          <w:color w:val="0000FF"/>
          <w:spacing w:val="0"/>
          <w:sz w:val="24"/>
          <w:sz w:val="24"/>
          <w:szCs w:val="24"/>
          <w:rtl w:val="true"/>
        </w:rPr>
        <w:t>סע</w:t>
      </w:r>
      <w:r>
        <w:rPr>
          <w:rFonts w:cs="FrankRuehl" w:ascii="FrankRuehl" w:hAnsi="FrankRuehl"/>
          <w:color w:val="0000FF"/>
          <w:spacing w:val="0"/>
          <w:sz w:val="24"/>
          <w:szCs w:val="24"/>
          <w:rtl w:val="true"/>
        </w:rPr>
        <w:t xml:space="preserve">'  </w:t>
      </w:r>
      <w:hyperlink r:id="rId4">
        <w:r>
          <w:rPr>
            <w:rStyle w:val="Hyperlink"/>
            <w:rFonts w:cs="FrankRuehl" w:ascii="FrankRuehl" w:hAnsi="FrankRuehl"/>
            <w:spacing w:val="0"/>
            <w:sz w:val="24"/>
            <w:szCs w:val="24"/>
            <w:u w:val="none"/>
          </w:rPr>
          <w:t>192</w:t>
        </w:r>
      </w:hyperlink>
      <w:r>
        <w:rPr>
          <w:rFonts w:cs="FrankRuehl" w:ascii="FrankRuehl" w:hAnsi="FrankRuehl"/>
          <w:color w:val="0000FF"/>
          <w:spacing w:val="0"/>
          <w:sz w:val="24"/>
          <w:szCs w:val="24"/>
          <w:rtl w:val="true"/>
        </w:rPr>
        <w:t xml:space="preserve">, </w:t>
      </w:r>
      <w:hyperlink r:id="rId5">
        <w:r>
          <w:rPr>
            <w:rStyle w:val="Hyperlink"/>
            <w:rFonts w:cs="FrankRuehl" w:ascii="FrankRuehl" w:hAnsi="FrankRuehl"/>
            <w:spacing w:val="0"/>
            <w:sz w:val="24"/>
            <w:szCs w:val="24"/>
            <w:u w:val="none"/>
          </w:rPr>
          <w:t>345</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א</w:t>
      </w:r>
      <w:r>
        <w:rPr>
          <w:rFonts w:cs="FrankRuehl" w:ascii="FrankRuehl" w:hAnsi="FrankRuehl"/>
          <w:color w:val="0000FF"/>
          <w:spacing w:val="0"/>
          <w:sz w:val="24"/>
          <w:szCs w:val="24"/>
          <w:rtl w:val="true"/>
        </w:rPr>
        <w:t>)(</w:t>
      </w:r>
      <w:r>
        <w:rPr>
          <w:rFonts w:cs="FrankRuehl" w:ascii="FrankRuehl" w:hAnsi="FrankRuehl"/>
          <w:color w:val="0000FF"/>
          <w:spacing w:val="0"/>
          <w:sz w:val="24"/>
          <w:szCs w:val="24"/>
        </w:rPr>
        <w:t>3</w:t>
      </w:r>
      <w:r>
        <w:rPr>
          <w:rFonts w:cs="FrankRuehl" w:ascii="FrankRuehl" w:hAnsi="FrankRuehl"/>
          <w:color w:val="0000FF"/>
          <w:spacing w:val="0"/>
          <w:sz w:val="24"/>
          <w:szCs w:val="24"/>
          <w:rtl w:val="true"/>
        </w:rPr>
        <w:t xml:space="preserve">), </w:t>
      </w:r>
      <w:hyperlink r:id="rId6">
        <w:r>
          <w:rPr>
            <w:rStyle w:val="Hyperlink"/>
            <w:rFonts w:cs="FrankRuehl" w:ascii="FrankRuehl" w:hAnsi="FrankRuehl"/>
            <w:spacing w:val="0"/>
            <w:sz w:val="24"/>
            <w:szCs w:val="24"/>
            <w:u w:val="none"/>
          </w:rPr>
          <w:t>348</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א</w:t>
      </w:r>
      <w:r>
        <w:rPr>
          <w:rFonts w:cs="FrankRuehl" w:ascii="FrankRuehl" w:hAnsi="FrankRuehl"/>
          <w:color w:val="0000FF"/>
          <w:spacing w:val="0"/>
          <w:sz w:val="24"/>
          <w:szCs w:val="24"/>
          <w:rtl w:val="true"/>
        </w:rPr>
        <w:t xml:space="preserve">), </w:t>
      </w:r>
      <w:hyperlink r:id="rId7">
        <w:r>
          <w:rPr>
            <w:rStyle w:val="Hyperlink"/>
            <w:rFonts w:cs="FrankRuehl" w:ascii="FrankRuehl" w:hAnsi="FrankRuehl"/>
            <w:spacing w:val="0"/>
            <w:sz w:val="24"/>
            <w:szCs w:val="24"/>
            <w:u w:val="none"/>
          </w:rPr>
          <w:t>351</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א</w:t>
      </w:r>
      <w:r>
        <w:rPr>
          <w:rFonts w:cs="FrankRuehl" w:ascii="FrankRuehl" w:hAnsi="FrankRuehl"/>
          <w:color w:val="0000FF"/>
          <w:spacing w:val="0"/>
          <w:sz w:val="24"/>
          <w:szCs w:val="24"/>
          <w:rtl w:val="true"/>
        </w:rPr>
        <w:t xml:space="preserve">), </w:t>
      </w:r>
      <w:hyperlink r:id="rId8">
        <w:r>
          <w:rPr>
            <w:rStyle w:val="Hyperlink"/>
            <w:rFonts w:cs="FrankRuehl" w:ascii="FrankRuehl" w:hAnsi="FrankRuehl"/>
            <w:spacing w:val="0"/>
            <w:sz w:val="24"/>
            <w:szCs w:val="24"/>
            <w:u w:val="none"/>
          </w:rPr>
          <w:t>351</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ב</w:t>
      </w:r>
      <w:r>
        <w:rPr>
          <w:rFonts w:cs="FrankRuehl" w:ascii="FrankRuehl" w:hAnsi="FrankRuehl"/>
          <w:color w:val="0000FF"/>
          <w:spacing w:val="0"/>
          <w:sz w:val="24"/>
          <w:szCs w:val="24"/>
          <w:rtl w:val="true"/>
        </w:rPr>
        <w:t xml:space="preserve">), </w:t>
      </w:r>
      <w:hyperlink r:id="rId9">
        <w:r>
          <w:rPr>
            <w:rStyle w:val="Hyperlink"/>
            <w:rFonts w:cs="FrankRuehl" w:ascii="FrankRuehl" w:hAnsi="FrankRuehl"/>
            <w:spacing w:val="0"/>
            <w:sz w:val="24"/>
            <w:szCs w:val="24"/>
            <w:u w:val="none"/>
          </w:rPr>
          <w:t>351</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ג</w:t>
      </w:r>
      <w:r>
        <w:rPr>
          <w:rFonts w:cs="FrankRuehl" w:ascii="FrankRuehl" w:hAnsi="FrankRuehl"/>
          <w:color w:val="0000FF"/>
          <w:spacing w:val="0"/>
          <w:sz w:val="24"/>
          <w:szCs w:val="24"/>
          <w:rtl w:val="true"/>
        </w:rPr>
        <w:t xml:space="preserve">), </w:t>
      </w:r>
      <w:hyperlink r:id="rId10">
        <w:r>
          <w:rPr>
            <w:rStyle w:val="Hyperlink"/>
            <w:rFonts w:cs="FrankRuehl" w:ascii="FrankRuehl" w:hAnsi="FrankRuehl"/>
            <w:spacing w:val="0"/>
            <w:sz w:val="24"/>
            <w:szCs w:val="24"/>
            <w:u w:val="none"/>
          </w:rPr>
          <w:t>351</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ג</w:t>
      </w:r>
      <w:r>
        <w:rPr>
          <w:rFonts w:cs="FrankRuehl" w:ascii="FrankRuehl" w:hAnsi="FrankRuehl"/>
          <w:color w:val="0000FF"/>
          <w:spacing w:val="0"/>
          <w:sz w:val="24"/>
          <w:szCs w:val="24"/>
          <w:rtl w:val="true"/>
        </w:rPr>
        <w:t>)(</w:t>
      </w:r>
      <w:r>
        <w:rPr>
          <w:rFonts w:cs="FrankRuehl" w:ascii="FrankRuehl" w:hAnsi="FrankRuehl"/>
          <w:color w:val="0000FF"/>
          <w:spacing w:val="0"/>
          <w:sz w:val="24"/>
          <w:szCs w:val="24"/>
        </w:rPr>
        <w:t>3</w:t>
      </w:r>
      <w:r>
        <w:rPr>
          <w:rFonts w:cs="FrankRuehl" w:ascii="FrankRuehl" w:hAnsi="FrankRuehl"/>
          <w:color w:val="0000FF"/>
          <w:spacing w:val="0"/>
          <w:sz w:val="24"/>
          <w:szCs w:val="24"/>
          <w:rtl w:val="true"/>
        </w:rPr>
        <w:t xml:space="preserve">), </w:t>
      </w:r>
      <w:hyperlink r:id="rId11">
        <w:r>
          <w:rPr>
            <w:rStyle w:val="Hyperlink"/>
            <w:rFonts w:cs="FrankRuehl" w:ascii="FrankRuehl" w:hAnsi="FrankRuehl"/>
            <w:spacing w:val="0"/>
            <w:sz w:val="24"/>
            <w:szCs w:val="24"/>
            <w:u w:val="none"/>
          </w:rPr>
          <w:t>379</w:t>
        </w:r>
      </w:hyperlink>
      <w:r>
        <w:rPr>
          <w:rFonts w:cs="FrankRuehl" w:ascii="FrankRuehl" w:hAnsi="FrankRuehl"/>
          <w:color w:val="0000FF"/>
          <w:spacing w:val="0"/>
          <w:sz w:val="24"/>
          <w:szCs w:val="24"/>
          <w:rtl w:val="true"/>
        </w:rPr>
        <w:t xml:space="preserve">, </w:t>
      </w:r>
      <w:hyperlink r:id="rId12">
        <w:r>
          <w:rPr>
            <w:rStyle w:val="Hyperlink"/>
            <w:rFonts w:cs="FrankRuehl" w:ascii="FrankRuehl" w:hAnsi="FrankRuehl"/>
            <w:spacing w:val="0"/>
            <w:sz w:val="24"/>
            <w:szCs w:val="24"/>
            <w:u w:val="none"/>
          </w:rPr>
          <w:t>382</w:t>
        </w:r>
      </w:hyperlink>
      <w:r>
        <w:rPr>
          <w:rFonts w:cs="FrankRuehl" w:ascii="FrankRuehl" w:hAnsi="FrankRuehl"/>
          <w:color w:val="0000FF"/>
          <w:spacing w:val="0"/>
          <w:sz w:val="24"/>
          <w:szCs w:val="24"/>
          <w:rtl w:val="true"/>
        </w:rPr>
        <w:t>(</w:t>
      </w:r>
      <w:r>
        <w:rPr>
          <w:rFonts w:ascii="FrankRuehl" w:hAnsi="FrankRuehl"/>
          <w:color w:val="0000FF"/>
          <w:spacing w:val="0"/>
          <w:sz w:val="24"/>
          <w:sz w:val="24"/>
          <w:szCs w:val="24"/>
          <w:rtl w:val="true"/>
        </w:rPr>
        <w:t>ב</w:t>
      </w:r>
      <w:r>
        <w:rPr>
          <w:rFonts w:cs="FrankRuehl" w:ascii="FrankRuehl" w:hAnsi="FrankRuehl"/>
          <w:color w:val="0000FF"/>
          <w:spacing w:val="0"/>
          <w:sz w:val="24"/>
          <w:szCs w:val="24"/>
          <w:rtl w:val="true"/>
        </w:rPr>
        <w:t>)(</w:t>
      </w:r>
      <w:r>
        <w:rPr>
          <w:rFonts w:cs="FrankRuehl" w:ascii="FrankRuehl" w:hAnsi="FrankRuehl"/>
          <w:color w:val="0000FF"/>
          <w:spacing w:val="0"/>
          <w:sz w:val="24"/>
          <w:szCs w:val="24"/>
        </w:rPr>
        <w:t>2</w:t>
      </w:r>
      <w:r>
        <w:rPr>
          <w:rFonts w:cs="FrankRuehl" w:ascii="FrankRuehl" w:hAnsi="FrankRuehl"/>
          <w:color w:val="0000FF"/>
          <w:spacing w:val="0"/>
          <w:sz w:val="24"/>
          <w:szCs w:val="24"/>
          <w:rtl w:val="true"/>
        </w:rPr>
        <w:t>)</w:t>
      </w:r>
    </w:p>
    <w:p>
      <w:pPr>
        <w:pStyle w:val="Ruller31"/>
        <w:spacing w:lineRule="exact" w:line="240" w:before="120" w:after="120"/>
        <w:ind w:hanging="283" w:start="283" w:end="0"/>
        <w:jc w:val="both"/>
        <w:rPr>
          <w:rFonts w:ascii="FrankRuehl" w:hAnsi="FrankRuehl" w:cs="FrankRuehl"/>
          <w:color w:val="0000FF"/>
          <w:spacing w:val="0"/>
          <w:sz w:val="24"/>
          <w:szCs w:val="24"/>
        </w:rPr>
      </w:pPr>
      <w:hyperlink r:id="rId13">
        <w:r>
          <w:rPr>
            <w:rStyle w:val="Hyperlink"/>
            <w:rFonts w:ascii="FrankRuehl" w:hAnsi="FrankRuehl"/>
            <w:spacing w:val="0"/>
            <w:sz w:val="24"/>
            <w:sz w:val="24"/>
            <w:szCs w:val="24"/>
            <w:u w:val="none"/>
            <w:rtl w:val="true"/>
          </w:rPr>
          <w:t xml:space="preserve">חוק סדר הדין הפלילי </w:t>
        </w:r>
        <w:r>
          <w:rPr>
            <w:rStyle w:val="Hyperlink"/>
            <w:rFonts w:cs="FrankRuehl" w:ascii="FrankRuehl" w:hAnsi="FrankRuehl"/>
            <w:spacing w:val="0"/>
            <w:sz w:val="24"/>
            <w:szCs w:val="24"/>
            <w:u w:val="none"/>
            <w:rtl w:val="true"/>
          </w:rPr>
          <w:t>[</w:t>
        </w:r>
        <w:r>
          <w:rPr>
            <w:rStyle w:val="Hyperlink"/>
            <w:rFonts w:ascii="FrankRuehl" w:hAnsi="FrankRuehl"/>
            <w:spacing w:val="0"/>
            <w:sz w:val="24"/>
            <w:sz w:val="24"/>
            <w:szCs w:val="24"/>
            <w:u w:val="none"/>
            <w:rtl w:val="true"/>
          </w:rPr>
          <w:t>נוסח משולב</w:t>
        </w:r>
        <w:r>
          <w:rPr>
            <w:rStyle w:val="Hyperlink"/>
            <w:rFonts w:cs="FrankRuehl" w:ascii="FrankRuehl" w:hAnsi="FrankRuehl"/>
            <w:spacing w:val="0"/>
            <w:sz w:val="24"/>
            <w:szCs w:val="24"/>
            <w:u w:val="none"/>
            <w:rtl w:val="true"/>
          </w:rPr>
          <w:t xml:space="preserve">], </w:t>
        </w:r>
        <w:r>
          <w:rPr>
            <w:rStyle w:val="Hyperlink"/>
            <w:rFonts w:ascii="FrankRuehl" w:hAnsi="FrankRuehl"/>
            <w:spacing w:val="0"/>
            <w:sz w:val="24"/>
            <w:sz w:val="24"/>
            <w:szCs w:val="24"/>
            <w:u w:val="none"/>
            <w:rtl w:val="true"/>
          </w:rPr>
          <w:t>תשמ</w:t>
        </w:r>
        <w:r>
          <w:rPr>
            <w:rStyle w:val="Hyperlink"/>
            <w:rFonts w:cs="FrankRuehl" w:ascii="FrankRuehl" w:hAnsi="FrankRuehl"/>
            <w:spacing w:val="0"/>
            <w:sz w:val="24"/>
            <w:szCs w:val="24"/>
            <w:u w:val="none"/>
            <w:rtl w:val="true"/>
          </w:rPr>
          <w:t>"</w:t>
        </w:r>
        <w:r>
          <w:rPr>
            <w:rStyle w:val="Hyperlink"/>
            <w:rFonts w:ascii="FrankRuehl" w:hAnsi="FrankRuehl"/>
            <w:spacing w:val="0"/>
            <w:sz w:val="24"/>
            <w:sz w:val="24"/>
            <w:szCs w:val="24"/>
            <w:u w:val="none"/>
            <w:rtl w:val="true"/>
          </w:rPr>
          <w:t>ב</w:t>
        </w:r>
        <w:r>
          <w:rPr>
            <w:rStyle w:val="Hyperlink"/>
            <w:rFonts w:cs="FrankRuehl" w:ascii="FrankRuehl" w:hAnsi="FrankRuehl"/>
            <w:spacing w:val="0"/>
            <w:sz w:val="24"/>
            <w:szCs w:val="24"/>
            <w:u w:val="none"/>
            <w:rtl w:val="true"/>
          </w:rPr>
          <w:t>-</w:t>
        </w:r>
        <w:r>
          <w:rPr>
            <w:rStyle w:val="Hyperlink"/>
            <w:rFonts w:cs="FrankRuehl" w:ascii="FrankRuehl" w:hAnsi="FrankRuehl"/>
            <w:spacing w:val="0"/>
            <w:sz w:val="24"/>
            <w:szCs w:val="24"/>
            <w:u w:val="none"/>
          </w:rPr>
          <w:t>1982</w:t>
        </w:r>
      </w:hyperlink>
      <w:r>
        <w:rPr>
          <w:rFonts w:cs="FrankRuehl" w:ascii="FrankRuehl" w:hAnsi="FrankRuehl"/>
          <w:color w:val="0000FF"/>
          <w:spacing w:val="0"/>
          <w:sz w:val="24"/>
          <w:szCs w:val="24"/>
          <w:rtl w:val="true"/>
        </w:rPr>
        <w:t xml:space="preserve">: </w:t>
      </w:r>
      <w:r>
        <w:rPr>
          <w:rFonts w:ascii="FrankRuehl" w:hAnsi="FrankRuehl"/>
          <w:color w:val="0000FF"/>
          <w:spacing w:val="0"/>
          <w:sz w:val="24"/>
          <w:sz w:val="24"/>
          <w:szCs w:val="24"/>
          <w:rtl w:val="true"/>
        </w:rPr>
        <w:t>סע</w:t>
      </w:r>
      <w:r>
        <w:rPr>
          <w:rFonts w:cs="FrankRuehl" w:ascii="FrankRuehl" w:hAnsi="FrankRuehl"/>
          <w:color w:val="0000FF"/>
          <w:spacing w:val="0"/>
          <w:sz w:val="24"/>
          <w:szCs w:val="24"/>
          <w:rtl w:val="true"/>
        </w:rPr>
        <w:t xml:space="preserve">'  </w:t>
      </w:r>
      <w:hyperlink r:id="rId14">
        <w:r>
          <w:rPr>
            <w:rStyle w:val="Hyperlink"/>
            <w:rFonts w:cs="FrankRuehl" w:ascii="FrankRuehl" w:hAnsi="FrankRuehl"/>
            <w:spacing w:val="0"/>
            <w:sz w:val="24"/>
            <w:szCs w:val="24"/>
            <w:u w:val="none"/>
          </w:rPr>
          <w:t>184</w:t>
        </w:r>
      </w:hyperlink>
    </w:p>
    <w:p>
      <w:pPr>
        <w:pStyle w:val="Ruller31"/>
        <w:spacing w:lineRule="auto" w:line="240"/>
        <w:ind w:end="0"/>
        <w:jc w:val="start"/>
        <w:rPr>
          <w:rFonts w:ascii="FrankRuehl" w:hAnsi="FrankRuehl" w:cs="FrankRuehl"/>
          <w:color w:val="0000FF"/>
          <w:spacing w:val="0"/>
          <w:sz w:val="24"/>
          <w:szCs w:val="24"/>
        </w:rPr>
      </w:pPr>
      <w:r>
        <w:rPr>
          <w:rFonts w:cs="FrankRuehl" w:ascii="FrankRuehl" w:hAnsi="FrankRuehl"/>
          <w:color w:val="0000FF"/>
          <w:spacing w:val="0"/>
          <w:sz w:val="24"/>
          <w:szCs w:val="24"/>
          <w:rtl w:val="true"/>
        </w:rPr>
      </w:r>
      <w:bookmarkStart w:id="6" w:name="LawTable_End"/>
      <w:bookmarkStart w:id="7" w:name="LawTable_End"/>
      <w:bookmarkEnd w:id="7"/>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8" w:name="ABSTRACT_START"/>
      <w:bookmarkEnd w:id="8"/>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נדחה ערעור על הכרעת דין בגדרה נמצא המערער אשם בריבוי עבירות מין ואלימות בבתה הקטינה של בת זוגו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אין בטענות המערער כדי לערער את גרסת המתלוננת או כדי להקים ספק סביר בדבר אשמתו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הכרעת הדין מקיפה ומבוססת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הנשענת על התרשמות הערכאה הדיונית מהעדויות שהובאו לפניה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בחינת הראיות מלמדת כי לא קמה עילה להתערבות ערכאת הערעור בהכרעת הדין</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מהימנות – בחינתה על</w:t>
      </w:r>
      <w:r>
        <w:rPr>
          <w:rFonts w:cs="Times New Roman" w:ascii="Times New Roman" w:hAnsi="Times New Roman"/>
          <w:spacing w:val="0"/>
          <w:szCs w:val="26"/>
          <w:rtl w:val="true"/>
        </w:rPr>
        <w:t>-</w:t>
      </w:r>
      <w:r>
        <w:rPr>
          <w:rFonts w:ascii="Times New Roman" w:hAnsi="Times New Roman" w:cs="Times New Roman"/>
          <w:spacing w:val="0"/>
          <w:szCs w:val="26"/>
          <w:rtl w:val="true"/>
        </w:rPr>
        <w:t>ידי ערכאת הערעור</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עדות – קורבן עבירת מין</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מהימנות – סתירות</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הרשעה</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 בממצאים עובדתיים</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על הכרעת דינו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בגדרה נמצא המערער אשם בריבוי עבירות מין במתלוננת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בתה הקטינה של בת זוגו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כן נמצא המערער אשם בעבירת אלימות ובעבירת איומים שביצע כלפיה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מתמקד בהכרעת הדין בלבד ובמרכזו עומדת מהימנות עדותה של המתלוננת</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השופטת כנפי</w:t>
      </w:r>
      <w:r>
        <w:rPr>
          <w:rFonts w:cs="Times New Roman" w:ascii="Times New Roman" w:hAnsi="Times New Roman"/>
          <w:spacing w:val="0"/>
          <w:szCs w:val="26"/>
          <w:rtl w:val="true"/>
        </w:rPr>
        <w:t>-</w:t>
      </w:r>
      <w:r>
        <w:rPr>
          <w:rFonts w:ascii="Times New Roman" w:hAnsi="Times New Roman" w:cs="Times New Roman"/>
          <w:spacing w:val="0"/>
          <w:szCs w:val="26"/>
          <w:rtl w:val="true"/>
        </w:rPr>
        <w:t>שטייניץ ובהסכמת השופטים פוגלמן וברק</w:t>
      </w:r>
      <w:r>
        <w:rPr>
          <w:rFonts w:cs="Times New Roman" w:ascii="Times New Roman" w:hAnsi="Times New Roman"/>
          <w:spacing w:val="0"/>
          <w:szCs w:val="26"/>
          <w:rtl w:val="true"/>
        </w:rPr>
        <w:t>-</w:t>
      </w:r>
      <w:r>
        <w:rPr>
          <w:rFonts w:ascii="Times New Roman" w:hAnsi="Times New Roman" w:cs="Times New Roman"/>
          <w:spacing w:val="0"/>
          <w:szCs w:val="26"/>
          <w:rtl w:val="true"/>
        </w:rPr>
        <w:t>ארז</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עיקר טענות המערער מכוונות כלפי ממצאים עובדתיים וקביעות מהימנות שקבע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הלכה היא כי ערכאת הערעור לא נוהגת להתערב בממצאי עובדה ומהימנות אלא במקרים נדירים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לנוכח יתרונה של הערכאה הדיונית בהערכת מהימנות העדים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בסיס התרשמותה הישירה והבלתי אמצעית מהם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מאופן מסירת העדות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מהתנהגותם בעת מתן העדות ומאותות האמת בעדותם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הלכה זו ישימה גם כאשר מדובר בערעור על קביעות עובדה ומהימנות בעבירות 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ובמיוחד עת מדובר בעבירות מין במשפחה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שבהן קביעת הממצאים מתבססת בעיקרה על עדויות הנפגע והפוגע ועל התרשמות הערכאה הדיונית מאמינותן ומהימנותן</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במקרה זה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התרשם מעדותה של המתלוננת וקבע כי היא הותירה רושם מהימן ביותר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גרסתה עקבית ומאוזנת וכי לא נמצאו בה סתירות מהותיות ולעדות המהימנה של המתלוננת נמצאו מספר חיזוקים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בחן לעומק את כל הסתירות והקשיים להם טען המערער תוך בחינת כל עדות וראיה וקבע כי הם אינם נוגעים לליבת האירועים וכי גרסת המתלוננת עומדת היטב על מכונה ואין כל עילה להתערב בקביעותיו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כבר נפסק כי הגישה הראייתית הנהוגה בעבירות 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ובעבירות מין במשפחה בפרט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היא שאין לדקדק בפרטי העדות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וניתן להסתפק בגרעין האמת המצוי 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ולעיתים אף בגרעין הקשה בלבד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כאשר העדות לוקה בבלבול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באי</w:t>
      </w:r>
      <w:r>
        <w:rPr>
          <w:rFonts w:cs="Times New Roman" w:ascii="Times New Roman" w:hAnsi="Times New Roman"/>
          <w:spacing w:val="0"/>
          <w:szCs w:val="26"/>
          <w:rtl w:val="true"/>
        </w:rPr>
        <w:t>-</w:t>
      </w:r>
      <w:r>
        <w:rPr>
          <w:rFonts w:ascii="Times New Roman" w:hAnsi="Times New Roman" w:cs="Times New Roman"/>
          <w:spacing w:val="0"/>
          <w:szCs w:val="26"/>
          <w:rtl w:val="true"/>
        </w:rPr>
        <w:t>דיוק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ובחוסר בהירות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אם ניתן למצוא בעדות המתלוננת אי</w:t>
      </w:r>
      <w:r>
        <w:rPr>
          <w:rFonts w:cs="Times New Roman" w:ascii="Times New Roman" w:hAnsi="Times New Roman"/>
          <w:spacing w:val="0"/>
          <w:szCs w:val="26"/>
          <w:rtl w:val="true"/>
        </w:rPr>
        <w:t>-</w:t>
      </w:r>
      <w:r>
        <w:rPr>
          <w:rFonts w:ascii="Times New Roman" w:hAnsi="Times New Roman" w:cs="Times New Roman"/>
          <w:spacing w:val="0"/>
          <w:szCs w:val="26"/>
          <w:rtl w:val="true"/>
        </w:rPr>
        <w:t>דיוקים מסוימים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במעשים שנעשו במתלוננת בגיל צעיר ביותר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לאורך 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ניתן לצפות כי לא יימצאו סתירות או אי</w:t>
      </w:r>
      <w:r>
        <w:rPr>
          <w:rFonts w:cs="Times New Roman" w:ascii="Times New Roman" w:hAnsi="Times New Roman"/>
          <w:spacing w:val="0"/>
          <w:szCs w:val="26"/>
          <w:rtl w:val="true"/>
        </w:rPr>
        <w:t>-</w:t>
      </w:r>
      <w:r>
        <w:rPr>
          <w:rFonts w:ascii="Times New Roman" w:hAnsi="Times New Roman" w:cs="Times New Roman"/>
          <w:spacing w:val="0"/>
          <w:szCs w:val="26"/>
          <w:rtl w:val="true"/>
        </w:rPr>
        <w:t>דיוקים בכל מרכיבי עדותה</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קבע כי הסברי המתלוננת לסיבה להעדר כל תיעוד של הפגיעות המיניות שעברה היה החשש שמא הדבר ייוודע לאמה</w:t>
      </w:r>
      <w:r>
        <w:rPr>
          <w:rFonts w:cs="Times New Roman" w:ascii="Times New Roman" w:hAnsi="Times New Roman"/>
          <w:spacing w:val="0"/>
          <w:szCs w:val="26"/>
          <w:rtl w:val="true"/>
        </w:rPr>
        <w:t>, "</w:t>
      </w:r>
      <w:r>
        <w:rPr>
          <w:rFonts w:ascii="Times New Roman" w:hAnsi="Times New Roman" w:cs="Times New Roman"/>
          <w:spacing w:val="0"/>
          <w:szCs w:val="26"/>
          <w:rtl w:val="true"/>
        </w:rPr>
        <w:t>מהימנים עד מאוד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עילה להתערבות בקביעה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תיאורה המורכב של המתלוננת את יחסיה עם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עשוי להעיד דווקא על אמינותה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ומכל מקום אין בו כדי לפגום 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ניתן לצפות ממתלוננת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ובמיוחד ממתלוננת 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לחשוף בפירוט ובדיוק רב את כל הפרטים הנוגעים לפגיעה מינית שעברה בפעם הראשונה בה היא אוזרת עוז לחשוף את הדברים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ומכל מקום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בהמשך סיפרה המתלוננת בעקביות על המעשים החמורים שחוותה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טענות המערער בנוגע למניעים אפשריים שהיו למתלוננת להעליל עליו עלילת שווא נדונו באופן מקיף בבימ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ונדחו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נמצא כי נפלו בקביעותיו טעויות המצדיקות התערבות</w:t>
      </w:r>
      <w:r>
        <w:rPr>
          <w:rFonts w:cs="Times New Roman" w:ascii="Times New Roman" w:hAnsi="Times New Roman"/>
          <w:spacing w:val="0"/>
          <w:szCs w:val="26"/>
          <w:rtl w:val="true"/>
        </w:rPr>
        <w:t xml:space="preserve">. </w:t>
      </w:r>
    </w:p>
    <w:p>
      <w:pPr>
        <w:pStyle w:val="Ruller31"/>
        <w:spacing w:lineRule="auto" w:line="240"/>
        <w:ind w:end="0"/>
        <w:jc w:val="start"/>
        <w:rPr>
          <w:rFonts w:ascii="Times New Roman" w:hAnsi="Times New Roman" w:cs="Times New Roman"/>
          <w:spacing w:val="0"/>
          <w:szCs w:val="26"/>
        </w:rPr>
      </w:pPr>
      <w:r>
        <w:rPr>
          <w:rFonts w:cs="Times New Roman"/>
          <w:spacing w:val="0"/>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spacing w:lineRule="auto" w:line="240"/>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p>
            <w:pPr>
              <w:pStyle w:val="DocumentHead"/>
              <w:spacing w:lineRule="auto" w:line="240"/>
              <w:ind w:end="0"/>
              <w:jc w:val="center"/>
              <w:rPr/>
            </w:pPr>
            <w:r>
              <w:rPr>
                <w:rtl w:val="true"/>
              </w:rPr>
            </w:r>
          </w:p>
        </w:tc>
      </w:tr>
    </w:tbl>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כנפי</w:t>
      </w:r>
      <w:r>
        <w:rPr>
          <w:rFonts w:cs="Miriam"/>
          <w:sz w:val="24"/>
          <w:szCs w:val="24"/>
          <w:u w:val="single"/>
          <w:rtl w:val="true"/>
        </w:rPr>
        <w:t>-</w:t>
      </w:r>
      <w:r>
        <w:rPr>
          <w:rFonts w:cs="Miriam"/>
          <w:sz w:val="24"/>
          <w:sz w:val="24"/>
          <w:szCs w:val="24"/>
          <w:u w:val="single"/>
          <w:rtl w:val="true"/>
        </w:rPr>
        <w:t>שטייניץ</w:t>
      </w:r>
      <w:r>
        <w:rPr>
          <w:rFonts w:cs="Miriam"/>
          <w:sz w:val="24"/>
          <w:szCs w:val="24"/>
          <w:rtl w:val="true"/>
        </w:rPr>
        <w:t>:</w:t>
      </w:r>
    </w:p>
    <w:p>
      <w:pPr>
        <w:pStyle w:val="Ruller42"/>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3"/>
        <w:numPr>
          <w:ilvl w:val="0"/>
          <w:numId w:val="1"/>
        </w:numPr>
        <w:ind w:end="0"/>
        <w:jc w:val="both"/>
        <w:rPr/>
      </w:pPr>
      <w:r>
        <w:rPr>
          <w:rtl w:val="true"/>
        </w:rPr>
        <w:t xml:space="preserve">לפנינו ערעור על הכרעת דינו של בית המשפט המחוזי בבאר שבע </w:t>
      </w:r>
      <w:r>
        <w:rPr>
          <w:rtl w:val="true"/>
        </w:rPr>
        <w:t>(</w:t>
      </w:r>
      <w:r>
        <w:rPr>
          <w:rtl w:val="true"/>
        </w:rPr>
        <w:t xml:space="preserve">השופטים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סלוטקי</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אינפלד</w:t>
      </w:r>
      <w:r>
        <w:rPr>
          <w:rFonts w:ascii="Century" w:hAnsi="Century" w:eastAsia="Century" w:cs="Century"/>
          <w:b/>
          <w:b/>
          <w:spacing w:val="0"/>
          <w:sz w:val="22"/>
          <w:sz w:val="22"/>
          <w:szCs w:val="24"/>
          <w:rtl w:val="true"/>
        </w:rPr>
        <w:t xml:space="preserve"> </w:t>
      </w:r>
      <w:r>
        <w:rPr>
          <w:rFonts w:ascii="Century" w:hAnsi="Century" w:cs="Century"/>
          <w:sz w:val="22"/>
          <w:sz w:val="22"/>
          <w:rtl w:val="true"/>
        </w:rPr>
        <w:t>ו</w:t>
      </w:r>
      <w:r>
        <w:rPr>
          <w:rFonts w:cs="Century" w:ascii="Century" w:hAnsi="Century"/>
          <w:sz w:val="22"/>
          <w:rtl w:val="true"/>
        </w:rPr>
        <w:t>-</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חזק</w:t>
      </w:r>
      <w:r>
        <w:rPr>
          <w:rtl w:val="true"/>
        </w:rPr>
        <w:t xml:space="preserve">) </w:t>
      </w:r>
      <w:r>
        <w:rPr>
          <w:rtl w:val="true"/>
        </w:rPr>
        <w:t>ב</w:t>
      </w:r>
      <w:hyperlink r:id="rId15">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51973-06-13</w:t>
        </w:r>
      </w:hyperlink>
      <w:r>
        <w:rPr>
          <w:color w:val="0000FF"/>
          <w:u w:val="single"/>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w:t>
      </w:r>
      <w:r>
        <w:rPr>
          <w:rtl w:val="true"/>
        </w:rPr>
        <w:t xml:space="preserve">. </w:t>
      </w:r>
      <w:r>
        <w:rPr>
          <w:rtl w:val="true"/>
        </w:rPr>
        <w:t xml:space="preserve">בגדרה של הכרעת דין זו נמצא המערער אשם בריבוי עבירות מין בבתה הקטינה של בת זוגו </w:t>
      </w:r>
      <w:r>
        <w:rPr>
          <w:rtl w:val="true"/>
        </w:rPr>
        <w:t>(</w:t>
      </w:r>
      <w:r>
        <w:rPr>
          <w:rtl w:val="true"/>
        </w:rPr>
        <w:t>להלן</w:t>
      </w:r>
      <w:r>
        <w:rPr>
          <w:rtl w:val="true"/>
        </w:rPr>
        <w:t xml:space="preserve">: </w:t>
      </w:r>
      <w:r>
        <w:rPr>
          <w:rFonts w:ascii="Century" w:hAnsi="Century" w:cs="Miriam"/>
          <w:b/>
          <w:b/>
          <w:spacing w:val="0"/>
          <w:sz w:val="22"/>
          <w:sz w:val="22"/>
          <w:szCs w:val="24"/>
          <w:rtl w:val="true"/>
        </w:rPr>
        <w:t>המתלוננת</w:t>
      </w:r>
      <w:r>
        <w:rPr>
          <w:rtl w:val="true"/>
        </w:rPr>
        <w:t xml:space="preserve">). </w:t>
      </w:r>
      <w:r>
        <w:rPr>
          <w:rtl w:val="true"/>
        </w:rPr>
        <w:t>כן נמצא המערער אשם בעבירת אלימות ובעבירת איומים שביצע כלפיה</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באופן חריג</w:t>
      </w:r>
      <w:r>
        <w:rPr>
          <w:rtl w:val="true"/>
        </w:rPr>
        <w:t xml:space="preserve">, </w:t>
      </w:r>
      <w:r>
        <w:rPr>
          <w:rtl w:val="true"/>
        </w:rPr>
        <w:t>בשל מצבו הרפואי הקשה של המערער</w:t>
      </w:r>
      <w:r>
        <w:rPr>
          <w:rtl w:val="true"/>
        </w:rPr>
        <w:t xml:space="preserve">, </w:t>
      </w:r>
      <w:r>
        <w:rPr>
          <w:rtl w:val="true"/>
        </w:rPr>
        <w:t>ובאין מחלוקת בין הצדדים כי זה איננו מאפשר למערער לרצות עונש של מאסר בפועל</w:t>
      </w:r>
      <w:r>
        <w:rPr>
          <w:rtl w:val="true"/>
        </w:rPr>
        <w:t xml:space="preserve">, </w:t>
      </w:r>
      <w:r>
        <w:rPr>
          <w:rtl w:val="true"/>
        </w:rPr>
        <w:t xml:space="preserve">הוטל על המערער עונש של מאסר מותנה ותשלום פיצוי למתלוננת בסך </w:t>
      </w:r>
      <w:r>
        <w:rPr/>
        <w:t>200,000</w:t>
      </w:r>
      <w:r>
        <w:rPr>
          <w:rtl w:val="true"/>
        </w:rPr>
        <w:t xml:space="preserve"> </w:t>
      </w:r>
      <w:r>
        <w:rPr>
          <w:rFonts w:cs="Times New Roman" w:ascii="Times New Roman" w:hAnsi="Times New Roman"/>
          <w:rtl w:val="true"/>
        </w:rPr>
        <w:t>₪</w:t>
      </w:r>
      <w:r>
        <w:rPr>
          <w:rtl w:val="true"/>
        </w:rPr>
        <w:t xml:space="preserve">, </w:t>
      </w:r>
      <w:r>
        <w:rPr>
          <w:rtl w:val="true"/>
        </w:rPr>
        <w:t>מבלי שהוטל עליו רכיב של מאסר בפועל</w:t>
      </w:r>
      <w:r>
        <w:rPr>
          <w:rtl w:val="true"/>
        </w:rPr>
        <w:t xml:space="preserve">. </w:t>
      </w:r>
    </w:p>
    <w:p>
      <w:pPr>
        <w:pStyle w:val="Ruller43"/>
        <w:numPr>
          <w:ilvl w:val="0"/>
          <w:numId w:val="0"/>
        </w:numPr>
        <w:ind w:hanging="0" w:start="0" w:end="0"/>
        <w:jc w:val="both"/>
        <w:rPr/>
      </w:pPr>
      <w:r>
        <w:rPr>
          <w:rtl w:val="true"/>
        </w:rPr>
        <w:tab/>
      </w:r>
    </w:p>
    <w:p>
      <w:pPr>
        <w:pStyle w:val="Ruller43"/>
        <w:numPr>
          <w:ilvl w:val="0"/>
          <w:numId w:val="0"/>
        </w:numPr>
        <w:ind w:hanging="0" w:start="0" w:end="0"/>
        <w:jc w:val="both"/>
        <w:rPr/>
      </w:pPr>
      <w:r>
        <w:rPr>
          <w:rtl w:val="true"/>
        </w:rPr>
        <w:tab/>
      </w:r>
      <w:r>
        <w:rPr>
          <w:rtl w:val="true"/>
        </w:rPr>
        <w:t>לפיכך</w:t>
      </w:r>
      <w:r>
        <w:rPr>
          <w:rtl w:val="true"/>
        </w:rPr>
        <w:t xml:space="preserve">, </w:t>
      </w:r>
      <w:r>
        <w:rPr>
          <w:rtl w:val="true"/>
        </w:rPr>
        <w:t>מתמקד הערעור בהכרעת הדין בלבד</w:t>
      </w:r>
      <w:r>
        <w:rPr>
          <w:rtl w:val="true"/>
        </w:rPr>
        <w:t xml:space="preserve">. </w:t>
      </w:r>
    </w:p>
    <w:p>
      <w:pPr>
        <w:pStyle w:val="ruller411"/>
        <w:bidi w:val="1"/>
        <w:spacing w:lineRule="atLeast" w:line="330" w:before="0" w:after="0"/>
        <w:ind w:end="0"/>
        <w:jc w:val="both"/>
        <w:rPr>
          <w:rFonts w:ascii="Miriam" w:hAnsi="Miriam" w:cs="Miriam"/>
          <w:color w:val="000000"/>
        </w:rPr>
      </w:pPr>
      <w:r>
        <w:rPr>
          <w:rFonts w:cs="Miriam" w:ascii="Miriam" w:hAnsi="Miriam"/>
          <w:color w:val="000000"/>
          <w:rtl w:val="true"/>
        </w:rPr>
      </w:r>
    </w:p>
    <w:p>
      <w:pPr>
        <w:pStyle w:val="ruller411"/>
        <w:bidi w:val="1"/>
        <w:spacing w:lineRule="atLeast" w:line="330" w:before="0" w:after="0"/>
        <w:ind w:end="0"/>
        <w:jc w:val="both"/>
        <w:rPr>
          <w:rFonts w:ascii="Arial TUR;Arial" w:hAnsi="Arial TUR;Arial" w:cs="Arial TUR;Arial"/>
          <w:color w:val="000000"/>
          <w:spacing w:val="10"/>
          <w:sz w:val="22"/>
          <w:szCs w:val="22"/>
        </w:rPr>
      </w:pPr>
      <w:r>
        <w:rPr>
          <w:rFonts w:ascii="Miriam" w:hAnsi="Miriam" w:cs="Miriam"/>
          <w:color w:val="000000"/>
          <w:rtl w:val="true"/>
        </w:rPr>
        <w:t xml:space="preserve">רקע </w:t>
      </w:r>
      <w:r>
        <w:rPr>
          <w:rFonts w:ascii="Miriam" w:hAnsi="Miriam" w:cs="Miriam"/>
          <w:color w:val="000000"/>
          <w:rtl w:val="true"/>
        </w:rPr>
        <w:t>הדברים</w:t>
      </w:r>
    </w:p>
    <w:p>
      <w:pPr>
        <w:pStyle w:val="ruller411"/>
        <w:bidi w:val="1"/>
        <w:spacing w:lineRule="atLeast" w:line="330" w:before="0" w:after="0"/>
        <w:ind w:end="0"/>
        <w:jc w:val="both"/>
        <w:rPr>
          <w:rFonts w:ascii="Arial TUR;Arial" w:hAnsi="Arial TUR;Arial" w:cs="Arial TUR;Arial"/>
          <w:color w:val="000000"/>
          <w:spacing w:val="10"/>
          <w:sz w:val="22"/>
          <w:szCs w:val="22"/>
        </w:rPr>
      </w:pPr>
      <w:r>
        <w:rPr>
          <w:rFonts w:eastAsia="FrankRuehl" w:cs="FrankRuehl" w:ascii="FrankRuehl" w:hAnsi="FrankRuehl"/>
          <w:color w:val="000000"/>
          <w:spacing w:val="10"/>
          <w:sz w:val="28"/>
          <w:szCs w:val="28"/>
          <w:rtl w:val="true"/>
        </w:rPr>
        <w:t xml:space="preserve"> </w:t>
      </w:r>
    </w:p>
    <w:p>
      <w:pPr>
        <w:pStyle w:val="Ruller43"/>
        <w:numPr>
          <w:ilvl w:val="0"/>
          <w:numId w:val="1"/>
        </w:numPr>
        <w:ind w:end="0"/>
        <w:jc w:val="both"/>
        <w:rPr/>
      </w:pPr>
      <w:r>
        <w:rPr>
          <w:rtl w:val="true"/>
        </w:rPr>
        <w:t xml:space="preserve">המערער הוא בן זוגה של אם המתלוננת מאז שנת </w:t>
      </w:r>
      <w:r>
        <w:rPr/>
        <w:t>2000</w:t>
      </w:r>
      <w:r>
        <w:rPr>
          <w:rtl w:val="true"/>
        </w:rPr>
        <w:t xml:space="preserve">, </w:t>
      </w:r>
      <w:r>
        <w:rPr>
          <w:rtl w:val="true"/>
        </w:rPr>
        <w:t>עת הייתה המתלוננת כבת ארבע שנים</w:t>
      </w:r>
      <w:r>
        <w:rPr>
          <w:rtl w:val="true"/>
        </w:rPr>
        <w:t xml:space="preserve">. </w:t>
      </w:r>
      <w:r>
        <w:rPr>
          <w:rtl w:val="true"/>
        </w:rPr>
        <w:t xml:space="preserve">החל משנת </w:t>
      </w:r>
      <w:r>
        <w:rPr/>
        <w:t>2002</w:t>
      </w:r>
      <w:r>
        <w:rPr>
          <w:rtl w:val="true"/>
        </w:rPr>
        <w:t xml:space="preserve"> </w:t>
      </w:r>
      <w:r>
        <w:rPr>
          <w:rtl w:val="true"/>
        </w:rPr>
        <w:t>התגורר המערער עם המתלוננת ואמה</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בערב</w:t>
      </w:r>
      <w:r>
        <w:rPr>
          <w:rFonts w:eastAsia="Arial TUR;Arial" w:cs="Arial TUR;Arial"/>
          <w:rtl w:val="true"/>
        </w:rPr>
        <w:t xml:space="preserve"> </w:t>
      </w:r>
      <w:r>
        <w:rPr>
          <w:rtl w:val="true"/>
        </w:rPr>
        <w:t>חג</w:t>
      </w:r>
      <w:r>
        <w:rPr>
          <w:rFonts w:eastAsia="Arial TUR;Arial" w:cs="Arial TUR;Arial"/>
          <w:rtl w:val="true"/>
        </w:rPr>
        <w:t xml:space="preserve"> </w:t>
      </w:r>
      <w:r>
        <w:rPr>
          <w:rtl w:val="true"/>
        </w:rPr>
        <w:t>הפסח</w:t>
      </w:r>
      <w:r>
        <w:rPr>
          <w:rFonts w:eastAsia="Arial TUR;Arial" w:cs="Arial TUR;Arial"/>
          <w:rtl w:val="true"/>
        </w:rPr>
        <w:t xml:space="preserve"> </w:t>
      </w:r>
      <w:r>
        <w:rPr>
          <w:rtl w:val="true"/>
        </w:rPr>
        <w:t>בשנת</w:t>
      </w:r>
      <w:r>
        <w:rPr>
          <w:rFonts w:eastAsia="Arial TUR;Arial" w:cs="Arial TUR;Arial"/>
          <w:rtl w:val="true"/>
        </w:rPr>
        <w:t xml:space="preserve"> </w:t>
      </w:r>
      <w:r>
        <w:rPr/>
        <w:t>2012</w:t>
      </w:r>
      <w:r>
        <w:rPr>
          <w:rtl w:val="true"/>
        </w:rPr>
        <w:t xml:space="preserve">, </w:t>
      </w:r>
      <w:r>
        <w:rPr>
          <w:rtl w:val="true"/>
        </w:rPr>
        <w:t>בהיותה</w:t>
      </w:r>
      <w:r>
        <w:rPr>
          <w:rFonts w:eastAsia="Arial TUR;Arial" w:cs="Arial TUR;Arial"/>
          <w:rtl w:val="true"/>
        </w:rPr>
        <w:t xml:space="preserve"> </w:t>
      </w:r>
      <w:r>
        <w:rPr>
          <w:rtl w:val="true"/>
        </w:rPr>
        <w:t>כבת</w:t>
      </w:r>
      <w:r>
        <w:rPr>
          <w:rFonts w:eastAsia="Arial TUR;Arial" w:cs="Arial TUR;Arial"/>
          <w:rtl w:val="true"/>
        </w:rPr>
        <w:t xml:space="preserve"> </w:t>
      </w:r>
      <w:r>
        <w:rPr/>
        <w:t>15</w:t>
      </w:r>
      <w:r>
        <w:rPr>
          <w:rtl w:val="true"/>
        </w:rPr>
        <w:t xml:space="preserve"> </w:t>
      </w:r>
      <w:r>
        <w:rPr>
          <w:rtl w:val="true"/>
        </w:rPr>
        <w:t>שנים</w:t>
      </w:r>
      <w:r>
        <w:rPr>
          <w:rtl w:val="true"/>
        </w:rPr>
        <w:t xml:space="preserve">, </w:t>
      </w:r>
      <w:r>
        <w:rPr>
          <w:rtl w:val="true"/>
        </w:rPr>
        <w:t>הגיעה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אביה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לחגוג</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החג</w:t>
      </w:r>
      <w:r>
        <w:rPr>
          <w:rtl w:val="true"/>
        </w:rPr>
        <w:t xml:space="preserve">. </w:t>
      </w:r>
      <w:r>
        <w:rPr>
          <w:rtl w:val="true"/>
        </w:rPr>
        <w:t>בנסיבות</w:t>
      </w:r>
      <w:r>
        <w:rPr>
          <w:rFonts w:eastAsia="Arial TUR;Arial" w:cs="Arial TUR;Arial"/>
          <w:rtl w:val="true"/>
        </w:rPr>
        <w:t xml:space="preserve"> </w:t>
      </w:r>
      <w:r>
        <w:rPr>
          <w:rtl w:val="true"/>
        </w:rPr>
        <w:t>שיתוארו</w:t>
      </w:r>
      <w:r>
        <w:rPr>
          <w:rFonts w:eastAsia="Arial TUR;Arial" w:cs="Arial TUR;Arial"/>
          <w:rtl w:val="true"/>
        </w:rPr>
        <w:t xml:space="preserve"> </w:t>
      </w:r>
      <w:r>
        <w:rPr>
          <w:rtl w:val="true"/>
        </w:rPr>
        <w:t>בהמשך</w:t>
      </w:r>
      <w:r>
        <w:rPr>
          <w:rFonts w:eastAsia="Arial TUR;Arial" w:cs="Arial TUR;Arial"/>
          <w:rtl w:val="true"/>
        </w:rPr>
        <w:t xml:space="preserve"> </w:t>
      </w:r>
      <w:r>
        <w:rPr>
          <w:rtl w:val="true"/>
        </w:rPr>
        <w:t>התארכה</w:t>
      </w:r>
      <w:r>
        <w:rPr>
          <w:rFonts w:eastAsia="Arial TUR;Arial" w:cs="Arial TUR;Arial"/>
          <w:rtl w:val="true"/>
        </w:rPr>
        <w:t xml:space="preserve"> </w:t>
      </w:r>
      <w:r>
        <w:rPr>
          <w:rtl w:val="true"/>
        </w:rPr>
        <w:t>שהייתה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אביה</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אמה</w:t>
      </w:r>
      <w:r>
        <w:rPr>
          <w:rtl w:val="true"/>
        </w:rPr>
        <w:t xml:space="preserve">. </w:t>
      </w:r>
      <w:r>
        <w:rPr>
          <w:rtl w:val="true"/>
        </w:rPr>
        <w:t>במהלך</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מגוריה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האב</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לסבתה</w:t>
      </w:r>
      <w:r>
        <w:rPr>
          <w:rFonts w:eastAsia="Arial TUR;Arial" w:cs="Arial TUR;Arial"/>
          <w:rtl w:val="true"/>
        </w:rPr>
        <w:t xml:space="preserve"> </w:t>
      </w:r>
      <w:r>
        <w:rPr>
          <w:rtl w:val="true"/>
        </w:rPr>
        <w:t>ולדודתה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פגיעות</w:t>
      </w:r>
      <w:r>
        <w:rPr>
          <w:rFonts w:eastAsia="Arial TUR;Arial" w:cs="Arial TUR;Arial"/>
          <w:rtl w:val="true"/>
        </w:rPr>
        <w:t xml:space="preserve"> </w:t>
      </w:r>
      <w:r>
        <w:rPr>
          <w:rtl w:val="true"/>
        </w:rPr>
        <w:t>מיניות</w:t>
      </w:r>
      <w:r>
        <w:rPr>
          <w:rFonts w:eastAsia="Arial TUR;Arial" w:cs="Arial TUR;Arial"/>
          <w:rtl w:val="true"/>
        </w:rPr>
        <w:t xml:space="preserve"> </w:t>
      </w:r>
      <w:r>
        <w:rPr>
          <w:rtl w:val="true"/>
        </w:rPr>
        <w:t>שפגע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המערער</w:t>
      </w:r>
      <w:r>
        <w:rPr>
          <w:rtl w:val="true"/>
        </w:rPr>
        <w:t xml:space="preserve">, </w:t>
      </w:r>
      <w:r>
        <w:rPr>
          <w:rtl w:val="true"/>
        </w:rPr>
        <w:t>תוך</w:t>
      </w:r>
      <w:r>
        <w:rPr>
          <w:rFonts w:eastAsia="Arial TUR;Arial" w:cs="Arial TUR;Arial"/>
          <w:rtl w:val="true"/>
        </w:rPr>
        <w:t xml:space="preserve"> </w:t>
      </w:r>
      <w:r>
        <w:rPr>
          <w:rtl w:val="true"/>
        </w:rPr>
        <w:t>שביקשה</w:t>
      </w:r>
      <w:r>
        <w:rPr>
          <w:rFonts w:eastAsia="Arial TUR;Arial" w:cs="Arial TUR;Arial"/>
          <w:rtl w:val="true"/>
        </w:rPr>
        <w:t xml:space="preserve"> </w:t>
      </w:r>
      <w:r>
        <w:rPr>
          <w:rtl w:val="true"/>
        </w:rPr>
        <w:t>מהן</w:t>
      </w:r>
      <w:r>
        <w:rPr>
          <w:rFonts w:eastAsia="Arial TUR;Arial" w:cs="Arial TUR;Arial"/>
          <w:rtl w:val="true"/>
        </w:rPr>
        <w:t xml:space="preserve"> </w:t>
      </w:r>
      <w:r>
        <w:rPr>
          <w:rtl w:val="true"/>
        </w:rPr>
        <w:t>לשמור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בסוד</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שהדבר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ייוודע</w:t>
      </w:r>
      <w:r>
        <w:rPr>
          <w:rFonts w:eastAsia="Arial TUR;Arial" w:cs="Arial TUR;Arial"/>
          <w:rtl w:val="true"/>
        </w:rPr>
        <w:t xml:space="preserve"> </w:t>
      </w:r>
      <w:r>
        <w:rPr>
          <w:rtl w:val="true"/>
        </w:rPr>
        <w:t>לאמה</w:t>
      </w:r>
      <w:r>
        <w:rPr>
          <w:rtl w:val="true"/>
        </w:rPr>
        <w:t xml:space="preserve">. </w:t>
      </w:r>
      <w:r>
        <w:rPr>
          <w:rtl w:val="true"/>
        </w:rPr>
        <w:t>בהמשך</w:t>
      </w:r>
      <w:r>
        <w:rPr>
          <w:rFonts w:eastAsia="Arial TUR;Arial" w:cs="Arial TUR;Arial"/>
          <w:rtl w:val="true"/>
        </w:rPr>
        <w:t xml:space="preserve"> </w:t>
      </w:r>
      <w:r>
        <w:rPr>
          <w:rtl w:val="true"/>
        </w:rPr>
        <w:t>חשפה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בת</w:t>
      </w:r>
      <w:r>
        <w:rPr>
          <w:rFonts w:eastAsia="Arial TUR;Arial" w:cs="Arial TUR;Arial"/>
          <w:rtl w:val="true"/>
        </w:rPr>
        <w:t xml:space="preserve"> </w:t>
      </w:r>
      <w:r>
        <w:rPr>
          <w:rtl w:val="true"/>
        </w:rPr>
        <w:t>זוגו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אביה</w:t>
      </w:r>
      <w:r>
        <w:rPr>
          <w:rtl w:val="true"/>
        </w:rPr>
        <w:t xml:space="preserve">, </w:t>
      </w:r>
      <w:r>
        <w:rPr>
          <w:rtl w:val="true"/>
        </w:rPr>
        <w:t>וזו</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לאב</w:t>
      </w:r>
      <w:r>
        <w:rPr>
          <w:rtl w:val="true"/>
        </w:rPr>
        <w:t xml:space="preserve">. </w:t>
      </w:r>
      <w:r>
        <w:rPr>
          <w:rtl w:val="true"/>
        </w:rPr>
        <w:t>האב</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שהגיש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התלונה</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ידיעת</w:t>
      </w:r>
      <w:r>
        <w:rPr>
          <w:rFonts w:eastAsia="Arial TUR;Arial" w:cs="Arial TUR;Arial"/>
          <w:rtl w:val="true"/>
        </w:rPr>
        <w:t xml:space="preserve"> </w:t>
      </w:r>
      <w:r>
        <w:rPr>
          <w:rtl w:val="true"/>
        </w:rPr>
        <w:t>המתלוננת</w:t>
      </w:r>
      <w:r>
        <w:rPr>
          <w:rtl w:val="true"/>
        </w:rPr>
        <w:t xml:space="preserve">. </w:t>
      </w:r>
      <w:r>
        <w:rPr>
          <w:rtl w:val="true"/>
        </w:rPr>
        <w:t>זהו</w:t>
      </w:r>
      <w:r>
        <w:rPr>
          <w:rFonts w:eastAsia="Arial TUR;Arial" w:cs="Arial TUR;Arial"/>
          <w:rtl w:val="true"/>
        </w:rPr>
        <w:t xml:space="preserve"> </w:t>
      </w:r>
      <w:r>
        <w:rPr>
          <w:rtl w:val="true"/>
        </w:rPr>
        <w:t>הרקע</w:t>
      </w:r>
      <w:r>
        <w:rPr>
          <w:rFonts w:eastAsia="Arial TUR;Arial" w:cs="Arial TUR;Arial"/>
          <w:rtl w:val="true"/>
        </w:rPr>
        <w:t xml:space="preserve"> </w:t>
      </w:r>
      <w:r>
        <w:rPr>
          <w:rtl w:val="true"/>
        </w:rPr>
        <w:t>לפתיחת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שבסיומה</w:t>
      </w:r>
      <w:r>
        <w:rPr>
          <w:rFonts w:eastAsia="Arial TUR;Arial" w:cs="Arial TUR;Arial"/>
          <w:rtl w:val="true"/>
        </w:rPr>
        <w:t xml:space="preserve"> </w:t>
      </w:r>
      <w:r>
        <w:rPr>
          <w:rtl w:val="true"/>
        </w:rPr>
        <w:t>הוגש</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שבענייננו</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יצוין</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עתה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במוקד</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בעוד</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העידה</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ובבית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שורה</w:t>
      </w:r>
      <w:r>
        <w:rPr>
          <w:rFonts w:eastAsia="Arial TUR;Arial" w:cs="Arial TUR;Arial"/>
          <w:rtl w:val="true"/>
        </w:rPr>
        <w:t xml:space="preserve"> </w:t>
      </w:r>
      <w:r>
        <w:rPr>
          <w:rtl w:val="true"/>
        </w:rPr>
        <w:t>ארוכה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לאורך</w:t>
      </w:r>
      <w:r>
        <w:rPr>
          <w:rFonts w:eastAsia="Arial TUR;Arial" w:cs="Arial TUR;Arial"/>
          <w:rtl w:val="true"/>
        </w:rPr>
        <w:t xml:space="preserve"> </w:t>
      </w:r>
      <w:r>
        <w:rPr>
          <w:rtl w:val="true"/>
        </w:rPr>
        <w:t>שנים</w:t>
      </w:r>
      <w:r>
        <w:rPr>
          <w:rtl w:val="true"/>
        </w:rPr>
        <w:t xml:space="preserve">, </w:t>
      </w:r>
      <w:r>
        <w:rPr>
          <w:rtl w:val="true"/>
        </w:rPr>
        <w:t>טוען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בעלילת</w:t>
      </w:r>
      <w:r>
        <w:rPr>
          <w:rFonts w:eastAsia="Arial TUR;Arial" w:cs="Arial TUR;Arial"/>
          <w:rtl w:val="true"/>
        </w:rPr>
        <w:t xml:space="preserve"> </w:t>
      </w:r>
      <w:r>
        <w:rPr>
          <w:rtl w:val="true"/>
        </w:rPr>
        <w:t>שווא</w:t>
      </w:r>
      <w:r>
        <w:rPr>
          <w:rFonts w:eastAsia="Arial TUR;Arial" w:cs="Arial TUR;Arial"/>
          <w:rtl w:val="true"/>
        </w:rPr>
        <w:t xml:space="preserve"> </w:t>
      </w:r>
      <w:r>
        <w:rPr>
          <w:rtl w:val="true"/>
        </w:rPr>
        <w:t>שרקמה</w:t>
      </w:r>
      <w:r>
        <w:rPr>
          <w:rFonts w:eastAsia="Arial TUR;Arial" w:cs="Arial TUR;Arial"/>
          <w:rtl w:val="true"/>
        </w:rPr>
        <w:t xml:space="preserve"> </w:t>
      </w:r>
      <w:r>
        <w:rPr>
          <w:rtl w:val="true"/>
        </w:rPr>
        <w:t>נגדו</w:t>
      </w:r>
      <w:r>
        <w:rPr>
          <w:rFonts w:eastAsia="Arial TUR;Arial" w:cs="Arial TUR;Arial"/>
          <w:rtl w:val="true"/>
        </w:rPr>
        <w:t xml:space="preserve"> </w:t>
      </w:r>
      <w:r>
        <w:rPr>
          <w:rtl w:val="true"/>
        </w:rPr>
        <w:t>המתלוננת</w:t>
      </w:r>
      <w:r>
        <w:rPr>
          <w:rtl w:val="true"/>
        </w:rPr>
        <w:t xml:space="preserve">. </w:t>
      </w:r>
    </w:p>
    <w:p>
      <w:pPr>
        <w:pStyle w:val="Ruller42"/>
        <w:ind w:end="0"/>
        <w:jc w:val="both"/>
        <w:rPr/>
      </w:pPr>
      <w:r>
        <w:rPr>
          <w:rtl w:val="true"/>
        </w:rPr>
      </w:r>
    </w:p>
    <w:p>
      <w:pPr>
        <w:pStyle w:val="Ruller42"/>
        <w:ind w:end="0"/>
        <w:jc w:val="both"/>
        <w:rPr>
          <w:rFonts w:ascii="Miriam" w:hAnsi="Miriam" w:cs="Miriam"/>
          <w:sz w:val="24"/>
          <w:szCs w:val="24"/>
        </w:rPr>
      </w:pPr>
      <w:r>
        <w:rPr>
          <w:rFonts w:ascii="Miriam" w:hAnsi="Miriam" w:cs="Miriam"/>
          <w:sz w:val="24"/>
          <w:sz w:val="24"/>
          <w:szCs w:val="24"/>
          <w:rtl w:val="true"/>
        </w:rPr>
        <w:t>כתב האישום ותשובת המערער</w:t>
      </w:r>
    </w:p>
    <w:p>
      <w:pPr>
        <w:pStyle w:val="Ruller42"/>
        <w:ind w:end="0"/>
        <w:jc w:val="both"/>
        <w:rPr>
          <w:rFonts w:ascii="Miriam" w:hAnsi="Miriam" w:cs="Miriam"/>
          <w:sz w:val="24"/>
          <w:szCs w:val="24"/>
        </w:rPr>
      </w:pPr>
      <w:r>
        <w:rPr>
          <w:rFonts w:cs="Miriam" w:ascii="Miriam" w:hAnsi="Miriam"/>
          <w:sz w:val="24"/>
          <w:szCs w:val="24"/>
          <w:rtl w:val="true"/>
        </w:rPr>
      </w:r>
    </w:p>
    <w:p>
      <w:pPr>
        <w:pStyle w:val="Ruller43"/>
        <w:numPr>
          <w:ilvl w:val="0"/>
          <w:numId w:val="1"/>
        </w:numPr>
        <w:ind w:end="0"/>
        <w:jc w:val="both"/>
        <w:rPr/>
      </w:pPr>
      <w:r>
        <w:rPr>
          <w:rtl w:val="true"/>
        </w:rPr>
        <w:t xml:space="preserve">כתב האישום הוגש נגד המערער ביום </w:t>
      </w:r>
      <w:r>
        <w:rPr/>
        <w:t>25.6.2013</w:t>
      </w:r>
      <w:r>
        <w:rPr>
          <w:rtl w:val="true"/>
        </w:rPr>
        <w:t xml:space="preserve"> </w:t>
      </w:r>
      <w:r>
        <w:rPr>
          <w:rtl w:val="true"/>
        </w:rPr>
        <w:t>והוא כולל שמונה אישומים כפי שיפורטו להלן</w:t>
      </w:r>
      <w:r>
        <w:rPr>
          <w:rtl w:val="true"/>
        </w:rPr>
        <w:t>:</w:t>
      </w:r>
    </w:p>
    <w:p>
      <w:pPr>
        <w:pStyle w:val="Ruller43"/>
        <w:numPr>
          <w:ilvl w:val="0"/>
          <w:numId w:val="0"/>
        </w:numPr>
        <w:ind w:hanging="0" w:start="0" w:end="0"/>
        <w:jc w:val="both"/>
        <w:rPr/>
      </w:pPr>
      <w:r>
        <w:rPr>
          <w:rtl w:val="true"/>
        </w:rPr>
        <w:tab/>
      </w:r>
    </w:p>
    <w:p>
      <w:pPr>
        <w:pStyle w:val="Ruller43"/>
        <w:numPr>
          <w:ilvl w:val="0"/>
          <w:numId w:val="0"/>
        </w:numPr>
        <w:ind w:hanging="0" w:start="0" w:end="0"/>
        <w:jc w:val="both"/>
        <w:rPr/>
      </w:pPr>
      <w:r>
        <w:rPr>
          <w:rtl w:val="true"/>
        </w:rPr>
        <w:tab/>
      </w:r>
      <w:r>
        <w:rPr>
          <w:rtl w:val="true"/>
        </w:rPr>
        <w:t xml:space="preserve">לפי עובדות </w:t>
      </w:r>
      <w:r>
        <w:rPr>
          <w:rFonts w:ascii="Miriam" w:hAnsi="Miriam" w:cs="Miriam"/>
          <w:szCs w:val="24"/>
          <w:rtl w:val="true"/>
        </w:rPr>
        <w:t>האישום הראשון</w:t>
      </w:r>
      <w:r>
        <w:rPr>
          <w:rtl w:val="true"/>
        </w:rPr>
        <w:t xml:space="preserve">, </w:t>
      </w:r>
      <w:r>
        <w:rPr>
          <w:rtl w:val="true"/>
        </w:rPr>
        <w:t xml:space="preserve">במהלך שנת </w:t>
      </w:r>
      <w:r>
        <w:rPr/>
        <w:t>2002</w:t>
      </w:r>
      <w:r>
        <w:rPr>
          <w:rtl w:val="true"/>
        </w:rPr>
        <w:t xml:space="preserve"> </w:t>
      </w:r>
      <w:r>
        <w:rPr>
          <w:rtl w:val="true"/>
        </w:rPr>
        <w:t>חשף המערער את איבר מינו בפני המתלוננת</w:t>
      </w:r>
      <w:r>
        <w:rPr>
          <w:rtl w:val="true"/>
        </w:rPr>
        <w:t>.</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 xml:space="preserve"> </w:t>
      </w:r>
      <w:r>
        <w:rPr>
          <w:rtl w:val="true"/>
        </w:rPr>
        <w:t xml:space="preserve">לפי עובדות </w:t>
      </w:r>
      <w:r>
        <w:rPr>
          <w:rFonts w:ascii="Miriam" w:hAnsi="Miriam" w:cs="Miriam"/>
          <w:szCs w:val="24"/>
          <w:rtl w:val="true"/>
        </w:rPr>
        <w:t>האישום השני</w:t>
      </w:r>
      <w:r>
        <w:rPr>
          <w:rtl w:val="true"/>
        </w:rPr>
        <w:t xml:space="preserve">, </w:t>
      </w:r>
      <w:r>
        <w:rPr>
          <w:rtl w:val="true"/>
        </w:rPr>
        <w:t xml:space="preserve">במהלך שנת </w:t>
      </w:r>
      <w:r>
        <w:rPr/>
        <w:t>2005</w:t>
      </w:r>
      <w:r>
        <w:rPr>
          <w:rtl w:val="true"/>
        </w:rPr>
        <w:t xml:space="preserve"> </w:t>
      </w:r>
      <w:r>
        <w:rPr>
          <w:rtl w:val="true"/>
        </w:rPr>
        <w:t>ליקק המערער את איבר מינה של המתלוננת והחדיר את לשונו לאיבר מינה</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 xml:space="preserve">לפי עובדות </w:t>
      </w:r>
      <w:r>
        <w:rPr>
          <w:rFonts w:ascii="Miriam" w:hAnsi="Miriam" w:cs="Miriam"/>
          <w:szCs w:val="24"/>
          <w:rtl w:val="true"/>
        </w:rPr>
        <w:t>האישום השלישי</w:t>
      </w:r>
      <w:r>
        <w:rPr>
          <w:rFonts w:cs="Century" w:ascii="Century" w:hAnsi="Century"/>
          <w:sz w:val="22"/>
          <w:rtl w:val="true"/>
        </w:rPr>
        <w:t>,</w:t>
      </w:r>
      <w:r>
        <w:rPr>
          <w:rtl w:val="true"/>
        </w:rPr>
        <w:t xml:space="preserve"> </w:t>
      </w:r>
      <w:r>
        <w:rPr>
          <w:rtl w:val="true"/>
        </w:rPr>
        <w:t xml:space="preserve">במהלך השנים </w:t>
      </w:r>
      <w:r>
        <w:rPr/>
        <w:t>2010-2005</w:t>
      </w:r>
      <w:r>
        <w:rPr>
          <w:rtl w:val="true"/>
        </w:rPr>
        <w:t xml:space="preserve"> </w:t>
      </w:r>
      <w:r>
        <w:rPr>
          <w:rtl w:val="true"/>
        </w:rPr>
        <w:t>שוחח המערער עם המתלוננת על נושאים בעלי גוון מיני ובאחת השיחות התייחס לאיבר מינו</w:t>
      </w:r>
      <w:r>
        <w:rPr>
          <w:rtl w:val="true"/>
        </w:rPr>
        <w:t xml:space="preserve">. </w:t>
      </w:r>
      <w:r>
        <w:rPr>
          <w:rtl w:val="true"/>
        </w:rPr>
        <w:t>עוד במהלך אותן שנים</w:t>
      </w:r>
      <w:r>
        <w:rPr>
          <w:rtl w:val="true"/>
        </w:rPr>
        <w:t xml:space="preserve">, </w:t>
      </w:r>
      <w:r>
        <w:rPr>
          <w:rtl w:val="true"/>
        </w:rPr>
        <w:t>במספר רב של הזדמנויות</w:t>
      </w:r>
      <w:r>
        <w:rPr>
          <w:rtl w:val="true"/>
        </w:rPr>
        <w:t xml:space="preserve">, </w:t>
      </w:r>
      <w:r>
        <w:rPr>
          <w:rtl w:val="true"/>
        </w:rPr>
        <w:t>הייתה המתלוננת עולה על המערער בעודו שוכב על מיטתו כששניהם לבושים והמערער היה מחכך את איבר מינו באיבר מינה</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 xml:space="preserve">לפי עובדות </w:t>
      </w:r>
      <w:r>
        <w:rPr>
          <w:rFonts w:ascii="Miriam" w:hAnsi="Miriam" w:cs="Miriam"/>
          <w:szCs w:val="24"/>
          <w:rtl w:val="true"/>
        </w:rPr>
        <w:t>האישום הרביעי</w:t>
      </w:r>
      <w:r>
        <w:rPr>
          <w:rtl w:val="true"/>
        </w:rPr>
        <w:t xml:space="preserve">, </w:t>
      </w:r>
      <w:r>
        <w:rPr>
          <w:rtl w:val="true"/>
        </w:rPr>
        <w:t xml:space="preserve">במהלך שנת </w:t>
      </w:r>
      <w:r>
        <w:rPr/>
        <w:t>2010</w:t>
      </w:r>
      <w:r>
        <w:rPr>
          <w:rtl w:val="true"/>
        </w:rPr>
        <w:t xml:space="preserve"> </w:t>
      </w:r>
      <w:r>
        <w:rPr>
          <w:rtl w:val="true"/>
        </w:rPr>
        <w:t>ליקק המערער את איבר מינה של המתלוננת</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 xml:space="preserve">לפי עובדות </w:t>
      </w:r>
      <w:r>
        <w:rPr>
          <w:rFonts w:ascii="Miriam" w:hAnsi="Miriam" w:cs="Miriam"/>
          <w:szCs w:val="24"/>
          <w:rtl w:val="true"/>
        </w:rPr>
        <w:t>האישום החמישי</w:t>
      </w:r>
      <w:r>
        <w:rPr>
          <w:rtl w:val="true"/>
        </w:rPr>
        <w:t xml:space="preserve">, </w:t>
      </w:r>
      <w:r>
        <w:rPr>
          <w:rtl w:val="true"/>
        </w:rPr>
        <w:t xml:space="preserve">במהלך שנת </w:t>
      </w:r>
      <w:r>
        <w:rPr/>
        <w:t>2010</w:t>
      </w:r>
      <w:r>
        <w:rPr>
          <w:rtl w:val="true"/>
        </w:rPr>
        <w:t xml:space="preserve"> </w:t>
      </w:r>
      <w:r>
        <w:rPr>
          <w:rtl w:val="true"/>
        </w:rPr>
        <w:t>החדיר המערער את איבר מינו לפיה של המתלוננת</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 xml:space="preserve">לפי עובדות </w:t>
      </w:r>
      <w:r>
        <w:rPr>
          <w:rFonts w:ascii="Miriam" w:hAnsi="Miriam" w:cs="Miriam"/>
          <w:szCs w:val="24"/>
          <w:rtl w:val="true"/>
        </w:rPr>
        <w:t>האישום השישי</w:t>
      </w:r>
      <w:r>
        <w:rPr>
          <w:rtl w:val="true"/>
        </w:rPr>
        <w:t xml:space="preserve"> במהלך השנים </w:t>
      </w:r>
      <w:r>
        <w:rPr/>
        <w:t>2011-2010</w:t>
      </w:r>
      <w:r>
        <w:rPr>
          <w:rtl w:val="true"/>
        </w:rPr>
        <w:t xml:space="preserve"> </w:t>
      </w:r>
      <w:r>
        <w:rPr>
          <w:rtl w:val="true"/>
        </w:rPr>
        <w:t>בשתי הזדמנויות צפה המערער במתלוננת מתקלחת</w:t>
      </w:r>
      <w:r>
        <w:rPr>
          <w:rtl w:val="true"/>
        </w:rPr>
        <w:t xml:space="preserve">. </w:t>
      </w:r>
      <w:r>
        <w:rPr>
          <w:rtl w:val="true"/>
        </w:rPr>
        <w:t>עוד באותם מועדים</w:t>
      </w:r>
      <w:r>
        <w:rPr>
          <w:rtl w:val="true"/>
        </w:rPr>
        <w:t xml:space="preserve">, </w:t>
      </w:r>
      <w:r>
        <w:rPr>
          <w:rtl w:val="true"/>
        </w:rPr>
        <w:t>במספר רב של הזדמנויות הייתה המתלוננת עולה על המערער בעודו שוכב על מיטתו כששניהם לבושים והמערער היה מחכך את איבר מינו באיבר מינה</w:t>
      </w:r>
      <w:r>
        <w:rPr>
          <w:rtl w:val="true"/>
        </w:rPr>
        <w:t>.</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 xml:space="preserve">לפי עובדות </w:t>
      </w:r>
      <w:r>
        <w:rPr>
          <w:rFonts w:ascii="Miriam" w:hAnsi="Miriam" w:cs="Miriam"/>
          <w:szCs w:val="24"/>
          <w:rtl w:val="true"/>
        </w:rPr>
        <w:t>האישום השביעי</w:t>
      </w:r>
      <w:r>
        <w:rPr>
          <w:rtl w:val="true"/>
        </w:rPr>
        <w:t xml:space="preserve"> ביום </w:t>
      </w:r>
      <w:r>
        <w:rPr/>
        <w:t>30.8.2011</w:t>
      </w:r>
      <w:r>
        <w:rPr>
          <w:rtl w:val="true"/>
        </w:rPr>
        <w:t xml:space="preserve"> </w:t>
      </w:r>
      <w:r>
        <w:rPr>
          <w:rtl w:val="true"/>
        </w:rPr>
        <w:t>עלתה המתלוננת על המערער כששניהם לבושים והתחככה באיבר מינו</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 xml:space="preserve">לפי עובדות </w:t>
      </w:r>
      <w:r>
        <w:rPr>
          <w:rFonts w:ascii="Miriam" w:hAnsi="Miriam" w:cs="Miriam"/>
          <w:szCs w:val="24"/>
          <w:rtl w:val="true"/>
        </w:rPr>
        <w:t>האישום השמיני</w:t>
      </w:r>
      <w:r>
        <w:rPr>
          <w:rtl w:val="true"/>
        </w:rPr>
        <w:t xml:space="preserve"> במהלך השנים </w:t>
      </w:r>
      <w:r>
        <w:rPr/>
        <w:t>2012-2011</w:t>
      </w:r>
      <w:r>
        <w:rPr>
          <w:rtl w:val="true"/>
        </w:rPr>
        <w:t xml:space="preserve"> </w:t>
      </w:r>
      <w:r>
        <w:rPr>
          <w:rtl w:val="true"/>
        </w:rPr>
        <w:t xml:space="preserve">איים המערער על המתלוננת בכך שיפגע בגופה באומרו </w:t>
      </w:r>
      <w:r>
        <w:rPr>
          <w:rFonts w:cs="Miriam" w:ascii="Century" w:hAnsi="Century"/>
          <w:b/>
          <w:spacing w:val="0"/>
          <w:sz w:val="22"/>
          <w:szCs w:val="24"/>
          <w:rtl w:val="true"/>
        </w:rPr>
        <w:t>"</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ארסק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הפנים</w:t>
      </w:r>
      <w:r>
        <w:rPr>
          <w:rFonts w:cs="Miriam" w:ascii="Century" w:hAnsi="Century"/>
          <w:b/>
          <w:spacing w:val="0"/>
          <w:sz w:val="22"/>
          <w:szCs w:val="24"/>
          <w:rtl w:val="true"/>
        </w:rPr>
        <w:t>"</w:t>
      </w:r>
      <w:r>
        <w:rPr>
          <w:rtl w:val="true"/>
        </w:rPr>
        <w:t xml:space="preserve"> </w:t>
      </w:r>
      <w:r>
        <w:rPr>
          <w:rtl w:val="true"/>
        </w:rPr>
        <w:t>או מילים דומות לכך</w:t>
      </w:r>
      <w:r>
        <w:rPr>
          <w:rtl w:val="true"/>
        </w:rPr>
        <w:t xml:space="preserve">. </w:t>
      </w:r>
      <w:r>
        <w:rPr>
          <w:rtl w:val="true"/>
        </w:rPr>
        <w:t xml:space="preserve">בחודש אפריל </w:t>
      </w:r>
      <w:r>
        <w:rPr/>
        <w:t>2012</w:t>
      </w:r>
      <w:r>
        <w:rPr>
          <w:rtl w:val="true"/>
        </w:rPr>
        <w:t xml:space="preserve"> </w:t>
      </w:r>
      <w:r>
        <w:rPr>
          <w:rtl w:val="true"/>
        </w:rPr>
        <w:t>פנה המערער למתלוננת ואמר לה כי הוא ואמה לא יכולים לגדלה ובכוונתם לשלוח אותה לפסיכיאטר ולהעבירה להתגורר בפנימייה</w:t>
      </w:r>
      <w:r>
        <w:rPr>
          <w:rtl w:val="true"/>
        </w:rPr>
        <w:t xml:space="preserve">. </w:t>
      </w:r>
      <w:r>
        <w:rPr>
          <w:rtl w:val="true"/>
        </w:rPr>
        <w:t>בסמוך לאחר מכן תקף המערער את המתלוננת באופן שהכה אותה בכתפה בידו</w:t>
      </w:r>
      <w:r>
        <w:rPr>
          <w:rtl w:val="true"/>
        </w:rPr>
        <w:t xml:space="preserve">. </w:t>
      </w:r>
      <w:r>
        <w:rPr>
          <w:rtl w:val="true"/>
        </w:rPr>
        <w:t xml:space="preserve">באותו אירוע איים המערער על המתלוננת בכך שאמר לה </w:t>
      </w:r>
      <w:r>
        <w:rPr>
          <w:rFonts w:cs="Miriam" w:ascii="Century" w:hAnsi="Century"/>
          <w:b/>
          <w:spacing w:val="0"/>
          <w:sz w:val="22"/>
          <w:szCs w:val="24"/>
          <w:rtl w:val="true"/>
        </w:rPr>
        <w:t>"</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מתפרצת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מעיף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אגרוף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חזק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לפנים</w:t>
      </w:r>
      <w:r>
        <w:rPr>
          <w:rFonts w:cs="Miriam" w:ascii="Century" w:hAnsi="Century"/>
          <w:b/>
          <w:spacing w:val="0"/>
          <w:sz w:val="22"/>
          <w:szCs w:val="24"/>
          <w:rtl w:val="true"/>
        </w:rPr>
        <w:t>"</w:t>
      </w:r>
      <w:r>
        <w:rPr>
          <w:rtl w:val="true"/>
        </w:rPr>
        <w:t xml:space="preserve"> </w:t>
      </w:r>
      <w:r>
        <w:rPr>
          <w:rtl w:val="true"/>
        </w:rPr>
        <w:t>או מילים דומות לכך</w:t>
      </w:r>
      <w:r>
        <w:rPr>
          <w:rtl w:val="true"/>
        </w:rPr>
        <w:t>.</w:t>
      </w:r>
    </w:p>
    <w:p>
      <w:pPr>
        <w:pStyle w:val="Ruller42"/>
        <w:ind w:end="0"/>
        <w:jc w:val="both"/>
        <w:rPr/>
      </w:pPr>
      <w:r>
        <w:rPr>
          <w:rtl w:val="true"/>
        </w:rPr>
      </w:r>
    </w:p>
    <w:p>
      <w:pPr>
        <w:pStyle w:val="Ruller42"/>
        <w:ind w:end="0"/>
        <w:jc w:val="both"/>
        <w:rPr/>
      </w:pPr>
      <w:r>
        <w:rPr>
          <w:rtl w:val="true"/>
        </w:rPr>
        <w:tab/>
      </w:r>
      <w:r>
        <w:rPr>
          <w:rtl w:val="true"/>
        </w:rPr>
        <w:t>בשל</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המפורטים</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יוחסו</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הבאות</w:t>
      </w:r>
      <w:r>
        <w:rPr>
          <w:rtl w:val="true"/>
        </w:rPr>
        <w:t xml:space="preserve">: </w:t>
      </w:r>
      <w:r>
        <w:rPr>
          <w:rtl w:val="true"/>
        </w:rPr>
        <w:t>ריבוי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מגונה</w:t>
      </w:r>
      <w:r>
        <w:rPr>
          <w:rFonts w:eastAsia="Arial TUR;Arial" w:cs="Arial TUR;Arial"/>
          <w:rtl w:val="true"/>
        </w:rPr>
        <w:t xml:space="preserve"> </w:t>
      </w:r>
      <w:r>
        <w:rPr>
          <w:rtl w:val="true"/>
        </w:rPr>
        <w:t>בקטין</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משפחה</w:t>
      </w:r>
      <w:r>
        <w:rPr>
          <w:rtl w:val="true"/>
        </w:rPr>
        <w:t xml:space="preserve">, </w:t>
      </w:r>
      <w:r>
        <w:rPr>
          <w:rtl w:val="true"/>
        </w:rPr>
        <w:t>לפי</w:t>
      </w:r>
      <w:r>
        <w:rPr>
          <w:rFonts w:eastAsia="Arial TUR;Arial" w:cs="Arial TUR;Arial"/>
          <w:rtl w:val="true"/>
        </w:rPr>
        <w:t xml:space="preserve"> </w:t>
      </w:r>
      <w:hyperlink r:id="rId16">
        <w:r>
          <w:rPr>
            <w:rStyle w:val="Hyperlink"/>
            <w:rtl w:val="true"/>
          </w:rPr>
          <w:t>סעיף</w:t>
        </w:r>
        <w:r>
          <w:rPr>
            <w:rStyle w:val="Hyperlink"/>
            <w:rFonts w:eastAsia="Arial TUR;Arial" w:cs="Arial TUR;Arial"/>
            <w:rtl w:val="true"/>
          </w:rPr>
          <w:t xml:space="preserve"> </w:t>
        </w:r>
        <w:r>
          <w:rPr>
            <w:rStyle w:val="Hyperlink"/>
          </w:rPr>
          <w:t>351</w:t>
        </w:r>
        <w:r>
          <w:rPr>
            <w:rStyle w:val="Hyperlink"/>
            <w:rtl w:val="true"/>
          </w:rPr>
          <w:t>(</w:t>
        </w:r>
        <w:r>
          <w:rPr>
            <w:rStyle w:val="Hyperlink"/>
            <w:rtl w:val="true"/>
          </w:rPr>
          <w:t>ג</w:t>
        </w:r>
        <w:r>
          <w:rPr>
            <w:rStyle w:val="Hyperlink"/>
            <w:rtl w:val="true"/>
          </w:rPr>
          <w:t>)</w:t>
        </w:r>
      </w:hyperlink>
      <w:r>
        <w:rPr>
          <w:rtl w:val="true"/>
        </w:rPr>
        <w:t xml:space="preserve"> </w:t>
      </w:r>
      <w:r>
        <w:rPr>
          <w:rtl w:val="true"/>
        </w:rPr>
        <w:t>בנסיבות</w:t>
      </w:r>
      <w:r>
        <w:rPr>
          <w:rFonts w:eastAsia="Arial TUR;Arial" w:cs="Arial TUR;Arial"/>
          <w:rtl w:val="true"/>
        </w:rPr>
        <w:t xml:space="preserve"> </w:t>
      </w:r>
      <w:hyperlink r:id="rId17">
        <w:r>
          <w:rPr>
            <w:rStyle w:val="Hyperlink"/>
            <w:rtl w:val="true"/>
          </w:rPr>
          <w:t>סעיף</w:t>
        </w:r>
        <w:r>
          <w:rPr>
            <w:rStyle w:val="Hyperlink"/>
            <w:rFonts w:eastAsia="Arial TUR;Arial" w:cs="Arial TUR;Arial"/>
            <w:rtl w:val="true"/>
          </w:rPr>
          <w:t xml:space="preserve"> </w:t>
        </w:r>
        <w:r>
          <w:rPr>
            <w:rStyle w:val="Hyperlink"/>
          </w:rPr>
          <w:t>348</w:t>
        </w:r>
        <w:r>
          <w:rPr>
            <w:rStyle w:val="Hyperlink"/>
            <w:rtl w:val="true"/>
          </w:rPr>
          <w:t>(</w:t>
        </w:r>
        <w:r>
          <w:rPr>
            <w:rStyle w:val="Hyperlink"/>
            <w:rtl w:val="true"/>
          </w:rPr>
          <w:t>א</w:t>
        </w:r>
        <w:r>
          <w:rPr>
            <w:rStyle w:val="Hyperlink"/>
            <w:rtl w:val="true"/>
          </w:rPr>
          <w:t>)</w:t>
        </w:r>
      </w:hyperlink>
      <w:r>
        <w:rPr>
          <w:rtl w:val="true"/>
        </w:rPr>
        <w:t xml:space="preserve"> </w:t>
      </w:r>
      <w:hyperlink r:id="rId18">
        <w:r>
          <w:rPr>
            <w:rStyle w:val="Hyperlink"/>
            <w:rtl w:val="true"/>
          </w:rPr>
          <w:t>וסעיף</w:t>
        </w:r>
        <w:r>
          <w:rPr>
            <w:rStyle w:val="Hyperlink"/>
            <w:rFonts w:eastAsia="Arial TUR;Arial" w:cs="Arial TUR;Arial"/>
            <w:rtl w:val="true"/>
          </w:rPr>
          <w:t xml:space="preserve"> </w:t>
        </w:r>
        <w:r>
          <w:rPr>
            <w:rStyle w:val="Hyperlink"/>
          </w:rPr>
          <w:t>345</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ל</w:t>
      </w:r>
      <w:hyperlink r:id="rId19">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cs="Times New Roman" w:ascii="Times New Roman" w:hAnsi="Times New Roman"/>
          <w:rtl w:val="true"/>
        </w:rPr>
        <w:t>)</w:t>
      </w:r>
      <w:r>
        <w:rPr>
          <w:rtl w:val="true"/>
        </w:rPr>
        <w:t xml:space="preserve">; </w:t>
      </w:r>
      <w:r>
        <w:rPr>
          <w:rtl w:val="true"/>
        </w:rPr>
        <w:t>ריבוי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מגונה</w:t>
      </w:r>
      <w:r>
        <w:rPr>
          <w:rFonts w:eastAsia="Arial TUR;Arial" w:cs="Arial TUR;Arial"/>
          <w:rtl w:val="true"/>
        </w:rPr>
        <w:t xml:space="preserve"> </w:t>
      </w:r>
      <w:r>
        <w:rPr>
          <w:rtl w:val="true"/>
        </w:rPr>
        <w:t>בקטין</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משפחה</w:t>
      </w:r>
      <w:r>
        <w:rPr>
          <w:rFonts w:eastAsia="Arial TUR;Arial" w:cs="Arial TUR;Arial"/>
          <w:rtl w:val="true"/>
        </w:rPr>
        <w:t xml:space="preserve"> </w:t>
      </w:r>
      <w:r>
        <w:rPr>
          <w:rtl w:val="true"/>
        </w:rPr>
        <w:t>לפי</w:t>
      </w:r>
      <w:r>
        <w:rPr>
          <w:rFonts w:eastAsia="Arial TUR;Arial" w:cs="Arial TUR;Arial"/>
          <w:rtl w:val="true"/>
        </w:rPr>
        <w:t xml:space="preserve"> </w:t>
      </w:r>
      <w:hyperlink r:id="rId20">
        <w:r>
          <w:rPr>
            <w:rStyle w:val="Hyperlink"/>
            <w:rtl w:val="true"/>
          </w:rPr>
          <w:t>סעיף</w:t>
        </w:r>
        <w:r>
          <w:rPr>
            <w:rStyle w:val="Hyperlink"/>
            <w:rFonts w:eastAsia="Arial TUR;Arial" w:cs="Arial TUR;Arial"/>
            <w:rtl w:val="true"/>
          </w:rPr>
          <w:t xml:space="preserve"> </w:t>
        </w:r>
        <w:r>
          <w:rPr>
            <w:rStyle w:val="Hyperlink"/>
          </w:rPr>
          <w:t>351</w:t>
        </w:r>
        <w:r>
          <w:rPr>
            <w:rStyle w:val="Hyperlink"/>
            <w:rtl w:val="true"/>
          </w:rPr>
          <w:t>(</w:t>
        </w:r>
        <w:r>
          <w:rPr>
            <w:rStyle w:val="Hyperlink"/>
            <w:rtl w:val="true"/>
          </w:rPr>
          <w:t>ג</w:t>
        </w:r>
        <w:r>
          <w:rPr>
            <w:rStyle w:val="Hyperlink"/>
            <w:rtl w:val="true"/>
          </w:rPr>
          <w:t>)(</w:t>
        </w:r>
        <w:r>
          <w:rPr>
            <w:rStyle w:val="Hyperlink"/>
          </w:rPr>
          <w:t>3</w:t>
        </w:r>
        <w:r>
          <w:rPr>
            <w:rStyle w:val="Hyperlink"/>
            <w:rtl w:val="true"/>
          </w:rPr>
          <w:t>)</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אונס</w:t>
      </w:r>
      <w:r>
        <w:rPr>
          <w:rtl w:val="true"/>
        </w:rPr>
        <w:t xml:space="preserve">, </w:t>
      </w:r>
      <w:r>
        <w:rPr>
          <w:rtl w:val="true"/>
        </w:rPr>
        <w:t>לפי</w:t>
      </w:r>
      <w:r>
        <w:rPr>
          <w:rFonts w:eastAsia="Arial TUR;Arial" w:cs="Arial TUR;Arial"/>
          <w:rtl w:val="true"/>
        </w:rPr>
        <w:t xml:space="preserve"> </w:t>
      </w:r>
      <w:hyperlink r:id="rId21">
        <w:r>
          <w:rPr>
            <w:rStyle w:val="Hyperlink"/>
            <w:rtl w:val="true"/>
          </w:rPr>
          <w:t>סעיף</w:t>
        </w:r>
        <w:r>
          <w:rPr>
            <w:rStyle w:val="Hyperlink"/>
            <w:rFonts w:eastAsia="Arial TUR;Arial" w:cs="Arial TUR;Arial"/>
            <w:rtl w:val="true"/>
          </w:rPr>
          <w:t xml:space="preserve"> </w:t>
        </w:r>
        <w:r>
          <w:rPr>
            <w:rStyle w:val="Hyperlink"/>
          </w:rPr>
          <w:t>351</w:t>
        </w:r>
        <w:r>
          <w:rPr>
            <w:rStyle w:val="Hyperlink"/>
            <w:rtl w:val="true"/>
          </w:rPr>
          <w:t>(</w:t>
        </w:r>
        <w:r>
          <w:rPr>
            <w:rStyle w:val="Hyperlink"/>
            <w:rtl w:val="true"/>
          </w:rPr>
          <w:t>א</w:t>
        </w:r>
        <w:r>
          <w:rPr>
            <w:rStyle w:val="Hyperlink"/>
            <w:rtl w:val="true"/>
          </w:rPr>
          <w:t>)</w:t>
        </w:r>
      </w:hyperlink>
      <w:r>
        <w:rPr>
          <w:rtl w:val="true"/>
        </w:rPr>
        <w:t xml:space="preserve"> </w:t>
      </w:r>
      <w:r>
        <w:rPr>
          <w:rtl w:val="true"/>
        </w:rPr>
        <w:t>בנסיבות</w:t>
      </w:r>
      <w:r>
        <w:rPr>
          <w:rFonts w:eastAsia="Arial TUR;Arial" w:cs="Arial TUR;Arial"/>
          <w:rtl w:val="true"/>
        </w:rPr>
        <w:t xml:space="preserve"> </w:t>
      </w:r>
      <w:hyperlink r:id="rId22">
        <w:r>
          <w:rPr>
            <w:rStyle w:val="Hyperlink"/>
            <w:rtl w:val="true"/>
          </w:rPr>
          <w:t>סעיף</w:t>
        </w:r>
        <w:r>
          <w:rPr>
            <w:rStyle w:val="Hyperlink"/>
            <w:rFonts w:eastAsia="Arial TUR;Arial" w:cs="Arial TUR;Arial"/>
            <w:rtl w:val="true"/>
          </w:rPr>
          <w:t xml:space="preserve"> </w:t>
        </w:r>
        <w:r>
          <w:rPr>
            <w:rStyle w:val="Hyperlink"/>
          </w:rPr>
          <w:t>345</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מעשה</w:t>
      </w:r>
      <w:r>
        <w:rPr>
          <w:rFonts w:eastAsia="Arial TUR;Arial" w:cs="Arial TUR;Arial"/>
          <w:rtl w:val="true"/>
        </w:rPr>
        <w:t xml:space="preserve"> </w:t>
      </w:r>
      <w:r>
        <w:rPr>
          <w:rtl w:val="true"/>
        </w:rPr>
        <w:t>סדום</w:t>
      </w:r>
      <w:r>
        <w:rPr>
          <w:rtl w:val="true"/>
        </w:rPr>
        <w:t xml:space="preserve">, </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23">
        <w:r>
          <w:rPr>
            <w:rStyle w:val="Hyperlink"/>
            <w:rtl w:val="true"/>
          </w:rPr>
          <w:t>סעיף</w:t>
        </w:r>
        <w:r>
          <w:rPr>
            <w:rStyle w:val="Hyperlink"/>
            <w:rFonts w:eastAsia="Arial TUR;Arial" w:cs="Arial TUR;Arial"/>
            <w:rtl w:val="true"/>
          </w:rPr>
          <w:t xml:space="preserve"> </w:t>
        </w:r>
        <w:r>
          <w:rPr>
            <w:rStyle w:val="Hyperlink"/>
          </w:rPr>
          <w:t>351</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תקיפה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tl w:val="true"/>
        </w:rPr>
        <w:t xml:space="preserve">, </w:t>
      </w:r>
      <w:r>
        <w:rPr>
          <w:rtl w:val="true"/>
        </w:rPr>
        <w:t>לפי</w:t>
      </w:r>
      <w:r>
        <w:rPr>
          <w:rFonts w:eastAsia="Arial TUR;Arial" w:cs="Arial TUR;Arial"/>
          <w:rtl w:val="true"/>
        </w:rPr>
        <w:t xml:space="preserve"> </w:t>
      </w:r>
      <w:hyperlink r:id="rId24">
        <w:r>
          <w:rPr>
            <w:rStyle w:val="Hyperlink"/>
            <w:rtl w:val="true"/>
          </w:rPr>
          <w:t>סעיף</w:t>
        </w:r>
        <w:r>
          <w:rPr>
            <w:rStyle w:val="Hyperlink"/>
            <w:rFonts w:eastAsia="Arial TUR;Arial" w:cs="Arial TUR;Arial"/>
            <w:rtl w:val="true"/>
          </w:rPr>
          <w:t xml:space="preserve"> </w:t>
        </w:r>
        <w:r>
          <w:rPr>
            <w:rStyle w:val="Hyperlink"/>
          </w:rPr>
          <w:t>379</w:t>
        </w:r>
      </w:hyperlink>
      <w:r>
        <w:rPr>
          <w:rtl w:val="true"/>
        </w:rPr>
        <w:t xml:space="preserve"> </w:t>
      </w:r>
      <w:r>
        <w:rPr>
          <w:rtl w:val="true"/>
        </w:rPr>
        <w:t>בנסיבות</w:t>
      </w:r>
      <w:r>
        <w:rPr>
          <w:rFonts w:eastAsia="Arial TUR;Arial" w:cs="Arial TUR;Arial"/>
          <w:rtl w:val="true"/>
        </w:rPr>
        <w:t xml:space="preserve"> </w:t>
      </w:r>
      <w:hyperlink r:id="rId25">
        <w:r>
          <w:rPr>
            <w:rStyle w:val="Hyperlink"/>
            <w:rtl w:val="true"/>
          </w:rPr>
          <w:t>סעיף</w:t>
        </w:r>
        <w:r>
          <w:rPr>
            <w:rStyle w:val="Hyperlink"/>
            <w:rFonts w:eastAsia="Arial TUR;Arial" w:cs="Arial TUR;Arial"/>
            <w:rtl w:val="true"/>
          </w:rPr>
          <w:t xml:space="preserve"> </w:t>
        </w:r>
        <w:r>
          <w:rPr>
            <w:rStyle w:val="Hyperlink"/>
          </w:rPr>
          <w:t>382</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איומים</w:t>
      </w:r>
      <w:r>
        <w:rPr>
          <w:rtl w:val="true"/>
        </w:rPr>
        <w:t xml:space="preserve">, </w:t>
      </w:r>
      <w:r>
        <w:rPr>
          <w:rtl w:val="true"/>
        </w:rPr>
        <w:t>לפי</w:t>
      </w:r>
      <w:r>
        <w:rPr>
          <w:rFonts w:eastAsia="Arial TUR;Arial" w:cs="Arial TUR;Arial"/>
          <w:rtl w:val="true"/>
        </w:rPr>
        <w:t xml:space="preserve"> </w:t>
      </w:r>
      <w:hyperlink r:id="rId26">
        <w:r>
          <w:rPr>
            <w:rStyle w:val="Hyperlink"/>
            <w:rtl w:val="true"/>
          </w:rPr>
          <w:t>סעיף</w:t>
        </w:r>
        <w:r>
          <w:rPr>
            <w:rStyle w:val="Hyperlink"/>
            <w:rFonts w:eastAsia="Arial TUR;Arial" w:cs="Arial TUR;Arial"/>
            <w:rtl w:val="true"/>
          </w:rPr>
          <w:t xml:space="preserve"> </w:t>
        </w:r>
        <w:r>
          <w:rPr>
            <w:rStyle w:val="Hyperlink"/>
          </w:rPr>
          <w:t>192</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w:t>
      </w:r>
    </w:p>
    <w:p>
      <w:pPr>
        <w:pStyle w:val="Ruller42"/>
        <w:ind w:end="0"/>
        <w:jc w:val="both"/>
        <w:rPr/>
      </w:pPr>
      <w:r>
        <w:rPr>
          <w:rtl w:val="true"/>
        </w:rPr>
      </w:r>
    </w:p>
    <w:p>
      <w:pPr>
        <w:pStyle w:val="Ruller43"/>
        <w:numPr>
          <w:ilvl w:val="0"/>
          <w:numId w:val="1"/>
        </w:numPr>
        <w:ind w:end="0"/>
        <w:jc w:val="both"/>
        <w:rPr>
          <w:rFonts w:ascii="Century" w:hAnsi="Century" w:cs="Century"/>
          <w:sz w:val="22"/>
        </w:rPr>
      </w:pPr>
      <w:r>
        <w:rPr>
          <w:rFonts w:ascii="Century" w:hAnsi="Century" w:cs="Century"/>
          <w:sz w:val="22"/>
          <w:sz w:val="22"/>
          <w:rtl w:val="true"/>
        </w:rPr>
        <w:t>במענה לכתב האישום כפר המערער באופן גורף בכל המעשים המיניים שיוחסו לו בכתב האישום</w:t>
      </w:r>
      <w:r>
        <w:rPr>
          <w:rFonts w:cs="Century" w:ascii="Century" w:hAnsi="Century"/>
          <w:sz w:val="22"/>
          <w:rtl w:val="true"/>
        </w:rPr>
        <w:t xml:space="preserve">. </w:t>
      </w:r>
      <w:r>
        <w:rPr>
          <w:rFonts w:ascii="Century" w:hAnsi="Century" w:cs="Century"/>
          <w:sz w:val="22"/>
          <w:sz w:val="22"/>
          <w:rtl w:val="true"/>
        </w:rPr>
        <w:t>עם זאת טען</w:t>
      </w:r>
      <w:r>
        <w:rPr>
          <w:rFonts w:cs="Century" w:ascii="Century" w:hAnsi="Century"/>
          <w:sz w:val="22"/>
          <w:rtl w:val="true"/>
        </w:rPr>
        <w:t xml:space="preserve">, </w:t>
      </w:r>
      <w:r>
        <w:rPr>
          <w:rFonts w:ascii="Century" w:hAnsi="Century" w:cs="Century"/>
          <w:sz w:val="22"/>
          <w:sz w:val="22"/>
          <w:rtl w:val="true"/>
        </w:rPr>
        <w:t>כי הוא גידל את המתלוננת לאורך תקופה ארוכה שבמהלכה שוחחו גם על נושאים הקשורים למיניות האדם</w:t>
      </w:r>
      <w:r>
        <w:rPr>
          <w:rFonts w:cs="Century" w:ascii="Century" w:hAnsi="Century"/>
          <w:sz w:val="22"/>
          <w:rtl w:val="true"/>
        </w:rPr>
        <w:t xml:space="preserve">. </w:t>
      </w:r>
      <w:r>
        <w:rPr>
          <w:rFonts w:ascii="Century" w:hAnsi="Century" w:cs="Century"/>
          <w:sz w:val="22"/>
          <w:sz w:val="22"/>
          <w:rtl w:val="true"/>
        </w:rPr>
        <w:t>בהתייחס לאישום השמיני אישר המערער כי על רקע מערכת היחסים המורכבת ששררה בבית המשפחה ביקשו הוא ואמה של המתלוננת להפנות את המתלוננת לבדיקה פסיכיאטרית</w:t>
      </w:r>
      <w:r>
        <w:rPr>
          <w:rFonts w:cs="Century" w:ascii="Century" w:hAnsi="Century"/>
          <w:sz w:val="22"/>
          <w:rtl w:val="true"/>
        </w:rPr>
        <w:t xml:space="preserve">, </w:t>
      </w:r>
      <w:r>
        <w:rPr>
          <w:rFonts w:ascii="Century" w:hAnsi="Century" w:cs="Century"/>
          <w:sz w:val="22"/>
          <w:sz w:val="22"/>
          <w:rtl w:val="true"/>
        </w:rPr>
        <w:t>הן בשל חששם לבריאותה הנפשית והן בשל הסיכון שנשקף בשל כך לאחותה הצעירה</w:t>
      </w:r>
      <w:r>
        <w:rPr>
          <w:rFonts w:cs="Century" w:ascii="Century" w:hAnsi="Century"/>
          <w:sz w:val="22"/>
          <w:rtl w:val="true"/>
        </w:rPr>
        <w:t xml:space="preserve">. </w:t>
      </w:r>
      <w:r>
        <w:rPr>
          <w:rFonts w:ascii="Century" w:hAnsi="Century" w:cs="Century"/>
          <w:sz w:val="22"/>
          <w:sz w:val="22"/>
          <w:rtl w:val="true"/>
        </w:rPr>
        <w:t>כן אישר כי העברתה לפנימייה עלתה כאפשרות ככל שהדברים לא יפתרו</w:t>
      </w:r>
      <w:r>
        <w:rPr>
          <w:rFonts w:cs="Century" w:ascii="Century" w:hAnsi="Century"/>
          <w:sz w:val="22"/>
          <w:rtl w:val="true"/>
        </w:rPr>
        <w:t xml:space="preserve">. </w:t>
      </w:r>
      <w:r>
        <w:rPr>
          <w:rFonts w:ascii="Century" w:hAnsi="Century" w:cs="Century"/>
          <w:sz w:val="22"/>
          <w:sz w:val="22"/>
          <w:rtl w:val="true"/>
        </w:rPr>
        <w:t>המערער הכחיש כי הכה את המתלוננת או איים עליה</w:t>
      </w:r>
      <w:r>
        <w:rPr>
          <w:rFonts w:cs="Century" w:ascii="Century" w:hAnsi="Century"/>
          <w:sz w:val="22"/>
          <w:rtl w:val="true"/>
        </w:rPr>
        <w:t xml:space="preserve">, </w:t>
      </w:r>
      <w:r>
        <w:rPr>
          <w:rFonts w:ascii="Century" w:hAnsi="Century" w:cs="Century"/>
          <w:sz w:val="22"/>
          <w:sz w:val="22"/>
          <w:rtl w:val="true"/>
        </w:rPr>
        <w:t>אך הוסיף כי ייתכן שאחז בכתפה באופן שאינו מקים עבירה פלילית</w:t>
      </w:r>
      <w:r>
        <w:rPr>
          <w:rFonts w:cs="Century" w:ascii="Century" w:hAnsi="Century"/>
          <w:sz w:val="22"/>
          <w:rtl w:val="true"/>
        </w:rPr>
        <w:t xml:space="preserve">. </w:t>
      </w:r>
      <w:r>
        <w:rPr>
          <w:rFonts w:ascii="Century" w:hAnsi="Century" w:cs="Century"/>
          <w:sz w:val="22"/>
          <w:sz w:val="22"/>
          <w:rtl w:val="true"/>
        </w:rPr>
        <w:t>עוד טען כי בבית שרר מתח גדול סביב נושא הבדיקה הפסיכיאטרית ואפשרות העברת המתלוננת לפנימייה</w:t>
      </w:r>
      <w:r>
        <w:rPr>
          <w:rFonts w:cs="Century" w:ascii="Century" w:hAnsi="Century"/>
          <w:sz w:val="22"/>
          <w:rtl w:val="true"/>
        </w:rPr>
        <w:t xml:space="preserve">, </w:t>
      </w:r>
      <w:r>
        <w:rPr>
          <w:rFonts w:ascii="Century" w:hAnsi="Century" w:cs="Century"/>
          <w:sz w:val="22"/>
          <w:sz w:val="22"/>
          <w:rtl w:val="true"/>
        </w:rPr>
        <w:t>וכי חששה של המתלוננת מפני הוצאתה מן הבית ומפני הבדיקה הפסיכיאטרי</w:t>
      </w:r>
      <w:r>
        <w:rPr>
          <w:rFonts w:ascii="Century" w:hAnsi="Century" w:cs="Century"/>
          <w:sz w:val="22"/>
          <w:sz w:val="22"/>
          <w:rtl w:val="true"/>
        </w:rPr>
        <w:t>ת</w:t>
      </w:r>
      <w:r>
        <w:rPr>
          <w:rFonts w:ascii="Century" w:hAnsi="Century" w:cs="Century"/>
          <w:sz w:val="22"/>
          <w:sz w:val="22"/>
          <w:rtl w:val="true"/>
        </w:rPr>
        <w:t xml:space="preserve"> שעלולה הייתה להביא לאשפוזה</w:t>
      </w:r>
      <w:r>
        <w:rPr>
          <w:rFonts w:cs="Century" w:ascii="Century" w:hAnsi="Century"/>
          <w:sz w:val="22"/>
          <w:rtl w:val="true"/>
        </w:rPr>
        <w:t xml:space="preserve">, </w:t>
      </w:r>
      <w:r>
        <w:rPr>
          <w:rFonts w:ascii="Century" w:hAnsi="Century" w:cs="Century"/>
          <w:sz w:val="22"/>
          <w:sz w:val="22"/>
          <w:rtl w:val="true"/>
        </w:rPr>
        <w:t>הם שעמדו ביסוד מניעיה של המתלוננת להגיש נגדו תלונת כזב</w:t>
      </w:r>
      <w:r>
        <w:rPr>
          <w:rFonts w:cs="Century" w:ascii="Century" w:hAnsi="Century"/>
          <w:sz w:val="22"/>
          <w:rtl w:val="true"/>
        </w:rPr>
        <w:t>.</w:t>
      </w:r>
    </w:p>
    <w:p>
      <w:pPr>
        <w:pStyle w:val="Ruller42"/>
        <w:ind w:end="0"/>
        <w:jc w:val="both"/>
        <w:rPr>
          <w:rFonts w:ascii="Century" w:hAnsi="Century" w:cs="Century"/>
          <w:sz w:val="22"/>
        </w:rPr>
      </w:pPr>
      <w:r>
        <w:rPr>
          <w:rFonts w:cs="Century" w:ascii="Century" w:hAnsi="Century"/>
          <w:sz w:val="22"/>
          <w:rtl w:val="true"/>
        </w:rPr>
      </w:r>
    </w:p>
    <w:p>
      <w:pPr>
        <w:pStyle w:val="ruller411"/>
        <w:bidi w:val="1"/>
        <w:spacing w:lineRule="atLeast" w:line="330" w:before="0" w:after="0"/>
        <w:ind w:end="0"/>
        <w:jc w:val="both"/>
        <w:rPr>
          <w:rFonts w:ascii="Century" w:hAnsi="Century" w:cs="Miriam"/>
          <w:b/>
          <w:sz w:val="22"/>
        </w:rPr>
      </w:pPr>
      <w:r>
        <w:rPr>
          <w:rFonts w:ascii="Century" w:hAnsi="Century" w:cs="Miriam"/>
          <w:b/>
          <w:b/>
          <w:sz w:val="22"/>
          <w:sz w:val="22"/>
          <w:rtl w:val="true"/>
        </w:rPr>
        <w:t>עיקרי</w:t>
      </w:r>
      <w:r>
        <w:rPr>
          <w:rFonts w:ascii="Century" w:hAnsi="Century" w:eastAsia="Century" w:cs="Century"/>
          <w:b/>
          <w:b/>
          <w:sz w:val="22"/>
          <w:sz w:val="22"/>
          <w:rtl w:val="true"/>
        </w:rPr>
        <w:t xml:space="preserve"> </w:t>
      </w:r>
      <w:r>
        <w:rPr>
          <w:rFonts w:ascii="Century" w:hAnsi="Century" w:cs="Miriam"/>
          <w:b/>
          <w:b/>
          <w:sz w:val="22"/>
          <w:sz w:val="22"/>
          <w:rtl w:val="true"/>
        </w:rPr>
        <w:t>הכרעת</w:t>
      </w:r>
      <w:r>
        <w:rPr>
          <w:rFonts w:ascii="Century" w:hAnsi="Century" w:eastAsia="Century" w:cs="Century"/>
          <w:b/>
          <w:b/>
          <w:sz w:val="22"/>
          <w:sz w:val="22"/>
          <w:rtl w:val="true"/>
        </w:rPr>
        <w:t xml:space="preserve"> </w:t>
      </w:r>
      <w:r>
        <w:rPr>
          <w:rFonts w:ascii="Century" w:hAnsi="Century" w:cs="Miriam"/>
          <w:b/>
          <w:b/>
          <w:sz w:val="22"/>
          <w:sz w:val="22"/>
          <w:rtl w:val="true"/>
        </w:rPr>
        <w:t>הדין</w:t>
      </w:r>
    </w:p>
    <w:p>
      <w:pPr>
        <w:pStyle w:val="Ruller43"/>
        <w:numPr>
          <w:ilvl w:val="0"/>
          <w:numId w:val="0"/>
        </w:numPr>
        <w:ind w:hanging="0" w:start="0" w:end="0"/>
        <w:jc w:val="both"/>
        <w:rPr>
          <w:rFonts w:ascii="Century" w:hAnsi="Century" w:cs="Miriam"/>
          <w:b/>
          <w:sz w:val="22"/>
        </w:rPr>
      </w:pPr>
      <w:r>
        <w:rPr>
          <w:rFonts w:cs="Miriam" w:ascii="Century" w:hAnsi="Century"/>
          <w:b/>
          <w:sz w:val="22"/>
          <w:rtl w:val="true"/>
        </w:rPr>
      </w:r>
    </w:p>
    <w:p>
      <w:pPr>
        <w:pStyle w:val="Ruller43"/>
        <w:numPr>
          <w:ilvl w:val="0"/>
          <w:numId w:val="1"/>
        </w:numPr>
        <w:ind w:end="0"/>
        <w:jc w:val="both"/>
        <w:rPr>
          <w:rFonts w:ascii="Century" w:hAnsi="Century" w:cs="Century"/>
          <w:sz w:val="22"/>
        </w:rPr>
      </w:pPr>
      <w:r>
        <w:rPr>
          <w:rFonts w:ascii="Century" w:hAnsi="Century" w:cs="Century"/>
          <w:sz w:val="22"/>
          <w:sz w:val="22"/>
          <w:rtl w:val="true"/>
        </w:rPr>
        <w:t>בהכרעת הדין הרשיע בית משפט קמא את המערער בכל העבירות שיוחסו לו בכתב האישום</w:t>
      </w:r>
      <w:r>
        <w:rPr>
          <w:rFonts w:cs="Century" w:ascii="Century" w:hAnsi="Century"/>
          <w:sz w:val="22"/>
          <w:rtl w:val="true"/>
        </w:rPr>
        <w:t xml:space="preserve">, </w:t>
      </w:r>
      <w:r>
        <w:rPr>
          <w:rFonts w:ascii="Century" w:hAnsi="Century" w:cs="Century"/>
          <w:sz w:val="22"/>
          <w:sz w:val="22"/>
          <w:rtl w:val="true"/>
        </w:rPr>
        <w:t>למעט עבירת האינוס שיוחסה לו באישום השני שבעניינה ביקשה המאשימה שלא להרשיע את המערער</w:t>
      </w:r>
      <w:r>
        <w:rPr>
          <w:rFonts w:cs="Century" w:ascii="Century" w:hAnsi="Century"/>
          <w:sz w:val="22"/>
          <w:rtl w:val="true"/>
        </w:rPr>
        <w:t xml:space="preserve">. </w:t>
      </w:r>
      <w:r>
        <w:rPr>
          <w:rFonts w:ascii="Century" w:hAnsi="Century" w:cs="Century"/>
          <w:sz w:val="22"/>
          <w:sz w:val="22"/>
          <w:rtl w:val="true"/>
        </w:rPr>
        <w:t>בקשה זו באה בעקבות עדות המתלוננת בבית המשפט ולפיה המערער ליקק את איבר מינה</w:t>
      </w:r>
      <w:r>
        <w:rPr>
          <w:rFonts w:cs="Century" w:ascii="Century" w:hAnsi="Century"/>
          <w:sz w:val="22"/>
          <w:rtl w:val="true"/>
        </w:rPr>
        <w:t xml:space="preserve">, </w:t>
      </w:r>
      <w:r>
        <w:rPr>
          <w:rFonts w:ascii="Century" w:hAnsi="Century" w:cs="Century"/>
          <w:sz w:val="22"/>
          <w:sz w:val="22"/>
          <w:rtl w:val="true"/>
        </w:rPr>
        <w:t>אך לא החדיר את לשונו לאיבר מינה</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rFonts w:ascii="Century" w:hAnsi="Century" w:cs="Century"/>
          <w:sz w:val="22"/>
        </w:rPr>
      </w:pPr>
      <w:r>
        <w:rPr>
          <w:rFonts w:ascii="Century" w:hAnsi="Century" w:cs="Century"/>
          <w:sz w:val="22"/>
          <w:sz w:val="22"/>
          <w:rtl w:val="true"/>
        </w:rPr>
        <w:t xml:space="preserve">בהכרעת הדין בחן </w:t>
      </w:r>
      <w:r>
        <w:rPr>
          <w:rFonts w:ascii="Century" w:hAnsi="Century" w:cs="Century"/>
          <w:sz w:val="22"/>
          <w:sz w:val="22"/>
          <w:rtl w:val="true"/>
        </w:rPr>
        <w:t>בית</w:t>
      </w:r>
      <w:r>
        <w:rPr>
          <w:rFonts w:ascii="Century" w:hAnsi="Century" w:cs="Century"/>
          <w:sz w:val="22"/>
          <w:sz w:val="22"/>
          <w:rtl w:val="true"/>
        </w:rPr>
        <w:t xml:space="preserve"> </w:t>
      </w:r>
      <w:r>
        <w:rPr>
          <w:rFonts w:ascii="Century" w:hAnsi="Century" w:cs="Century"/>
          <w:sz w:val="22"/>
          <w:sz w:val="22"/>
          <w:rtl w:val="true"/>
        </w:rPr>
        <w:t>משפט</w:t>
      </w:r>
      <w:r>
        <w:rPr>
          <w:rFonts w:ascii="Century" w:hAnsi="Century" w:cs="Century"/>
          <w:sz w:val="22"/>
          <w:sz w:val="22"/>
          <w:rtl w:val="true"/>
        </w:rPr>
        <w:t xml:space="preserve"> </w:t>
      </w:r>
      <w:r>
        <w:rPr>
          <w:rFonts w:ascii="Century" w:hAnsi="Century" w:cs="Century"/>
          <w:sz w:val="22"/>
          <w:sz w:val="22"/>
          <w:rtl w:val="true"/>
        </w:rPr>
        <w:t>קמא</w:t>
      </w:r>
      <w:r>
        <w:rPr>
          <w:rFonts w:ascii="Century" w:hAnsi="Century" w:cs="Century"/>
          <w:sz w:val="22"/>
          <w:sz w:val="22"/>
          <w:rtl w:val="true"/>
        </w:rPr>
        <w:t xml:space="preserve"> </w:t>
      </w:r>
      <w:r>
        <w:rPr>
          <w:rFonts w:ascii="Century" w:hAnsi="Century" w:cs="Century"/>
          <w:sz w:val="22"/>
          <w:sz w:val="22"/>
          <w:rtl w:val="true"/>
        </w:rPr>
        <w:t xml:space="preserve">בהרחבה </w:t>
      </w:r>
      <w:r>
        <w:rPr>
          <w:rFonts w:ascii="Century" w:hAnsi="Century" w:cs="Century"/>
          <w:sz w:val="22"/>
          <w:sz w:val="22"/>
          <w:rtl w:val="true"/>
        </w:rPr>
        <w:t>את</w:t>
      </w:r>
      <w:r>
        <w:rPr>
          <w:rFonts w:ascii="Century" w:hAnsi="Century" w:cs="Century"/>
          <w:sz w:val="22"/>
          <w:sz w:val="22"/>
          <w:rtl w:val="true"/>
        </w:rPr>
        <w:t xml:space="preserve"> הראיות הבאות</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עדותה של המתלוננת</w:t>
      </w:r>
      <w:r>
        <w:rPr>
          <w:rFonts w:cs="Century" w:ascii="Century" w:hAnsi="Century"/>
          <w:sz w:val="22"/>
          <w:rtl w:val="true"/>
        </w:rPr>
        <w:t xml:space="preserve">; </w:t>
      </w:r>
      <w:r>
        <w:rPr>
          <w:rFonts w:ascii="Century" w:hAnsi="Century" w:cs="Century"/>
          <w:sz w:val="22"/>
          <w:sz w:val="22"/>
          <w:rtl w:val="true"/>
        </w:rPr>
        <w:t>עדויות בני משפחתה של המתלוננת אשר העידו על תהליך חשיפת הפגיעה שעברה ובהם סבתה פ</w:t>
      </w:r>
      <w:r>
        <w:rPr>
          <w:rFonts w:cs="Century" w:ascii="Century" w:hAnsi="Century"/>
          <w:sz w:val="22"/>
          <w:rtl w:val="true"/>
        </w:rPr>
        <w:t xml:space="preserve">', </w:t>
      </w:r>
      <w:r>
        <w:rPr>
          <w:rFonts w:ascii="Century" w:hAnsi="Century" w:cs="Century"/>
          <w:sz w:val="22"/>
          <w:sz w:val="22"/>
          <w:rtl w:val="true"/>
        </w:rPr>
        <w:t>דודתה א</w:t>
      </w:r>
      <w:r>
        <w:rPr>
          <w:rFonts w:cs="Century" w:ascii="Century" w:hAnsi="Century"/>
          <w:sz w:val="22"/>
          <w:rtl w:val="true"/>
        </w:rPr>
        <w:t xml:space="preserve">', </w:t>
      </w:r>
      <w:r>
        <w:rPr>
          <w:rFonts w:ascii="Century" w:hAnsi="Century" w:cs="Century"/>
          <w:sz w:val="22"/>
          <w:sz w:val="22"/>
          <w:rtl w:val="true"/>
        </w:rPr>
        <w:t>אביה ואשתו</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עדותו של ד</w:t>
      </w:r>
      <w:r>
        <w:rPr>
          <w:rFonts w:cs="Century" w:ascii="Century" w:hAnsi="Century"/>
          <w:sz w:val="22"/>
          <w:rtl w:val="true"/>
        </w:rPr>
        <w:t>"</w:t>
      </w:r>
      <w:r>
        <w:rPr>
          <w:rFonts w:ascii="Century" w:hAnsi="Century" w:cs="Century"/>
          <w:sz w:val="22"/>
          <w:sz w:val="22"/>
          <w:rtl w:val="true"/>
        </w:rPr>
        <w:t>ר אהרן פלשמן שערך חוות דעת בנוגע למצבה הנפשי של המתלוננת לצורך הליך משפטי אחר</w:t>
      </w:r>
      <w:r>
        <w:rPr>
          <w:rFonts w:cs="Century" w:ascii="Century" w:hAnsi="Century"/>
          <w:sz w:val="22"/>
          <w:rtl w:val="true"/>
        </w:rPr>
        <w:t xml:space="preserve">; </w:t>
      </w:r>
      <w:r>
        <w:rPr>
          <w:rFonts w:ascii="Century" w:hAnsi="Century" w:cs="Century"/>
          <w:sz w:val="22"/>
          <w:sz w:val="22"/>
          <w:rtl w:val="true"/>
        </w:rPr>
        <w:t>עדותו של המערער</w:t>
      </w:r>
      <w:r>
        <w:rPr>
          <w:rFonts w:cs="Century" w:ascii="Century" w:hAnsi="Century"/>
          <w:sz w:val="22"/>
          <w:rtl w:val="true"/>
        </w:rPr>
        <w:t xml:space="preserve">; </w:t>
      </w:r>
      <w:r>
        <w:rPr>
          <w:rFonts w:ascii="Century" w:hAnsi="Century" w:cs="Century"/>
          <w:sz w:val="22"/>
          <w:sz w:val="22"/>
          <w:rtl w:val="true"/>
        </w:rPr>
        <w:t>עדות אמה של המתלוננת אשר העידה כעדת הגנה</w:t>
      </w:r>
      <w:r>
        <w:rPr>
          <w:rFonts w:cs="Century" w:ascii="Century" w:hAnsi="Century"/>
          <w:sz w:val="22"/>
          <w:rtl w:val="true"/>
        </w:rPr>
        <w:t xml:space="preserve">; </w:t>
      </w:r>
      <w:r>
        <w:rPr>
          <w:rFonts w:ascii="Century" w:hAnsi="Century" w:cs="Century"/>
          <w:sz w:val="22"/>
          <w:sz w:val="22"/>
          <w:rtl w:val="true"/>
        </w:rPr>
        <w:t>עדויותיהם של הדוד א</w:t>
      </w:r>
      <w:r>
        <w:rPr>
          <w:rFonts w:cs="Century" w:ascii="Century" w:hAnsi="Century"/>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והדודה א</w:t>
      </w:r>
      <w:r>
        <w:rPr>
          <w:rFonts w:cs="Century" w:ascii="Century" w:hAnsi="Century"/>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שהעידו אף הם כעדי הגנה</w:t>
      </w:r>
      <w:r>
        <w:rPr>
          <w:rFonts w:cs="Century" w:ascii="Century" w:hAnsi="Century"/>
          <w:sz w:val="22"/>
          <w:rtl w:val="true"/>
        </w:rPr>
        <w:t xml:space="preserve">; </w:t>
      </w:r>
      <w:r>
        <w:rPr>
          <w:rFonts w:ascii="Century" w:hAnsi="Century" w:cs="Century"/>
          <w:sz w:val="22"/>
          <w:sz w:val="22"/>
          <w:rtl w:val="true"/>
        </w:rPr>
        <w:t>וחוות דעתו של ד</w:t>
      </w:r>
      <w:r>
        <w:rPr>
          <w:rFonts w:cs="Century" w:ascii="Century" w:hAnsi="Century"/>
          <w:sz w:val="22"/>
          <w:rtl w:val="true"/>
        </w:rPr>
        <w:t>"</w:t>
      </w:r>
      <w:r>
        <w:rPr>
          <w:rFonts w:ascii="Century" w:hAnsi="Century" w:cs="Century"/>
          <w:sz w:val="22"/>
          <w:sz w:val="22"/>
          <w:rtl w:val="true"/>
        </w:rPr>
        <w:t>ר בק שהוגשה מטעם המערער בהתייחס לחוות דעתו של ד</w:t>
      </w:r>
      <w:r>
        <w:rPr>
          <w:rFonts w:cs="Century" w:ascii="Century" w:hAnsi="Century"/>
          <w:sz w:val="22"/>
          <w:rtl w:val="true"/>
        </w:rPr>
        <w:t>"</w:t>
      </w:r>
      <w:r>
        <w:rPr>
          <w:rFonts w:ascii="Century" w:hAnsi="Century" w:cs="Century"/>
          <w:sz w:val="22"/>
          <w:sz w:val="22"/>
          <w:rtl w:val="true"/>
        </w:rPr>
        <w:t>ר פלשמן</w:t>
      </w:r>
      <w:r>
        <w:rPr>
          <w:rFonts w:cs="Century" w:ascii="Century" w:hAnsi="Century"/>
          <w:sz w:val="22"/>
          <w:rtl w:val="true"/>
        </w:rPr>
        <w:t xml:space="preserve">. </w:t>
      </w:r>
      <w:r>
        <w:rPr>
          <w:rFonts w:ascii="Century" w:hAnsi="Century" w:cs="Century"/>
          <w:sz w:val="22"/>
          <w:sz w:val="22"/>
          <w:rtl w:val="true"/>
        </w:rPr>
        <w:t>כמו כן</w:t>
      </w:r>
      <w:r>
        <w:rPr>
          <w:rFonts w:cs="Century" w:ascii="Century" w:hAnsi="Century"/>
          <w:sz w:val="22"/>
          <w:rtl w:val="true"/>
        </w:rPr>
        <w:t xml:space="preserve">, </w:t>
      </w:r>
      <w:r>
        <w:rPr>
          <w:rFonts w:ascii="Century" w:hAnsi="Century" w:cs="Century"/>
          <w:sz w:val="22"/>
          <w:sz w:val="22"/>
          <w:rtl w:val="true"/>
        </w:rPr>
        <w:t>הוגשו במסגרת ההליך יומניה האישיים של המתלוננת</w:t>
      </w:r>
      <w:r>
        <w:rPr>
          <w:rFonts w:cs="Century" w:ascii="Century" w:hAnsi="Century"/>
          <w:sz w:val="22"/>
          <w:rtl w:val="true"/>
        </w:rPr>
        <w:t xml:space="preserve">, </w:t>
      </w:r>
      <w:r>
        <w:rPr>
          <w:rFonts w:ascii="Century" w:hAnsi="Century" w:cs="Century"/>
          <w:sz w:val="22"/>
          <w:sz w:val="22"/>
          <w:rtl w:val="true"/>
        </w:rPr>
        <w:t>אמרותיה במשטרה ותרשומות הטיפול שעברה לאחר חשיפת הפגיעה במרכז ענב</w:t>
      </w:r>
      <w:r>
        <w:rPr>
          <w:rFonts w:cs="Century" w:ascii="Century" w:hAnsi="Century"/>
          <w:sz w:val="22"/>
          <w:rtl w:val="true"/>
        </w:rPr>
        <w:t>"</w:t>
      </w:r>
      <w:r>
        <w:rPr>
          <w:rFonts w:ascii="Century" w:hAnsi="Century" w:cs="Century"/>
          <w:sz w:val="22"/>
          <w:sz w:val="22"/>
          <w:rtl w:val="true"/>
        </w:rPr>
        <w:t>ל</w:t>
      </w:r>
      <w:r>
        <w:rPr>
          <w:rFonts w:cs="Century" w:ascii="Century" w:hAnsi="Century"/>
          <w:sz w:val="22"/>
          <w:rtl w:val="true"/>
        </w:rPr>
        <w:t xml:space="preserve">, </w:t>
      </w:r>
      <w:r>
        <w:rPr>
          <w:rFonts w:ascii="Century" w:hAnsi="Century" w:cs="Century"/>
          <w:sz w:val="22"/>
          <w:sz w:val="22"/>
          <w:rtl w:val="true"/>
        </w:rPr>
        <w:t>שהינו מרכז טיפולי לילדים ונוער נפגעי תקיפה מינית</w:t>
      </w:r>
      <w:r>
        <w:rPr>
          <w:rFonts w:cs="Century" w:ascii="Century" w:hAnsi="Century"/>
          <w:sz w:val="22"/>
          <w:rtl w:val="true"/>
        </w:rPr>
        <w:t>.</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rFonts w:ascii="Century" w:hAnsi="Century" w:cs="Century"/>
          <w:sz w:val="22"/>
        </w:rPr>
      </w:pPr>
      <w:r>
        <w:rPr>
          <w:rFonts w:ascii="Century" w:hAnsi="Century" w:cs="Century"/>
          <w:sz w:val="22"/>
          <w:sz w:val="22"/>
          <w:rtl w:val="true"/>
        </w:rPr>
        <w:t>הכרעת הדין מיוסדת בעיקרה על עדותה של המתלוננת</w:t>
      </w:r>
      <w:r>
        <w:rPr>
          <w:rFonts w:cs="Century" w:ascii="Century" w:hAnsi="Century"/>
          <w:sz w:val="22"/>
          <w:rtl w:val="true"/>
        </w:rPr>
        <w:t xml:space="preserve">, </w:t>
      </w:r>
      <w:r>
        <w:rPr>
          <w:rFonts w:ascii="Century" w:hAnsi="Century" w:cs="Century"/>
          <w:sz w:val="22"/>
          <w:sz w:val="22"/>
          <w:rtl w:val="true"/>
        </w:rPr>
        <w:t>אותה מצא בית משפט קמא מהימנה ומשכנעת</w:t>
      </w:r>
      <w:r>
        <w:rPr>
          <w:rFonts w:cs="Century" w:ascii="Century" w:hAnsi="Century"/>
          <w:sz w:val="22"/>
          <w:rtl w:val="true"/>
        </w:rPr>
        <w:t xml:space="preserve">. </w:t>
      </w:r>
      <w:r>
        <w:rPr>
          <w:rFonts w:ascii="Century" w:hAnsi="Century" w:cs="Century"/>
          <w:sz w:val="22"/>
          <w:sz w:val="22"/>
          <w:rtl w:val="true"/>
        </w:rPr>
        <w:t>בית המשפט קבע כי מהימנותה של המתלוננת ניכרה הן מעדותה בבית המשפט</w:t>
      </w:r>
      <w:r>
        <w:rPr>
          <w:rFonts w:cs="Century" w:ascii="Century" w:hAnsi="Century"/>
          <w:sz w:val="22"/>
          <w:rtl w:val="true"/>
        </w:rPr>
        <w:t xml:space="preserve">, </w:t>
      </w:r>
      <w:r>
        <w:rPr>
          <w:rFonts w:ascii="Century" w:hAnsi="Century" w:cs="Century"/>
          <w:sz w:val="22"/>
          <w:sz w:val="22"/>
          <w:rtl w:val="true"/>
        </w:rPr>
        <w:t>הן מהודעותיה במשטרה והן ממסמכי הטיפול בה במרכז ענב</w:t>
      </w:r>
      <w:r>
        <w:rPr>
          <w:rFonts w:cs="Century" w:ascii="Century" w:hAnsi="Century"/>
          <w:sz w:val="22"/>
          <w:rtl w:val="true"/>
        </w:rPr>
        <w:t>"</w:t>
      </w:r>
      <w:r>
        <w:rPr>
          <w:rFonts w:ascii="Century" w:hAnsi="Century" w:cs="Century"/>
          <w:sz w:val="22"/>
          <w:sz w:val="22"/>
          <w:rtl w:val="true"/>
        </w:rPr>
        <w:t>ל</w:t>
      </w:r>
      <w:r>
        <w:rPr>
          <w:rFonts w:cs="Century" w:ascii="Century" w:hAnsi="Century"/>
          <w:sz w:val="22"/>
          <w:rtl w:val="true"/>
        </w:rPr>
        <w:t xml:space="preserve">. </w:t>
      </w:r>
      <w:r>
        <w:rPr>
          <w:rFonts w:ascii="Century" w:hAnsi="Century" w:cs="Century"/>
          <w:sz w:val="22"/>
          <w:sz w:val="22"/>
          <w:rtl w:val="true"/>
        </w:rPr>
        <w:t>עוד קבע כי המתלוננת הייתה עקבית בכל גרסאותיה וכי לא נמצאו בהן סתירות מהותיות</w:t>
      </w:r>
      <w:r>
        <w:rPr>
          <w:rFonts w:cs="Century" w:ascii="Century" w:hAnsi="Century"/>
          <w:sz w:val="22"/>
          <w:rtl w:val="true"/>
        </w:rPr>
        <w:t xml:space="preserve">. </w:t>
      </w:r>
      <w:r>
        <w:rPr>
          <w:rFonts w:ascii="Century" w:hAnsi="Century" w:cs="Century"/>
          <w:sz w:val="22"/>
          <w:sz w:val="22"/>
          <w:rtl w:val="true"/>
        </w:rPr>
        <w:t>בית המשפט הוסיף וציין כי המתלוננת דייקה בעדותה ככל יכולתה בפרטי הפגיעה</w:t>
      </w:r>
      <w:r>
        <w:rPr>
          <w:rFonts w:cs="Century" w:ascii="Century" w:hAnsi="Century"/>
          <w:sz w:val="22"/>
          <w:rtl w:val="true"/>
        </w:rPr>
        <w:t xml:space="preserve">, </w:t>
      </w:r>
      <w:r>
        <w:rPr>
          <w:rFonts w:ascii="Century" w:hAnsi="Century" w:cs="Century"/>
          <w:sz w:val="22"/>
          <w:sz w:val="22"/>
          <w:rtl w:val="true"/>
        </w:rPr>
        <w:t>כי לא העצימה את מעשיו של המערער</w:t>
      </w:r>
      <w:r>
        <w:rPr>
          <w:rFonts w:cs="Century" w:ascii="Century" w:hAnsi="Century"/>
          <w:sz w:val="22"/>
          <w:rtl w:val="true"/>
        </w:rPr>
        <w:t xml:space="preserve">, </w:t>
      </w:r>
      <w:r>
        <w:rPr>
          <w:rFonts w:ascii="Century" w:hAnsi="Century" w:cs="Century"/>
          <w:sz w:val="22"/>
          <w:sz w:val="22"/>
          <w:rtl w:val="true"/>
        </w:rPr>
        <w:t>העידה גם דברים לזכותו ואף עמדה על כך כי בניגוד לנטען באישום השני</w:t>
      </w:r>
      <w:r>
        <w:rPr>
          <w:rFonts w:cs="Century" w:ascii="Century" w:hAnsi="Century"/>
          <w:sz w:val="22"/>
          <w:rtl w:val="true"/>
        </w:rPr>
        <w:t xml:space="preserve">, </w:t>
      </w:r>
      <w:r>
        <w:rPr>
          <w:rFonts w:ascii="Century" w:hAnsi="Century" w:cs="Century"/>
          <w:sz w:val="22"/>
          <w:sz w:val="22"/>
          <w:rtl w:val="true"/>
        </w:rPr>
        <w:t>המערער לא החדיר את לשונו לאיבר מינה</w:t>
      </w:r>
      <w:r>
        <w:rPr>
          <w:rFonts w:cs="Century" w:ascii="Century" w:hAnsi="Century"/>
          <w:sz w:val="22"/>
          <w:rtl w:val="true"/>
        </w:rPr>
        <w:t xml:space="preserve">. </w:t>
      </w:r>
      <w:r>
        <w:rPr>
          <w:rFonts w:ascii="Century" w:hAnsi="Century" w:cs="Century"/>
          <w:sz w:val="22"/>
          <w:sz w:val="22"/>
          <w:rtl w:val="true"/>
        </w:rPr>
        <w:t>בית משפט קמא הוסיף וקבע כי מהימנותה של המתלוננת נלמדת גם מתחושות האשמה והבושה שביטאה לאורך כל עדותה</w:t>
      </w:r>
      <w:r>
        <w:rPr>
          <w:rFonts w:cs="Century" w:ascii="Century" w:hAnsi="Century"/>
          <w:sz w:val="22"/>
          <w:rtl w:val="true"/>
        </w:rPr>
        <w:t xml:space="preserve">, </w:t>
      </w:r>
      <w:r>
        <w:rPr>
          <w:rFonts w:ascii="Century" w:hAnsi="Century" w:cs="Century"/>
          <w:sz w:val="22"/>
          <w:sz w:val="22"/>
          <w:rtl w:val="true"/>
        </w:rPr>
        <w:t>ושעליהן העידו אף עדים נוספים</w:t>
      </w:r>
      <w:r>
        <w:rPr>
          <w:rFonts w:cs="Century" w:ascii="Century" w:hAnsi="Century"/>
          <w:sz w:val="22"/>
          <w:rtl w:val="true"/>
        </w:rPr>
        <w:t xml:space="preserve">, </w:t>
      </w:r>
      <w:r>
        <w:rPr>
          <w:rFonts w:ascii="Century" w:hAnsi="Century" w:cs="Century"/>
          <w:sz w:val="22"/>
          <w:sz w:val="22"/>
          <w:rtl w:val="true"/>
        </w:rPr>
        <w:t>וכן מתחושתה ש</w:t>
      </w:r>
      <w:r>
        <w:rPr>
          <w:rFonts w:cs="Century" w:ascii="Century" w:hAnsi="Century"/>
          <w:sz w:val="22"/>
          <w:rtl w:val="true"/>
        </w:rPr>
        <w:t>"</w:t>
      </w:r>
      <w:r>
        <w:rPr>
          <w:rFonts w:ascii="Century" w:hAnsi="Century" w:cs="Century"/>
          <w:sz w:val="22"/>
          <w:sz w:val="22"/>
          <w:rtl w:val="true"/>
        </w:rPr>
        <w:t>בגדה</w:t>
      </w:r>
      <w:r>
        <w:rPr>
          <w:rFonts w:cs="Century" w:ascii="Century" w:hAnsi="Century"/>
          <w:sz w:val="22"/>
          <w:rtl w:val="true"/>
        </w:rPr>
        <w:t xml:space="preserve">" </w:t>
      </w:r>
      <w:r>
        <w:rPr>
          <w:rFonts w:ascii="Century" w:hAnsi="Century" w:cs="Century"/>
          <w:sz w:val="22"/>
          <w:sz w:val="22"/>
          <w:rtl w:val="true"/>
        </w:rPr>
        <w:t>באמה</w:t>
      </w:r>
      <w:r>
        <w:rPr>
          <w:rFonts w:cs="Century" w:ascii="Century" w:hAnsi="Century"/>
          <w:sz w:val="22"/>
          <w:rtl w:val="true"/>
        </w:rPr>
        <w:t xml:space="preserve">. </w:t>
      </w:r>
      <w:r>
        <w:rPr>
          <w:rFonts w:ascii="Century" w:hAnsi="Century" w:cs="Century"/>
          <w:sz w:val="22"/>
          <w:sz w:val="22"/>
          <w:rtl w:val="true"/>
        </w:rPr>
        <w:t>עוד היא נלמדת מהתייחסותה לפרטים שוליים שנלוו לביצוע העבירות כמו התיאור שמסרה בקשר לאירוע חשיפת איבר המין מהאישום הראשון ואירועי ההצצה במקלחת</w:t>
      </w:r>
      <w:r>
        <w:rPr>
          <w:rFonts w:cs="Century" w:ascii="Century" w:hAnsi="Century"/>
          <w:sz w:val="22"/>
          <w:rtl w:val="true"/>
        </w:rPr>
        <w:t>.</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rFonts w:ascii="Century" w:hAnsi="Century" w:cs="Century"/>
          <w:sz w:val="22"/>
        </w:rPr>
      </w:pPr>
      <w:r>
        <w:rPr>
          <w:rFonts w:ascii="Century" w:hAnsi="Century" w:cs="Century"/>
          <w:sz w:val="22"/>
          <w:sz w:val="22"/>
          <w:rtl w:val="true"/>
        </w:rPr>
        <w:t>בית משפט קמא הוסיף וקבע כי ניתן ללמוד על מהימנותה של המתלוננת גם מאופן חשיפת המעשים ומן העובדה שהתלונה למשטרה הוגשה על</w:t>
      </w:r>
      <w:r>
        <w:rPr>
          <w:rFonts w:cs="Century" w:ascii="Century" w:hAnsi="Century"/>
          <w:sz w:val="22"/>
          <w:rtl w:val="true"/>
        </w:rPr>
        <w:t>-</w:t>
      </w:r>
      <w:r>
        <w:rPr>
          <w:rFonts w:ascii="Century" w:hAnsi="Century" w:cs="Century"/>
          <w:sz w:val="22"/>
          <w:sz w:val="22"/>
          <w:rtl w:val="true"/>
        </w:rPr>
        <w:t>ידי אביה ולא על</w:t>
      </w:r>
      <w:r>
        <w:rPr>
          <w:rFonts w:cs="Century" w:ascii="Century" w:hAnsi="Century"/>
          <w:sz w:val="22"/>
          <w:rtl w:val="true"/>
        </w:rPr>
        <w:t>-</w:t>
      </w:r>
      <w:r>
        <w:rPr>
          <w:rFonts w:ascii="Century" w:hAnsi="Century" w:cs="Century"/>
          <w:sz w:val="22"/>
          <w:sz w:val="22"/>
          <w:rtl w:val="true"/>
        </w:rPr>
        <w:t>ידה</w:t>
      </w:r>
      <w:r>
        <w:rPr>
          <w:rFonts w:cs="Century" w:ascii="Century" w:hAnsi="Century"/>
          <w:sz w:val="22"/>
          <w:rtl w:val="true"/>
        </w:rPr>
        <w:t xml:space="preserve">. </w:t>
      </w:r>
      <w:r>
        <w:rPr>
          <w:rFonts w:ascii="Century" w:hAnsi="Century" w:cs="Century"/>
          <w:sz w:val="22"/>
          <w:sz w:val="22"/>
          <w:rtl w:val="true"/>
        </w:rPr>
        <w:t>במסגרת זאת</w:t>
      </w:r>
      <w:r>
        <w:rPr>
          <w:rFonts w:cs="Century" w:ascii="Century" w:hAnsi="Century"/>
          <w:sz w:val="22"/>
          <w:rtl w:val="true"/>
        </w:rPr>
        <w:t xml:space="preserve">, </w:t>
      </w:r>
      <w:r>
        <w:rPr>
          <w:rFonts w:ascii="Century" w:hAnsi="Century" w:cs="Century"/>
          <w:sz w:val="22"/>
          <w:sz w:val="22"/>
          <w:rtl w:val="true"/>
        </w:rPr>
        <w:t>עמד בית משפט קמא על הרקע לחשיפת המעשים</w:t>
      </w:r>
      <w:r>
        <w:rPr>
          <w:rFonts w:cs="Century" w:ascii="Century" w:hAnsi="Century"/>
          <w:sz w:val="22"/>
          <w:rtl w:val="true"/>
        </w:rPr>
        <w:t xml:space="preserve">: </w:t>
      </w:r>
      <w:r>
        <w:rPr>
          <w:rFonts w:ascii="Century" w:hAnsi="Century" w:cs="Century"/>
          <w:sz w:val="22"/>
          <w:sz w:val="22"/>
          <w:rtl w:val="true"/>
        </w:rPr>
        <w:t>כאמור</w:t>
      </w:r>
      <w:r>
        <w:rPr>
          <w:rFonts w:cs="Century" w:ascii="Century" w:hAnsi="Century"/>
          <w:sz w:val="22"/>
          <w:rtl w:val="true"/>
        </w:rPr>
        <w:t xml:space="preserve">, </w:t>
      </w:r>
      <w:r>
        <w:rPr>
          <w:rFonts w:ascii="Century" w:hAnsi="Century" w:cs="Century"/>
          <w:sz w:val="22"/>
          <w:sz w:val="22"/>
          <w:rtl w:val="true"/>
        </w:rPr>
        <w:t xml:space="preserve">בערב חג הפסח בשנת </w:t>
      </w:r>
      <w:r>
        <w:rPr>
          <w:rFonts w:cs="Century" w:ascii="Century" w:hAnsi="Century"/>
          <w:sz w:val="22"/>
        </w:rPr>
        <w:t>2012</w:t>
      </w:r>
      <w:r>
        <w:rPr>
          <w:rFonts w:cs="Century" w:ascii="Century" w:hAnsi="Century"/>
          <w:sz w:val="22"/>
          <w:rtl w:val="true"/>
        </w:rPr>
        <w:t xml:space="preserve"> </w:t>
      </w:r>
      <w:r>
        <w:rPr>
          <w:rFonts w:ascii="Century" w:hAnsi="Century" w:cs="Century"/>
          <w:sz w:val="22"/>
          <w:sz w:val="22"/>
          <w:rtl w:val="true"/>
        </w:rPr>
        <w:t>הגיעה המתלוננת לבית אביה לחגוג את החג</w:t>
      </w:r>
      <w:r>
        <w:rPr>
          <w:rFonts w:cs="Century" w:ascii="Century" w:hAnsi="Century"/>
          <w:sz w:val="22"/>
          <w:rtl w:val="true"/>
        </w:rPr>
        <w:t xml:space="preserve">. </w:t>
      </w:r>
      <w:r>
        <w:rPr>
          <w:rFonts w:ascii="Century" w:hAnsi="Century" w:cs="Century"/>
          <w:sz w:val="22"/>
          <w:sz w:val="22"/>
          <w:rtl w:val="true"/>
        </w:rPr>
        <w:t>באותה העת העמידו המערער ואמה של המתלוננת דרישה כי המתלוננת תעבור אבחון פסיכיאטרי</w:t>
      </w:r>
      <w:r>
        <w:rPr>
          <w:rFonts w:cs="Century" w:ascii="Century" w:hAnsi="Century"/>
          <w:sz w:val="22"/>
          <w:rtl w:val="true"/>
        </w:rPr>
        <w:t xml:space="preserve">, </w:t>
      </w:r>
      <w:r>
        <w:rPr>
          <w:rFonts w:ascii="Century" w:hAnsi="Century" w:cs="Century"/>
          <w:sz w:val="22"/>
          <w:sz w:val="22"/>
          <w:rtl w:val="true"/>
        </w:rPr>
        <w:t>דרישה לה סירב האב</w:t>
      </w:r>
      <w:r>
        <w:rPr>
          <w:rFonts w:cs="Century" w:ascii="Century" w:hAnsi="Century"/>
          <w:sz w:val="22"/>
          <w:rtl w:val="true"/>
        </w:rPr>
        <w:t xml:space="preserve">. </w:t>
      </w:r>
      <w:r>
        <w:rPr>
          <w:rFonts w:ascii="Century" w:hAnsi="Century" w:cs="Century"/>
          <w:sz w:val="22"/>
          <w:sz w:val="22"/>
          <w:rtl w:val="true"/>
        </w:rPr>
        <w:t>בתגובה לכך התנתה אמה של המתלוננת את חזרתה לביתם בעריכת האבחון הפסיכיאטרי</w:t>
      </w:r>
      <w:r>
        <w:rPr>
          <w:rFonts w:cs="Century" w:ascii="Century" w:hAnsi="Century"/>
          <w:sz w:val="22"/>
          <w:rtl w:val="true"/>
        </w:rPr>
        <w:t xml:space="preserve">, </w:t>
      </w:r>
      <w:r>
        <w:rPr>
          <w:rFonts w:ascii="Century" w:hAnsi="Century" w:cs="Century"/>
          <w:sz w:val="22"/>
          <w:sz w:val="22"/>
          <w:rtl w:val="true"/>
        </w:rPr>
        <w:t>ולכן נשארה המתלוננת בבית האב</w:t>
      </w:r>
      <w:r>
        <w:rPr>
          <w:rFonts w:cs="Century" w:ascii="Century" w:hAnsi="Century"/>
          <w:sz w:val="22"/>
          <w:rtl w:val="true"/>
        </w:rPr>
        <w:t xml:space="preserve">. </w:t>
      </w:r>
      <w:r>
        <w:rPr>
          <w:rFonts w:ascii="Century" w:hAnsi="Century" w:cs="Century"/>
          <w:sz w:val="22"/>
          <w:sz w:val="22"/>
          <w:rtl w:val="true"/>
        </w:rPr>
        <w:t>במהלך השהות בבית האב חשפה המתלוננת בפני האב את היחס הקשה אותו קיבלה בבית המערער שכלל עונשים מרובים</w:t>
      </w:r>
      <w:r>
        <w:rPr>
          <w:rFonts w:cs="Century" w:ascii="Century" w:hAnsi="Century"/>
          <w:sz w:val="22"/>
          <w:rtl w:val="true"/>
        </w:rPr>
        <w:t xml:space="preserve">, </w:t>
      </w:r>
      <w:r>
        <w:rPr>
          <w:rFonts w:ascii="Century" w:hAnsi="Century" w:cs="Century"/>
          <w:sz w:val="22"/>
          <w:sz w:val="22"/>
          <w:rtl w:val="true"/>
        </w:rPr>
        <w:t>אך לא סיפרה על עבירות המין</w:t>
      </w:r>
      <w:r>
        <w:rPr>
          <w:rFonts w:cs="Century" w:ascii="Century" w:hAnsi="Century"/>
          <w:sz w:val="22"/>
          <w:rtl w:val="true"/>
        </w:rPr>
        <w:t xml:space="preserve">. </w:t>
      </w:r>
      <w:r>
        <w:rPr>
          <w:rFonts w:ascii="Century" w:hAnsi="Century" w:cs="Century"/>
          <w:sz w:val="22"/>
          <w:sz w:val="22"/>
          <w:rtl w:val="true"/>
        </w:rPr>
        <w:t>כשבועיים לאחר חג הפסח</w:t>
      </w:r>
      <w:r>
        <w:rPr>
          <w:rFonts w:cs="Century" w:ascii="Century" w:hAnsi="Century"/>
          <w:sz w:val="22"/>
          <w:rtl w:val="true"/>
        </w:rPr>
        <w:t xml:space="preserve">, </w:t>
      </w:r>
      <w:r>
        <w:rPr>
          <w:rFonts w:ascii="Century" w:hAnsi="Century" w:cs="Century"/>
          <w:sz w:val="22"/>
          <w:sz w:val="22"/>
          <w:rtl w:val="true"/>
        </w:rPr>
        <w:t xml:space="preserve">בחודש אפריל </w:t>
      </w:r>
      <w:r>
        <w:rPr>
          <w:rFonts w:cs="Century" w:ascii="Century" w:hAnsi="Century"/>
          <w:sz w:val="22"/>
        </w:rPr>
        <w:t>2012</w:t>
      </w:r>
      <w:r>
        <w:rPr>
          <w:rFonts w:cs="Century" w:ascii="Century" w:hAnsi="Century"/>
          <w:sz w:val="22"/>
          <w:rtl w:val="true"/>
        </w:rPr>
        <w:t xml:space="preserve">, </w:t>
      </w:r>
      <w:r>
        <w:rPr>
          <w:rFonts w:ascii="Century" w:hAnsi="Century" w:cs="Century"/>
          <w:sz w:val="22"/>
          <w:sz w:val="22"/>
          <w:rtl w:val="true"/>
        </w:rPr>
        <w:t>הגיש אבי המתלוננת לבית המשפט לענייני משפחה בקשה לקבלת המשמורת על בתו</w:t>
      </w:r>
      <w:r>
        <w:rPr>
          <w:rFonts w:cs="Century" w:ascii="Century" w:hAnsi="Century"/>
          <w:sz w:val="22"/>
          <w:rtl w:val="true"/>
        </w:rPr>
        <w:t xml:space="preserve">. </w:t>
      </w:r>
      <w:r>
        <w:rPr>
          <w:rFonts w:ascii="Century" w:hAnsi="Century" w:cs="Century"/>
          <w:sz w:val="22"/>
          <w:sz w:val="22"/>
          <w:rtl w:val="true"/>
        </w:rPr>
        <w:t>כחודש לאחר הגעתה לבית אביה</w:t>
      </w:r>
      <w:r>
        <w:rPr>
          <w:rFonts w:cs="Century" w:ascii="Century" w:hAnsi="Century"/>
          <w:sz w:val="22"/>
          <w:rtl w:val="true"/>
        </w:rPr>
        <w:t xml:space="preserve">, </w:t>
      </w:r>
      <w:r>
        <w:rPr>
          <w:rFonts w:ascii="Century" w:hAnsi="Century" w:cs="Century"/>
          <w:sz w:val="22"/>
          <w:sz w:val="22"/>
          <w:rtl w:val="true"/>
        </w:rPr>
        <w:t>חשפה המתלוננת את הפגיעות המיניות שעברה לפני סבתה פ</w:t>
      </w:r>
      <w:r>
        <w:rPr>
          <w:rFonts w:cs="Century" w:ascii="Century" w:hAnsi="Century"/>
          <w:sz w:val="22"/>
          <w:rtl w:val="true"/>
        </w:rPr>
        <w:t xml:space="preserve">' </w:t>
      </w:r>
      <w:r>
        <w:rPr>
          <w:rFonts w:ascii="Century" w:hAnsi="Century" w:cs="Century"/>
          <w:sz w:val="22"/>
          <w:sz w:val="22"/>
          <w:rtl w:val="true"/>
        </w:rPr>
        <w:t>ודודתה א</w:t>
      </w:r>
      <w:r>
        <w:rPr>
          <w:rFonts w:cs="Century" w:ascii="Century" w:hAnsi="Century"/>
          <w:sz w:val="22"/>
          <w:rtl w:val="true"/>
        </w:rPr>
        <w:t xml:space="preserve">' </w:t>
      </w:r>
      <w:r>
        <w:rPr>
          <w:rFonts w:ascii="Century" w:hAnsi="Century" w:cs="Century"/>
          <w:sz w:val="22"/>
          <w:sz w:val="22"/>
          <w:rtl w:val="true"/>
        </w:rPr>
        <w:t>וזאת במהלך נסיעה משותפת לחנות משקפיים בקלנסואה</w:t>
      </w:r>
      <w:r>
        <w:rPr>
          <w:rFonts w:cs="Century" w:ascii="Century" w:hAnsi="Century"/>
          <w:sz w:val="22"/>
          <w:rtl w:val="true"/>
        </w:rPr>
        <w:t xml:space="preserve">. </w:t>
      </w:r>
      <w:r>
        <w:rPr>
          <w:rFonts w:ascii="Century" w:hAnsi="Century" w:cs="Century"/>
          <w:sz w:val="22"/>
          <w:sz w:val="22"/>
          <w:rtl w:val="true"/>
        </w:rPr>
        <w:t>בעת חשיפת המעשים ביקשה מהן המתלוננת לשמור על הדברים בסוד ולא לספר על כך לאביה</w:t>
      </w:r>
      <w:r>
        <w:rPr>
          <w:rFonts w:cs="Century" w:ascii="Century" w:hAnsi="Century"/>
          <w:sz w:val="22"/>
          <w:rtl w:val="true"/>
        </w:rPr>
        <w:t xml:space="preserve">. </w:t>
      </w:r>
      <w:r>
        <w:rPr>
          <w:rFonts w:ascii="Century" w:hAnsi="Century" w:cs="Century"/>
          <w:sz w:val="22"/>
          <w:sz w:val="22"/>
          <w:rtl w:val="true"/>
        </w:rPr>
        <w:t>כחודש לאחר הנסיעה לקלנסואה חשפה המתלוננת את הפגיעות המיניות גם לפני בת זוגו של אביה וזו סיפרה על כך לאב</w:t>
      </w:r>
      <w:r>
        <w:rPr>
          <w:rFonts w:cs="Century" w:ascii="Century" w:hAnsi="Century"/>
          <w:sz w:val="22"/>
          <w:rtl w:val="true"/>
        </w:rPr>
        <w:t xml:space="preserve">, </w:t>
      </w:r>
      <w:r>
        <w:rPr>
          <w:rFonts w:ascii="Century" w:hAnsi="Century" w:cs="Century"/>
          <w:sz w:val="22"/>
          <w:sz w:val="22"/>
          <w:rtl w:val="true"/>
        </w:rPr>
        <w:t>תוך הפרת הבטחתה למתלוננת כי תשמור על סודה</w:t>
      </w:r>
      <w:r>
        <w:rPr>
          <w:rFonts w:cs="Century" w:ascii="Century" w:hAnsi="Century"/>
          <w:sz w:val="22"/>
          <w:rtl w:val="true"/>
        </w:rPr>
        <w:t xml:space="preserve">. </w:t>
      </w:r>
      <w:r>
        <w:rPr>
          <w:rFonts w:ascii="Century" w:hAnsi="Century" w:cs="Century"/>
          <w:sz w:val="22"/>
          <w:sz w:val="22"/>
          <w:rtl w:val="true"/>
        </w:rPr>
        <w:t>לאחר שהדבר נודע לו</w:t>
      </w:r>
      <w:r>
        <w:rPr>
          <w:rFonts w:cs="Century" w:ascii="Century" w:hAnsi="Century"/>
          <w:sz w:val="22"/>
          <w:rtl w:val="true"/>
        </w:rPr>
        <w:t xml:space="preserve">, </w:t>
      </w:r>
      <w:r>
        <w:rPr>
          <w:rFonts w:ascii="Century" w:hAnsi="Century" w:cs="Century"/>
          <w:sz w:val="22"/>
          <w:sz w:val="22"/>
          <w:rtl w:val="true"/>
        </w:rPr>
        <w:t>הגיש האב תלונה במשטרה ללא ידיעת המתלוננת</w:t>
      </w:r>
      <w:r>
        <w:rPr>
          <w:rFonts w:cs="Century" w:ascii="Century" w:hAnsi="Century"/>
          <w:sz w:val="22"/>
          <w:rtl w:val="true"/>
        </w:rPr>
        <w:t xml:space="preserve">. </w:t>
      </w:r>
      <w:r>
        <w:rPr>
          <w:rFonts w:ascii="Century" w:hAnsi="Century" w:cs="Century"/>
          <w:sz w:val="22"/>
          <w:sz w:val="22"/>
          <w:rtl w:val="true"/>
        </w:rPr>
        <w:t>בית משפט קמא ציין בהכרעת הדין כי אופן חשיפת המעשים</w:t>
      </w:r>
      <w:r>
        <w:rPr>
          <w:rFonts w:cs="Century" w:ascii="Century" w:hAnsi="Century"/>
          <w:sz w:val="22"/>
          <w:rtl w:val="true"/>
        </w:rPr>
        <w:t xml:space="preserve">, </w:t>
      </w:r>
      <w:r>
        <w:rPr>
          <w:rFonts w:ascii="Century" w:hAnsi="Century" w:cs="Century"/>
          <w:sz w:val="22"/>
          <w:sz w:val="22"/>
          <w:rtl w:val="true"/>
        </w:rPr>
        <w:t>עליו העידו סבתה של המתלוננת</w:t>
      </w:r>
      <w:r>
        <w:rPr>
          <w:rFonts w:cs="Century" w:ascii="Century" w:hAnsi="Century"/>
          <w:sz w:val="22"/>
          <w:rtl w:val="true"/>
        </w:rPr>
        <w:t xml:space="preserve">, </w:t>
      </w:r>
      <w:r>
        <w:rPr>
          <w:rFonts w:ascii="Century" w:hAnsi="Century" w:cs="Century"/>
          <w:sz w:val="22"/>
          <w:sz w:val="22"/>
          <w:rtl w:val="true"/>
        </w:rPr>
        <w:t>דודתה א</w:t>
      </w:r>
      <w:r>
        <w:rPr>
          <w:rFonts w:cs="Century" w:ascii="Century" w:hAnsi="Century"/>
          <w:sz w:val="22"/>
          <w:rtl w:val="true"/>
        </w:rPr>
        <w:t xml:space="preserve">' </w:t>
      </w:r>
      <w:r>
        <w:rPr>
          <w:rFonts w:ascii="Century" w:hAnsi="Century" w:cs="Century"/>
          <w:sz w:val="22"/>
          <w:sz w:val="22"/>
          <w:rtl w:val="true"/>
        </w:rPr>
        <w:t>ואשת האב</w:t>
      </w:r>
      <w:r>
        <w:rPr>
          <w:rFonts w:cs="Century" w:ascii="Century" w:hAnsi="Century"/>
          <w:sz w:val="22"/>
          <w:rtl w:val="true"/>
        </w:rPr>
        <w:t xml:space="preserve">, </w:t>
      </w:r>
      <w:r>
        <w:rPr>
          <w:rFonts w:ascii="Century" w:hAnsi="Century" w:cs="Century"/>
          <w:sz w:val="22"/>
          <w:sz w:val="22"/>
          <w:rtl w:val="true"/>
        </w:rPr>
        <w:t>אינו מתיישב עם טענת ההגנה לעלילת שווא</w:t>
      </w:r>
      <w:r>
        <w:rPr>
          <w:rFonts w:cs="Century" w:ascii="Century" w:hAnsi="Century"/>
          <w:sz w:val="22"/>
          <w:rtl w:val="true"/>
        </w:rPr>
        <w:t xml:space="preserve">, </w:t>
      </w:r>
      <w:r>
        <w:rPr>
          <w:rFonts w:ascii="Century" w:hAnsi="Century" w:cs="Century"/>
          <w:sz w:val="22"/>
          <w:sz w:val="22"/>
          <w:rtl w:val="true"/>
        </w:rPr>
        <w:t>שכן בעת חשיפת המעשים ביקשה המתלוננת לשומרם בסוד</w:t>
      </w:r>
      <w:r>
        <w:rPr>
          <w:rFonts w:cs="Century" w:ascii="Century" w:hAnsi="Century"/>
          <w:sz w:val="22"/>
          <w:rtl w:val="true"/>
        </w:rPr>
        <w:t xml:space="preserve">, </w:t>
      </w:r>
      <w:r>
        <w:rPr>
          <w:rFonts w:ascii="Century" w:hAnsi="Century" w:cs="Century"/>
          <w:sz w:val="22"/>
          <w:sz w:val="22"/>
          <w:rtl w:val="true"/>
        </w:rPr>
        <w:t>והתלונה הוגשה למשטרה על</w:t>
      </w:r>
      <w:r>
        <w:rPr>
          <w:rFonts w:cs="Century" w:ascii="Century" w:hAnsi="Century"/>
          <w:sz w:val="22"/>
          <w:rtl w:val="true"/>
        </w:rPr>
        <w:t>-</w:t>
      </w:r>
      <w:r>
        <w:rPr>
          <w:rFonts w:ascii="Century" w:hAnsi="Century" w:cs="Century"/>
          <w:sz w:val="22"/>
          <w:sz w:val="22"/>
          <w:rtl w:val="true"/>
        </w:rPr>
        <w:t>ידי אבי המתלוננת ללא ידיעתה ובניגוד לרצונה</w:t>
      </w:r>
      <w:r>
        <w:rPr>
          <w:rFonts w:cs="Century" w:ascii="Century" w:hAnsi="Century"/>
          <w:sz w:val="22"/>
          <w:rtl w:val="true"/>
        </w:rPr>
        <w:t>.</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rFonts w:ascii="Century" w:hAnsi="Century" w:cs="Century"/>
          <w:sz w:val="22"/>
        </w:rPr>
      </w:pPr>
      <w:r>
        <w:rPr>
          <w:rFonts w:ascii="Century" w:hAnsi="Century" w:cs="Century"/>
          <w:sz w:val="22"/>
          <w:sz w:val="22"/>
          <w:rtl w:val="true"/>
        </w:rPr>
        <w:t xml:space="preserve">בית משפט קמא הוסיף ודחה את גרסתם של עדי ההגנה </w:t>
      </w:r>
      <w:r>
        <w:rPr>
          <w:rFonts w:cs="Century" w:ascii="Century" w:hAnsi="Century"/>
          <w:sz w:val="22"/>
          <w:rtl w:val="true"/>
        </w:rPr>
        <w:t xml:space="preserve">- </w:t>
      </w:r>
      <w:r>
        <w:rPr>
          <w:rFonts w:ascii="Century" w:hAnsi="Century" w:cs="Century"/>
          <w:sz w:val="22"/>
          <w:sz w:val="22"/>
          <w:rtl w:val="true"/>
        </w:rPr>
        <w:t>הדוד א</w:t>
      </w:r>
      <w:r>
        <w:rPr>
          <w:rFonts w:cs="Century" w:ascii="Century" w:hAnsi="Century"/>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והדודה א</w:t>
      </w:r>
      <w:r>
        <w:rPr>
          <w:rFonts w:cs="Century" w:ascii="Century" w:hAnsi="Century"/>
          <w:sz w:val="22"/>
          <w:rtl w:val="true"/>
        </w:rPr>
        <w:t xml:space="preserve">' </w:t>
      </w:r>
      <w:r>
        <w:rPr>
          <w:rFonts w:ascii="Century" w:hAnsi="Century" w:cs="Century"/>
          <w:sz w:val="22"/>
          <w:sz w:val="22"/>
          <w:rtl w:val="true"/>
        </w:rPr>
        <w:t>ב</w:t>
      </w:r>
      <w:r>
        <w:rPr>
          <w:rFonts w:cs="Century" w:ascii="Century" w:hAnsi="Century"/>
          <w:sz w:val="22"/>
          <w:rtl w:val="true"/>
        </w:rPr>
        <w:t xml:space="preserve">' - </w:t>
      </w:r>
      <w:r>
        <w:rPr>
          <w:rFonts w:ascii="Century" w:hAnsi="Century" w:cs="Century"/>
          <w:sz w:val="22"/>
          <w:sz w:val="22"/>
          <w:rtl w:val="true"/>
        </w:rPr>
        <w:t>אשר העידו כי המתלוננת חשפה את המעשים בארוחה משפחתית עוד קודם לנסיעה לקלנסואה</w:t>
      </w:r>
      <w:r>
        <w:rPr>
          <w:rFonts w:cs="Century" w:ascii="Century" w:hAnsi="Century"/>
          <w:sz w:val="22"/>
          <w:rtl w:val="true"/>
        </w:rPr>
        <w:t xml:space="preserve">, </w:t>
      </w:r>
      <w:r>
        <w:rPr>
          <w:rFonts w:ascii="Century" w:hAnsi="Century" w:cs="Century"/>
          <w:sz w:val="22"/>
          <w:sz w:val="22"/>
          <w:rtl w:val="true"/>
        </w:rPr>
        <w:t>וכי חשיפה זו לא לוותה בסערת רגשות כלל</w:t>
      </w:r>
      <w:r>
        <w:rPr>
          <w:rFonts w:cs="Century" w:ascii="Century" w:hAnsi="Century"/>
          <w:sz w:val="22"/>
          <w:rtl w:val="true"/>
        </w:rPr>
        <w:t xml:space="preserve">. </w:t>
      </w:r>
      <w:r>
        <w:rPr>
          <w:rFonts w:ascii="Century" w:hAnsi="Century" w:cs="Century"/>
          <w:sz w:val="22"/>
          <w:sz w:val="22"/>
          <w:rtl w:val="true"/>
        </w:rPr>
        <w:t xml:space="preserve">לאחר בחינת עדותם קבע בית משפט קמא כי זיכרונם של עדים אלו ביחס לאירועים היה </w:t>
      </w:r>
      <w:r>
        <w:rPr>
          <w:rFonts w:cs="Century" w:ascii="Century" w:hAnsi="Century"/>
          <w:sz w:val="22"/>
          <w:rtl w:val="true"/>
        </w:rPr>
        <w:t>"</w:t>
      </w:r>
      <w:r>
        <w:rPr>
          <w:rFonts w:ascii="Century" w:hAnsi="Century" w:cs="Century"/>
          <w:sz w:val="22"/>
          <w:sz w:val="22"/>
          <w:rtl w:val="true"/>
        </w:rPr>
        <w:t>מבולבל ולא מדויק</w:t>
      </w:r>
      <w:r>
        <w:rPr>
          <w:rFonts w:cs="Century" w:ascii="Century" w:hAnsi="Century"/>
          <w:sz w:val="22"/>
          <w:rtl w:val="true"/>
        </w:rPr>
        <w:t xml:space="preserve">" </w:t>
      </w:r>
      <w:r>
        <w:rPr>
          <w:rFonts w:ascii="Century" w:hAnsi="Century" w:cs="Century"/>
          <w:sz w:val="22"/>
          <w:sz w:val="22"/>
          <w:rtl w:val="true"/>
        </w:rPr>
        <w:t>וכן כי התגלו בעדותם סתירות רבות</w:t>
      </w:r>
      <w:r>
        <w:rPr>
          <w:rFonts w:cs="Century" w:ascii="Century" w:hAnsi="Century"/>
          <w:sz w:val="22"/>
          <w:rtl w:val="true"/>
        </w:rPr>
        <w:t xml:space="preserve">. </w:t>
      </w:r>
      <w:r>
        <w:rPr>
          <w:rFonts w:ascii="Century" w:hAnsi="Century" w:cs="Century"/>
          <w:sz w:val="22"/>
          <w:sz w:val="22"/>
          <w:rtl w:val="true"/>
        </w:rPr>
        <w:t>עוד קבע כי עדויותיהם דווקא מחזקות את גרסתה של המתלוננת</w:t>
      </w:r>
      <w:r>
        <w:rPr>
          <w:rFonts w:cs="Century" w:ascii="Century" w:hAnsi="Century"/>
          <w:sz w:val="22"/>
          <w:rtl w:val="true"/>
        </w:rPr>
        <w:t xml:space="preserve">, </w:t>
      </w:r>
      <w:r>
        <w:rPr>
          <w:rFonts w:ascii="Century" w:hAnsi="Century" w:cs="Century"/>
          <w:sz w:val="22"/>
          <w:sz w:val="22"/>
          <w:rtl w:val="true"/>
        </w:rPr>
        <w:t>שכן אף הם העידו על סערת הרגשות שנלוותה לחשיפת המעשים בנסיעה בקלנסואה</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tl w:val="true"/>
        </w:rPr>
        <w:t>בית משפט קמא מצא חיזוק לעדותה של המתלוננת במצבה הנפשי כפי שזה מצא ביטויו בחוות דעתו של הפסיכיאטר ד</w:t>
      </w:r>
      <w:r>
        <w:rPr>
          <w:rtl w:val="true"/>
        </w:rPr>
        <w:t>"</w:t>
      </w:r>
      <w:r>
        <w:rPr>
          <w:rtl w:val="true"/>
        </w:rPr>
        <w:t>ר אהרן פלשמן</w:t>
      </w:r>
      <w:r>
        <w:rPr>
          <w:rtl w:val="true"/>
        </w:rPr>
        <w:t xml:space="preserve">. </w:t>
      </w:r>
      <w:r>
        <w:rPr>
          <w:rtl w:val="true"/>
        </w:rPr>
        <w:t>ד</w:t>
      </w:r>
      <w:r>
        <w:rPr>
          <w:rtl w:val="true"/>
        </w:rPr>
        <w:t>"</w:t>
      </w:r>
      <w:r>
        <w:rPr>
          <w:rtl w:val="true"/>
        </w:rPr>
        <w:t>ר פלשמן מונה על</w:t>
      </w:r>
      <w:r>
        <w:rPr>
          <w:rtl w:val="true"/>
        </w:rPr>
        <w:t>-</w:t>
      </w:r>
      <w:r>
        <w:rPr>
          <w:rtl w:val="true"/>
        </w:rPr>
        <w:t>ידי בית המשפט לענייני משפחה לשם אבחון מצבה של המתלוננת</w:t>
      </w:r>
      <w:r>
        <w:rPr>
          <w:rtl w:val="true"/>
        </w:rPr>
        <w:t xml:space="preserve">. </w:t>
      </w:r>
      <w:r>
        <w:rPr>
          <w:rtl w:val="true"/>
        </w:rPr>
        <w:t>מחוות דעת זו</w:t>
      </w:r>
      <w:r>
        <w:rPr>
          <w:rtl w:val="true"/>
        </w:rPr>
        <w:t xml:space="preserve">, </w:t>
      </w:r>
      <w:r>
        <w:rPr>
          <w:rtl w:val="true"/>
        </w:rPr>
        <w:t>אשר נערכה כאמור לצורך הליך משפטי אחר</w:t>
      </w:r>
      <w:r>
        <w:rPr>
          <w:rtl w:val="true"/>
        </w:rPr>
        <w:t xml:space="preserve">, </w:t>
      </w:r>
      <w:r>
        <w:rPr>
          <w:rtl w:val="true"/>
        </w:rPr>
        <w:t>עלה כי המתלוננת איננה סובלת מהפרעה נפשית או ממחלת נפש אלא מ</w:t>
      </w:r>
      <w:r>
        <w:rPr>
          <w:rtl w:val="true"/>
        </w:rPr>
        <w:t>"</w:t>
      </w:r>
      <w:r>
        <w:rPr>
          <w:rtl w:val="true"/>
        </w:rPr>
        <w:t>עצירה התפתחותית</w:t>
      </w:r>
      <w:r>
        <w:rPr>
          <w:rtl w:val="true"/>
        </w:rPr>
        <w:t xml:space="preserve">" </w:t>
      </w:r>
      <w:r>
        <w:rPr>
          <w:rtl w:val="true"/>
        </w:rPr>
        <w:t>של תחילת גיל ההתבגרות שיכול שנגרמה כתוצאה מניצול מיני</w:t>
      </w:r>
      <w:r>
        <w:rPr>
          <w:rtl w:val="true"/>
        </w:rPr>
        <w:t xml:space="preserve">. </w:t>
      </w:r>
      <w:r>
        <w:rPr>
          <w:rtl w:val="true"/>
        </w:rPr>
        <w:t>באשר לחוות דעתו של ד</w:t>
      </w:r>
      <w:r>
        <w:rPr>
          <w:rtl w:val="true"/>
        </w:rPr>
        <w:t>"</w:t>
      </w:r>
      <w:r>
        <w:rPr>
          <w:rtl w:val="true"/>
        </w:rPr>
        <w:t>ר בק</w:t>
      </w:r>
      <w:r>
        <w:rPr>
          <w:rtl w:val="true"/>
        </w:rPr>
        <w:t xml:space="preserve">, </w:t>
      </w:r>
      <w:r>
        <w:rPr>
          <w:rtl w:val="true"/>
        </w:rPr>
        <w:t>אשר הוגשה מטעם ההגנה ופירטה פגמים שנפלו לשיטת ד</w:t>
      </w:r>
      <w:r>
        <w:rPr>
          <w:rtl w:val="true"/>
        </w:rPr>
        <w:t>"</w:t>
      </w:r>
      <w:r>
        <w:rPr>
          <w:rtl w:val="true"/>
        </w:rPr>
        <w:t>ר בק בחוות דעתו של ד</w:t>
      </w:r>
      <w:r>
        <w:rPr>
          <w:rtl w:val="true"/>
        </w:rPr>
        <w:t>"</w:t>
      </w:r>
      <w:r>
        <w:rPr>
          <w:rtl w:val="true"/>
        </w:rPr>
        <w:t>ר פלשמן</w:t>
      </w:r>
      <w:r>
        <w:rPr>
          <w:rtl w:val="true"/>
        </w:rPr>
        <w:t xml:space="preserve">, </w:t>
      </w:r>
      <w:r>
        <w:rPr>
          <w:rtl w:val="true"/>
        </w:rPr>
        <w:t>קבע בית משפט קמא כי אין באלה כדי לפגום במסקנות אליהן הגיע ד</w:t>
      </w:r>
      <w:r>
        <w:rPr>
          <w:rtl w:val="true"/>
        </w:rPr>
        <w:t>"</w:t>
      </w:r>
      <w:r>
        <w:rPr>
          <w:rtl w:val="true"/>
        </w:rPr>
        <w:t>ר פלשמן</w:t>
      </w:r>
      <w:r>
        <w:rPr>
          <w:rtl w:val="true"/>
        </w:rPr>
        <w:t>.</w:t>
      </w:r>
    </w:p>
    <w:p>
      <w:pPr>
        <w:pStyle w:val="Ruller42"/>
        <w:ind w:end="0"/>
        <w:jc w:val="both"/>
        <w:rPr/>
      </w:pPr>
      <w:r>
        <w:rPr>
          <w:rtl w:val="true"/>
        </w:rPr>
      </w:r>
    </w:p>
    <w:p>
      <w:pPr>
        <w:pStyle w:val="Ruller43"/>
        <w:numPr>
          <w:ilvl w:val="0"/>
          <w:numId w:val="1"/>
        </w:numPr>
        <w:ind w:end="0"/>
        <w:jc w:val="both"/>
        <w:rPr/>
      </w:pPr>
      <w:r>
        <w:rPr>
          <w:rtl w:val="true"/>
        </w:rPr>
        <w:t>חיזוק נוסף לאמינותה של המתלוננת מצא בית משפט קמא בתיעוד הטיפול שעברה במרכז ענב</w:t>
      </w:r>
      <w:r>
        <w:rPr>
          <w:rtl w:val="true"/>
        </w:rPr>
        <w:t>"</w:t>
      </w:r>
      <w:r>
        <w:rPr>
          <w:rtl w:val="true"/>
        </w:rPr>
        <w:t>ל</w:t>
      </w:r>
      <w:r>
        <w:rPr>
          <w:rtl w:val="true"/>
        </w:rPr>
        <w:t xml:space="preserve">. </w:t>
      </w:r>
      <w:r>
        <w:rPr>
          <w:rtl w:val="true"/>
        </w:rPr>
        <w:t>נקבע כי תיעוד הטיפול מהווה ראייה נוספת לעקביותה של המתלוננת</w:t>
      </w:r>
      <w:r>
        <w:rPr>
          <w:rtl w:val="true"/>
        </w:rPr>
        <w:t xml:space="preserve">, </w:t>
      </w:r>
      <w:r>
        <w:rPr>
          <w:rtl w:val="true"/>
        </w:rPr>
        <w:t>שכן מסיכום הפגישות עולים עיקרי הדברים עליהם העידה במשטרה ובבית המשפט</w:t>
      </w:r>
      <w:r>
        <w:rPr>
          <w:rtl w:val="true"/>
        </w:rPr>
        <w:t xml:space="preserve">. </w:t>
      </w:r>
      <w:r>
        <w:rPr>
          <w:rtl w:val="true"/>
        </w:rPr>
        <w:t>עוד נקבע</w:t>
      </w:r>
      <w:r>
        <w:rPr>
          <w:rtl w:val="true"/>
        </w:rPr>
        <w:t xml:space="preserve">, </w:t>
      </w:r>
      <w:r>
        <w:rPr>
          <w:rtl w:val="true"/>
        </w:rPr>
        <w:t>כי תיעוד הטיפולים מלמד אף הוא על רגשות האשם שחשה המתלוננת ועל הקושי הניכר שחשה בשיתוף הפגיעות המיניות שחוותה</w:t>
      </w:r>
      <w:r>
        <w:rPr>
          <w:rtl w:val="true"/>
        </w:rPr>
        <w:t>.</w:t>
      </w:r>
    </w:p>
    <w:p>
      <w:pPr>
        <w:pStyle w:val="Ruller42"/>
        <w:spacing w:lineRule="auto" w:line="240"/>
        <w:ind w:end="0"/>
        <w:jc w:val="both"/>
        <w:rPr/>
      </w:pPr>
      <w:r>
        <w:rPr>
          <w:rtl w:val="true"/>
        </w:rPr>
      </w:r>
    </w:p>
    <w:p>
      <w:pPr>
        <w:pStyle w:val="Ruller43"/>
        <w:numPr>
          <w:ilvl w:val="0"/>
          <w:numId w:val="1"/>
        </w:numPr>
        <w:ind w:end="0"/>
        <w:jc w:val="both"/>
        <w:rPr>
          <w:rFonts w:ascii="Century" w:hAnsi="Century" w:cs="Century"/>
          <w:sz w:val="22"/>
        </w:rPr>
      </w:pPr>
      <w:r>
        <w:rPr>
          <w:rFonts w:ascii="Century" w:hAnsi="Century" w:cs="Century"/>
          <w:sz w:val="22"/>
          <w:sz w:val="22"/>
          <w:rtl w:val="true"/>
        </w:rPr>
        <w:t>באשר למערער</w:t>
      </w:r>
      <w:r>
        <w:rPr>
          <w:rFonts w:cs="Century" w:ascii="Century" w:hAnsi="Century"/>
          <w:sz w:val="22"/>
          <w:rtl w:val="true"/>
        </w:rPr>
        <w:t xml:space="preserve">, </w:t>
      </w:r>
      <w:r>
        <w:rPr>
          <w:rFonts w:ascii="Century" w:hAnsi="Century" w:cs="Century"/>
          <w:sz w:val="22"/>
          <w:sz w:val="22"/>
          <w:rtl w:val="true"/>
        </w:rPr>
        <w:t>קבע בית משפט קמא כי עדותו הותירה עליו רושם שלילי</w:t>
      </w:r>
      <w:r>
        <w:rPr>
          <w:rFonts w:cs="Century" w:ascii="Century" w:hAnsi="Century"/>
          <w:sz w:val="22"/>
          <w:rtl w:val="true"/>
        </w:rPr>
        <w:t xml:space="preserve">. </w:t>
      </w:r>
      <w:r>
        <w:rPr>
          <w:rFonts w:ascii="Century" w:hAnsi="Century" w:cs="Century"/>
          <w:sz w:val="22"/>
          <w:sz w:val="22"/>
          <w:rtl w:val="true"/>
        </w:rPr>
        <w:t>נקבע כי ביחס לפרטים מסוימים הייתה גרסתו כבושה ומתפתחת וניכר כי הותאמה לראיות שנשמעו במהלך ניהול המשפט</w:t>
      </w:r>
      <w:r>
        <w:rPr>
          <w:rFonts w:cs="Century" w:ascii="Century" w:hAnsi="Century"/>
          <w:sz w:val="22"/>
          <w:rtl w:val="true"/>
        </w:rPr>
        <w:t xml:space="preserve">. </w:t>
      </w:r>
      <w:r>
        <w:rPr>
          <w:rFonts w:ascii="Century" w:hAnsi="Century" w:cs="Century"/>
          <w:sz w:val="22"/>
          <w:sz w:val="22"/>
          <w:rtl w:val="true"/>
        </w:rPr>
        <w:t>כמו כן נקבע</w:t>
      </w:r>
      <w:r>
        <w:rPr>
          <w:rFonts w:cs="Century" w:ascii="Century" w:hAnsi="Century"/>
          <w:sz w:val="22"/>
          <w:rtl w:val="true"/>
        </w:rPr>
        <w:t xml:space="preserve">, </w:t>
      </w:r>
      <w:r>
        <w:rPr>
          <w:rFonts w:ascii="Century" w:hAnsi="Century" w:cs="Century"/>
          <w:sz w:val="22"/>
          <w:sz w:val="22"/>
          <w:rtl w:val="true"/>
        </w:rPr>
        <w:t>כי חלקים בגרסתו עמדו בסתירה לעדויות וראיות שהובאו מטעם ההגנה עצמה</w:t>
      </w:r>
      <w:r>
        <w:rPr>
          <w:rFonts w:cs="Century" w:ascii="Century" w:hAnsi="Century"/>
          <w:sz w:val="22"/>
          <w:rtl w:val="true"/>
        </w:rPr>
        <w:t xml:space="preserve">. </w:t>
      </w:r>
      <w:r>
        <w:rPr>
          <w:rFonts w:ascii="Century" w:hAnsi="Century" w:cs="Century"/>
          <w:sz w:val="22"/>
          <w:sz w:val="22"/>
          <w:rtl w:val="true"/>
        </w:rPr>
        <w:t>כך</w:t>
      </w:r>
      <w:r>
        <w:rPr>
          <w:rFonts w:cs="Century" w:ascii="Century" w:hAnsi="Century"/>
          <w:sz w:val="22"/>
          <w:rtl w:val="true"/>
        </w:rPr>
        <w:t xml:space="preserve">, </w:t>
      </w:r>
      <w:r>
        <w:rPr>
          <w:rFonts w:ascii="Century" w:hAnsi="Century" w:cs="Century"/>
          <w:sz w:val="22"/>
          <w:sz w:val="22"/>
          <w:rtl w:val="true"/>
        </w:rPr>
        <w:t>נמצאו סתירות בגרסתו לעניין העלאת אפשרות שליחתה של המתלוננת לפנימיי</w:t>
      </w:r>
      <w:r>
        <w:rPr>
          <w:rFonts w:ascii="Century" w:hAnsi="Century" w:cs="Century"/>
          <w:sz w:val="22"/>
          <w:sz w:val="22"/>
          <w:rtl w:val="true"/>
        </w:rPr>
        <w:t>ה</w:t>
      </w:r>
      <w:r>
        <w:rPr>
          <w:rFonts w:cs="Century" w:ascii="Century" w:hAnsi="Century"/>
          <w:sz w:val="22"/>
          <w:rtl w:val="true"/>
        </w:rPr>
        <w:t xml:space="preserve">; </w:t>
      </w:r>
      <w:r>
        <w:rPr>
          <w:rFonts w:ascii="Century" w:hAnsi="Century" w:cs="Century"/>
          <w:sz w:val="22"/>
          <w:sz w:val="22"/>
          <w:rtl w:val="true"/>
        </w:rPr>
        <w:t>הסיבה שמנע מן המתלוננת לקחת את יומניה לבית אביה</w:t>
      </w:r>
      <w:r>
        <w:rPr>
          <w:rFonts w:cs="Century" w:ascii="Century" w:hAnsi="Century"/>
          <w:sz w:val="22"/>
          <w:rtl w:val="true"/>
        </w:rPr>
        <w:t xml:space="preserve">; </w:t>
      </w:r>
      <w:r>
        <w:rPr>
          <w:rFonts w:ascii="Century" w:hAnsi="Century" w:cs="Century"/>
          <w:sz w:val="22"/>
          <w:sz w:val="22"/>
          <w:rtl w:val="true"/>
        </w:rPr>
        <w:t>טענתו בדבר מחלה באיבר מינו אשר מנעה ממנו להתחכך במתלוננת</w:t>
      </w:r>
      <w:r>
        <w:rPr>
          <w:rFonts w:cs="Century" w:ascii="Century" w:hAnsi="Century"/>
          <w:sz w:val="22"/>
          <w:rtl w:val="true"/>
        </w:rPr>
        <w:t xml:space="preserve">; </w:t>
      </w:r>
      <w:r>
        <w:rPr>
          <w:rFonts w:ascii="Century" w:hAnsi="Century" w:cs="Century"/>
          <w:sz w:val="22"/>
          <w:sz w:val="22"/>
          <w:rtl w:val="true"/>
        </w:rPr>
        <w:t>והסבריו מדוע לא ציין את דבר קיומה של מחלה זו</w:t>
      </w:r>
      <w:r>
        <w:rPr>
          <w:rFonts w:cs="Century" w:ascii="Century" w:hAnsi="Century"/>
          <w:sz w:val="22"/>
          <w:rtl w:val="true"/>
        </w:rPr>
        <w:t xml:space="preserve">, </w:t>
      </w:r>
      <w:r>
        <w:rPr>
          <w:rFonts w:ascii="Century" w:hAnsi="Century" w:cs="Century"/>
          <w:sz w:val="22"/>
          <w:sz w:val="22"/>
          <w:rtl w:val="true"/>
        </w:rPr>
        <w:t>לא במשטרה ולא במענה לכתב האישום</w:t>
      </w:r>
      <w:r>
        <w:rPr>
          <w:rFonts w:cs="Century" w:ascii="Century" w:hAnsi="Century"/>
          <w:sz w:val="22"/>
          <w:rtl w:val="true"/>
        </w:rPr>
        <w:t>.</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tl w:val="true"/>
        </w:rPr>
        <w:t>בית משפט קמא דחה בהכרעת דינו את גרסת המערער לפיה מדובר בתלונת כזב</w:t>
      </w:r>
      <w:r>
        <w:rPr>
          <w:rtl w:val="true"/>
        </w:rPr>
        <w:t xml:space="preserve">. </w:t>
      </w:r>
      <w:r>
        <w:rPr>
          <w:rtl w:val="true"/>
        </w:rPr>
        <w:t>בית משפט קמא בחן את המניעים שהניעו את המתלוננת</w:t>
      </w:r>
      <w:r>
        <w:rPr>
          <w:rtl w:val="true"/>
        </w:rPr>
        <w:t xml:space="preserve">, </w:t>
      </w:r>
      <w:r>
        <w:rPr>
          <w:rtl w:val="true"/>
        </w:rPr>
        <w:t>לשיטת המערער</w:t>
      </w:r>
      <w:r>
        <w:rPr>
          <w:rtl w:val="true"/>
        </w:rPr>
        <w:t xml:space="preserve">, </w:t>
      </w:r>
      <w:r>
        <w:rPr>
          <w:rtl w:val="true"/>
        </w:rPr>
        <w:t>להעליל עליו עלילת שווא ודחה את כולם</w:t>
      </w:r>
      <w:r>
        <w:rPr>
          <w:rtl w:val="true"/>
        </w:rPr>
        <w:t xml:space="preserve">. </w:t>
      </w:r>
      <w:r>
        <w:rPr>
          <w:rtl w:val="true"/>
        </w:rPr>
        <w:t>תחילה קבע כי מתהליך החשיפה ניכר חוסר רצונה של המתלוננת לחשוף את הפגיעה</w:t>
      </w:r>
      <w:r>
        <w:rPr>
          <w:rtl w:val="true"/>
        </w:rPr>
        <w:t xml:space="preserve">, </w:t>
      </w:r>
      <w:r>
        <w:rPr>
          <w:rtl w:val="true"/>
        </w:rPr>
        <w:t>זאת בשל הבושה הגדולה שחשה ומאחר שראתה עצמה שותפה למעשים</w:t>
      </w:r>
      <w:r>
        <w:rPr>
          <w:rtl w:val="true"/>
        </w:rPr>
        <w:t xml:space="preserve">. </w:t>
      </w:r>
      <w:r>
        <w:rPr>
          <w:rtl w:val="true"/>
        </w:rPr>
        <w:t>בית המשפט הוסיף ודחה מניעים אפשריים אחרים שהוצעו על</w:t>
      </w:r>
      <w:r>
        <w:rPr>
          <w:rtl w:val="true"/>
        </w:rPr>
        <w:t>-</w:t>
      </w:r>
      <w:r>
        <w:rPr>
          <w:rtl w:val="true"/>
        </w:rPr>
        <w:t>ידי ההגנה בהיותם בלתי רלוונטיים למועד הגשת התלונה או נעדרי ממשות</w:t>
      </w:r>
      <w:r>
        <w:rPr>
          <w:rtl w:val="true"/>
        </w:rPr>
        <w:t xml:space="preserve">. </w:t>
      </w:r>
      <w:r>
        <w:rPr>
          <w:rtl w:val="true"/>
        </w:rPr>
        <w:t>כך נדחו טענות המערער לפיהן למתלוננת היה מניע להעליל עליו בשל חששה מאבחון פסיכיאטר</w:t>
      </w:r>
      <w:r>
        <w:rPr>
          <w:rtl w:val="true"/>
        </w:rPr>
        <w:t>י</w:t>
      </w:r>
      <w:r>
        <w:rPr>
          <w:rtl w:val="true"/>
        </w:rPr>
        <w:t xml:space="preserve">; </w:t>
      </w:r>
      <w:r>
        <w:rPr>
          <w:rtl w:val="true"/>
        </w:rPr>
        <w:t>בשל חששה לחזור לבית המערער ואמה</w:t>
      </w:r>
      <w:r>
        <w:rPr>
          <w:rtl w:val="true"/>
        </w:rPr>
        <w:t xml:space="preserve">; </w:t>
      </w:r>
      <w:r>
        <w:rPr>
          <w:rtl w:val="true"/>
        </w:rPr>
        <w:t>ובשל רצונה לקנות לעצמה זכות למגורי קבע בבית אביה</w:t>
      </w:r>
      <w:r>
        <w:rPr>
          <w:rtl w:val="true"/>
        </w:rPr>
        <w:t xml:space="preserve">. </w:t>
      </w:r>
      <w:r>
        <w:rPr>
          <w:rtl w:val="true"/>
        </w:rPr>
        <w:t>בית המשפט קבע כי ממכלול הראיות עלה שהפגיעה נחשפה לאחר שהמתלוננת כבר ידעה שהיא רצויה בבית אביה</w:t>
      </w:r>
      <w:r>
        <w:rPr>
          <w:rtl w:val="true"/>
        </w:rPr>
        <w:t xml:space="preserve">; </w:t>
      </w:r>
      <w:r>
        <w:rPr>
          <w:rtl w:val="true"/>
        </w:rPr>
        <w:t>כשכבר התנהלו הליכים בבית המשפט לענייני משפחה באשר לבקשת המשמורת שהגיש אביה</w:t>
      </w:r>
      <w:r>
        <w:rPr>
          <w:rtl w:val="true"/>
        </w:rPr>
        <w:t xml:space="preserve">; </w:t>
      </w:r>
      <w:r>
        <w:rPr>
          <w:rtl w:val="true"/>
        </w:rPr>
        <w:t>ולאחר שידעה שלא תיאלץ לעבור אבחון פסיכיאטר</w:t>
      </w:r>
      <w:r>
        <w:rPr>
          <w:rtl w:val="true"/>
        </w:rPr>
        <w:t>י</w:t>
      </w:r>
      <w:r>
        <w:rPr>
          <w:rtl w:val="true"/>
        </w:rPr>
        <w:t xml:space="preserve"> אשר יכול היה להוביל לאשפוזה או להעברתה לפנימייה</w:t>
      </w:r>
      <w:r>
        <w:rPr>
          <w:rtl w:val="true"/>
        </w:rPr>
        <w:t xml:space="preserve">. </w:t>
      </w:r>
      <w:r>
        <w:rPr>
          <w:rtl w:val="true"/>
        </w:rPr>
        <w:t>כן נדחתה הטענה כי המתלוננת הוסתה על</w:t>
      </w:r>
      <w:r>
        <w:rPr>
          <w:rtl w:val="true"/>
        </w:rPr>
        <w:t>-</w:t>
      </w:r>
      <w:r>
        <w:rPr>
          <w:rtl w:val="true"/>
        </w:rPr>
        <w:t>ידי בני משפחתה להעליל על המערער</w:t>
      </w:r>
      <w:r>
        <w:rPr>
          <w:rtl w:val="true"/>
        </w:rPr>
        <w:t>.</w:t>
      </w:r>
    </w:p>
    <w:p>
      <w:pPr>
        <w:pStyle w:val="Ruller42"/>
        <w:ind w:end="0"/>
        <w:jc w:val="both"/>
        <w:rPr/>
      </w:pPr>
      <w:r>
        <w:rPr>
          <w:rtl w:val="true"/>
        </w:rPr>
      </w:r>
    </w:p>
    <w:p>
      <w:pPr>
        <w:pStyle w:val="Ruller43"/>
        <w:numPr>
          <w:ilvl w:val="0"/>
          <w:numId w:val="1"/>
        </w:numPr>
        <w:ind w:end="0"/>
        <w:jc w:val="both"/>
        <w:rPr>
          <w:rFonts w:ascii="Century" w:hAnsi="Century" w:cs="Century"/>
          <w:sz w:val="22"/>
        </w:rPr>
      </w:pPr>
      <w:r>
        <w:rPr>
          <w:rtl w:val="true"/>
        </w:rPr>
        <w:t>על יסוד ראיות אלה</w:t>
      </w:r>
      <w:r>
        <w:rPr>
          <w:rtl w:val="true"/>
        </w:rPr>
        <w:t xml:space="preserve">, </w:t>
      </w:r>
      <w:r>
        <w:rPr>
          <w:rtl w:val="true"/>
        </w:rPr>
        <w:t>קבע בית משפט קמא כי העבירות שיוחסו למערער בכתב האישום</w:t>
      </w:r>
      <w:r>
        <w:rPr>
          <w:rtl w:val="true"/>
        </w:rPr>
        <w:t xml:space="preserve">, </w:t>
      </w:r>
      <w:r>
        <w:rPr>
          <w:rtl w:val="true"/>
        </w:rPr>
        <w:t>למעט עבירת האינוס</w:t>
      </w:r>
      <w:r>
        <w:rPr>
          <w:rtl w:val="true"/>
        </w:rPr>
        <w:t xml:space="preserve">, </w:t>
      </w:r>
      <w:r>
        <w:rPr>
          <w:rtl w:val="true"/>
        </w:rPr>
        <w:t>הוכחו מעבר לספק סביר</w:t>
      </w:r>
      <w:r>
        <w:rPr>
          <w:rtl w:val="true"/>
        </w:rPr>
        <w:t xml:space="preserve">. </w:t>
      </w:r>
      <w:r>
        <w:rPr>
          <w:rtl w:val="true"/>
        </w:rPr>
        <w:t>להשלמת התמונה יצוין כי בית משפט קמא דחה את בקשת המאשימה להרשיע את המערער בעבירה נוספת שלא נכללה בכתב האישום</w:t>
      </w:r>
      <w:r>
        <w:rPr>
          <w:rtl w:val="true"/>
        </w:rPr>
        <w:t xml:space="preserve">, </w:t>
      </w:r>
      <w:r>
        <w:rPr>
          <w:rtl w:val="true"/>
        </w:rPr>
        <w:t xml:space="preserve">וזאת לפי </w:t>
      </w:r>
      <w:hyperlink r:id="rId27">
        <w:r>
          <w:rPr>
            <w:rStyle w:val="Hyperlink"/>
            <w:rtl w:val="true"/>
          </w:rPr>
          <w:t>סעיף</w:t>
        </w:r>
        <w:r>
          <w:rPr>
            <w:rStyle w:val="Hyperlink"/>
            <w:rtl w:val="true"/>
          </w:rPr>
          <w:t xml:space="preserve"> </w:t>
        </w:r>
        <w:r>
          <w:rPr>
            <w:rStyle w:val="Hyperlink"/>
          </w:rPr>
          <w:t>184</w:t>
        </w:r>
      </w:hyperlink>
      <w:r>
        <w:rPr>
          <w:rtl w:val="true"/>
        </w:rPr>
        <w:t xml:space="preserve"> </w:t>
      </w:r>
      <w:r>
        <w:rPr>
          <w:rtl w:val="true"/>
        </w:rPr>
        <w:t>ל</w:t>
      </w:r>
      <w:hyperlink r:id="rId2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במסגרת זאת</w:t>
      </w:r>
      <w:r>
        <w:rPr>
          <w:rtl w:val="true"/>
        </w:rPr>
        <w:t xml:space="preserve">, </w:t>
      </w:r>
      <w:r>
        <w:rPr>
          <w:rtl w:val="true"/>
        </w:rPr>
        <w:t>ביקשה המדינה להרשיע את המערער בעבירה נוספת של מעשה סדום</w:t>
      </w:r>
      <w:r>
        <w:rPr>
          <w:rtl w:val="true"/>
        </w:rPr>
        <w:t xml:space="preserve">, </w:t>
      </w:r>
      <w:r>
        <w:rPr>
          <w:rtl w:val="true"/>
        </w:rPr>
        <w:t>על יסוד עדות המתלוננת כי בתקופת האירועים המתוארים באישום השני החדיר המערער את איבר מינו לפיה</w:t>
      </w:r>
      <w:r>
        <w:rPr>
          <w:rtl w:val="true"/>
        </w:rPr>
        <w:t xml:space="preserve">. </w:t>
      </w:r>
      <w:r>
        <w:rPr>
          <w:rtl w:val="true"/>
        </w:rPr>
        <w:t>בקשה זו נדחתה על</w:t>
      </w:r>
      <w:r>
        <w:rPr>
          <w:rtl w:val="true"/>
        </w:rPr>
        <w:t>-</w:t>
      </w:r>
      <w:r>
        <w:rPr>
          <w:rtl w:val="true"/>
        </w:rPr>
        <w:t>ידי בית משפט קמא תוך שנקבע כי מדבריה של המתלוננת עלה ספק לגבי זיכרונה בהקשר זה וכן בשל העובדה שהדברים לא נאמרו בהודעותיה במשטרה</w:t>
      </w:r>
      <w:r>
        <w:rPr>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rFonts w:ascii="Century" w:hAnsi="Century" w:cs="Century"/>
          <w:sz w:val="22"/>
        </w:rPr>
      </w:pPr>
      <w:r>
        <w:rPr>
          <w:rtl w:val="true"/>
        </w:rPr>
        <w:tab/>
      </w:r>
      <w:r>
        <w:rPr>
          <w:rtl w:val="true"/>
        </w:rPr>
        <w:t>לנוכח האמור</w:t>
      </w:r>
      <w:r>
        <w:rPr>
          <w:rtl w:val="true"/>
        </w:rPr>
        <w:t xml:space="preserve">, </w:t>
      </w:r>
      <w:r>
        <w:rPr>
          <w:rtl w:val="true"/>
        </w:rPr>
        <w:t>הרשיע בית משפט קמא את המערער בכל העבירות שהוכחו כאמור וגזר את עונשו כמצוין לעיל</w:t>
      </w:r>
      <w:r>
        <w:rPr>
          <w:rtl w:val="true"/>
        </w:rPr>
        <w:t>.</w:t>
      </w:r>
    </w:p>
    <w:p>
      <w:pPr>
        <w:pStyle w:val="Ruller42"/>
        <w:ind w:end="0"/>
        <w:jc w:val="both"/>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מכאן</w:t>
      </w:r>
      <w:r>
        <w:rPr>
          <w:rFonts w:ascii="Century" w:hAnsi="Century" w:cs="Century"/>
          <w:sz w:val="22"/>
          <w:sz w:val="22"/>
          <w:rtl w:val="true"/>
        </w:rPr>
        <w:t xml:space="preserve"> </w:t>
      </w:r>
      <w:r>
        <w:rPr>
          <w:rFonts w:ascii="Century" w:hAnsi="Century" w:cs="Century"/>
          <w:sz w:val="22"/>
          <w:sz w:val="22"/>
          <w:rtl w:val="true"/>
        </w:rPr>
        <w:t>הערעור</w:t>
      </w:r>
      <w:r>
        <w:rPr>
          <w:rFonts w:cs="Century" w:ascii="Century" w:hAnsi="Century"/>
          <w:sz w:val="22"/>
          <w:rtl w:val="true"/>
        </w:rPr>
        <w:t xml:space="preserve">. </w:t>
      </w:r>
      <w:r>
        <w:rPr>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end="0"/>
        <w:jc w:val="both"/>
        <w:rPr/>
      </w:pPr>
      <w:r>
        <w:rPr>
          <w:rtl w:val="true"/>
        </w:rPr>
        <w:t>בגדרו של הערעור טוען המערער כי שגה בית משפט קמא בהערכתו את מהימנותה של המתלוננת</w:t>
      </w:r>
      <w:r>
        <w:rPr>
          <w:rtl w:val="true"/>
        </w:rPr>
        <w:t xml:space="preserve">. </w:t>
      </w:r>
      <w:r>
        <w:rPr>
          <w:rtl w:val="true"/>
        </w:rPr>
        <w:t>לשיטתו</w:t>
      </w:r>
      <w:r>
        <w:rPr>
          <w:rtl w:val="true"/>
        </w:rPr>
        <w:t xml:space="preserve">, </w:t>
      </w:r>
      <w:r>
        <w:rPr>
          <w:rtl w:val="true"/>
        </w:rPr>
        <w:t>לאורך עדותה נמצאו סתירות ושקרים רבים הן ביחס לעובדות הנוגעות לעבירות עצמן והן ביחס לעובדות שאינן קשורות לעבירות</w:t>
      </w:r>
      <w:r>
        <w:rPr>
          <w:rtl w:val="true"/>
        </w:rPr>
        <w:t xml:space="preserve">. </w:t>
      </w:r>
      <w:r>
        <w:rPr>
          <w:rtl w:val="true"/>
        </w:rPr>
        <w:t>סתירות ושקרים אלה מלמדים</w:t>
      </w:r>
      <w:r>
        <w:rPr>
          <w:rtl w:val="true"/>
        </w:rPr>
        <w:t xml:space="preserve">, </w:t>
      </w:r>
      <w:r>
        <w:rPr>
          <w:rtl w:val="true"/>
        </w:rPr>
        <w:t>לטענתו</w:t>
      </w:r>
      <w:r>
        <w:rPr>
          <w:rtl w:val="true"/>
        </w:rPr>
        <w:t xml:space="preserve">, </w:t>
      </w:r>
      <w:r>
        <w:rPr>
          <w:rtl w:val="true"/>
        </w:rPr>
        <w:t>כי עדותה מגמתית</w:t>
      </w:r>
      <w:r>
        <w:rPr>
          <w:rtl w:val="true"/>
        </w:rPr>
        <w:t xml:space="preserve">, </w:t>
      </w:r>
      <w:r>
        <w:rPr>
          <w:rtl w:val="true"/>
        </w:rPr>
        <w:t>כי המתלוננת לא העידה אמת וכי תלונתה היא תלונת שווא</w:t>
      </w:r>
      <w:r>
        <w:rPr>
          <w:rtl w:val="true"/>
        </w:rPr>
        <w:t xml:space="preserve">. </w:t>
      </w:r>
      <w:r>
        <w:rPr>
          <w:rtl w:val="true"/>
        </w:rPr>
        <w:t>המערער מוסיף וטוען כי גרסתה של המתלוננת לא הייתה עקבית ולא הייתה סבירה</w:t>
      </w:r>
      <w:r>
        <w:rPr>
          <w:rtl w:val="true"/>
        </w:rPr>
        <w:t xml:space="preserve">. </w:t>
      </w:r>
      <w:r>
        <w:rPr>
          <w:rtl w:val="true"/>
        </w:rPr>
        <w:t>כך למשל</w:t>
      </w:r>
      <w:r>
        <w:rPr>
          <w:rtl w:val="true"/>
        </w:rPr>
        <w:t xml:space="preserve">, </w:t>
      </w:r>
      <w:r>
        <w:rPr>
          <w:rtl w:val="true"/>
        </w:rPr>
        <w:t>נטען כי אין לקבל את גרסת המתלוננת שהמעשים נעשו בהסכמתה ולעיתים גם ביוזמתה ובעידודה</w:t>
      </w:r>
      <w:r>
        <w:rPr>
          <w:rtl w:val="true"/>
        </w:rPr>
        <w:t xml:space="preserve">. </w:t>
      </w:r>
      <w:r>
        <w:rPr>
          <w:rtl w:val="true"/>
        </w:rPr>
        <w:t xml:space="preserve">נטען כי גרסת המתלוננת בעניין זה הייתה גרסה </w:t>
      </w:r>
      <w:r>
        <w:rPr>
          <w:rtl w:val="true"/>
        </w:rPr>
        <w:t>"</w:t>
      </w:r>
      <w:r>
        <w:rPr>
          <w:rtl w:val="true"/>
        </w:rPr>
        <w:t>מתפתחת</w:t>
      </w:r>
      <w:r>
        <w:rPr>
          <w:rtl w:val="true"/>
        </w:rPr>
        <w:t xml:space="preserve">" </w:t>
      </w:r>
      <w:r>
        <w:rPr>
          <w:rtl w:val="true"/>
        </w:rPr>
        <w:t>שאינה תואמת את גילה בעת ביצוע המעשים ואינה סבירה</w:t>
      </w:r>
      <w:r>
        <w:rPr>
          <w:rtl w:val="true"/>
        </w:rPr>
        <w:t xml:space="preserve">. </w:t>
      </w:r>
      <w:r>
        <w:rPr>
          <w:rtl w:val="true"/>
        </w:rPr>
        <w:t>כן נטען כי זו אינה מתיישבת עם תוכן יומנה המעיד על קשריה הרעים עם המערער</w:t>
      </w:r>
      <w:r>
        <w:rPr>
          <w:rtl w:val="true"/>
        </w:rPr>
        <w:t xml:space="preserve">. </w:t>
      </w:r>
      <w:r>
        <w:rPr>
          <w:rtl w:val="true"/>
        </w:rPr>
        <w:t>המערער טוען כי שגה בית משפט קמא גם בכך שדחה את גרסת ההגנה ולפיה למתלוננת היו מניעים רבים להעליל על המערער</w:t>
      </w:r>
      <w:r>
        <w:rPr>
          <w:rtl w:val="true"/>
        </w:rPr>
        <w:t xml:space="preserve">. </w:t>
      </w:r>
      <w:r>
        <w:rPr>
          <w:rtl w:val="true"/>
        </w:rPr>
        <w:t>כמו כן</w:t>
      </w:r>
      <w:r>
        <w:rPr>
          <w:rtl w:val="true"/>
        </w:rPr>
        <w:t xml:space="preserve">, </w:t>
      </w:r>
      <w:r>
        <w:rPr>
          <w:rtl w:val="true"/>
        </w:rPr>
        <w:t>טוען המערער כי שגה בית המשפט בכך שלא נתן את המשקל הראוי לעדויותיהם של עדי ההגנה הדוד א</w:t>
      </w:r>
      <w:r>
        <w:rPr>
          <w:rtl w:val="true"/>
        </w:rPr>
        <w:t xml:space="preserve">' </w:t>
      </w:r>
      <w:r>
        <w:rPr>
          <w:rtl w:val="true"/>
        </w:rPr>
        <w:t>ב</w:t>
      </w:r>
      <w:r>
        <w:rPr>
          <w:rtl w:val="true"/>
        </w:rPr>
        <w:t xml:space="preserve">' </w:t>
      </w:r>
      <w:r>
        <w:rPr>
          <w:rtl w:val="true"/>
        </w:rPr>
        <w:t>והדודה א</w:t>
      </w:r>
      <w:r>
        <w:rPr>
          <w:rtl w:val="true"/>
        </w:rPr>
        <w:t xml:space="preserve">' </w:t>
      </w:r>
      <w:r>
        <w:rPr>
          <w:rtl w:val="true"/>
        </w:rPr>
        <w:t>ב</w:t>
      </w:r>
      <w:r>
        <w:rPr>
          <w:rtl w:val="true"/>
        </w:rPr>
        <w:t xml:space="preserve">' </w:t>
      </w:r>
      <w:r>
        <w:rPr>
          <w:rtl w:val="true"/>
        </w:rPr>
        <w:t>אשר עדותם מחזקת את המסקנה כי המתלוננת איננה דוברת אמת</w:t>
      </w:r>
      <w:r>
        <w:rPr>
          <w:rtl w:val="true"/>
        </w:rPr>
        <w:t xml:space="preserve">. </w:t>
      </w:r>
      <w:r>
        <w:rPr>
          <w:rtl w:val="true"/>
        </w:rPr>
        <w:t>המערער מבקש אפוא שנקבל את ערעורו ונזכה אותו מהעבירות בהן הוא הורשע</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מנגד</w:t>
      </w:r>
      <w:r>
        <w:rPr>
          <w:rtl w:val="true"/>
        </w:rPr>
        <w:t xml:space="preserve">, </w:t>
      </w:r>
      <w:r>
        <w:rPr>
          <w:rtl w:val="true"/>
        </w:rPr>
        <w:t>המדינה סומכת את ידיה על פסק הדין קמא ועל נימוקיו וטוענת כי דין הערעור להידחות</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end="0"/>
        <w:jc w:val="both"/>
        <w:rPr/>
      </w:pPr>
      <w:r>
        <w:rPr>
          <w:rtl w:val="true"/>
        </w:rPr>
        <w:t xml:space="preserve">לאחר </w:t>
      </w:r>
      <w:r>
        <w:rPr>
          <w:rtl w:val="true"/>
        </w:rPr>
        <w:t>בחינת נימוקי הערעור</w:t>
      </w:r>
      <w:r>
        <w:rPr>
          <w:rtl w:val="true"/>
        </w:rPr>
        <w:t xml:space="preserve">, </w:t>
      </w:r>
      <w:r>
        <w:rPr>
          <w:rtl w:val="true"/>
        </w:rPr>
        <w:t>עיון בתיק בית משפט קמא ושמיעת טיעוני הצדדים בדיון שהתקיים לפנינו</w:t>
      </w:r>
      <w:r>
        <w:rPr>
          <w:rtl w:val="true"/>
        </w:rPr>
        <w:t xml:space="preserve">, </w:t>
      </w:r>
      <w:r>
        <w:rPr>
          <w:rtl w:val="true"/>
        </w:rPr>
        <w:t>הגעתי</w:t>
      </w:r>
      <w:r>
        <w:rPr>
          <w:rtl w:val="true"/>
        </w:rPr>
        <w:t xml:space="preserve"> לכלל מסקנה כי דין</w:t>
      </w:r>
      <w:r>
        <w:rPr>
          <w:rtl w:val="true"/>
        </w:rPr>
        <w:t xml:space="preserve"> הערעור להידחות</w:t>
      </w:r>
      <w:r>
        <w:rPr>
          <w:rtl w:val="true"/>
        </w:rPr>
        <w:t xml:space="preserve">. </w:t>
      </w:r>
    </w:p>
    <w:p>
      <w:pPr>
        <w:pStyle w:val="Ruller42"/>
        <w:ind w:end="0"/>
        <w:jc w:val="both"/>
        <w:rPr/>
      </w:pPr>
      <w:r>
        <w:rPr>
          <w:rtl w:val="true"/>
        </w:rPr>
      </w:r>
    </w:p>
    <w:p>
      <w:pPr>
        <w:pStyle w:val="Ruller43"/>
        <w:numPr>
          <w:ilvl w:val="0"/>
          <w:numId w:val="1"/>
        </w:numPr>
        <w:ind w:end="0"/>
        <w:jc w:val="both"/>
        <w:rPr/>
      </w:pPr>
      <w:r>
        <w:rPr>
          <w:rFonts w:eastAsia="Garamond"/>
          <w:rtl w:val="true"/>
        </w:rPr>
        <w:t xml:space="preserve"> </w:t>
      </w:r>
      <w:r>
        <w:rPr>
          <w:rtl w:val="true"/>
        </w:rPr>
        <w:t>המערער חוזר על עיקרי הטענות שנטענו לפני בית משפט קמא ונדחו בהכרעת דין מנומקת ומפורטת ביותר</w:t>
      </w:r>
      <w:r>
        <w:rPr>
          <w:rtl w:val="true"/>
        </w:rPr>
        <w:t xml:space="preserve">. </w:t>
      </w:r>
      <w:r>
        <w:rPr>
          <w:rtl w:val="true"/>
        </w:rPr>
        <w:t>עיקר טענותיו מכוונות כלפי ממצאים עובדתיים וקביעות מהימנות שקבע בית משפט קמא</w:t>
      </w:r>
      <w:r>
        <w:rPr>
          <w:rtl w:val="true"/>
        </w:rPr>
        <w:t xml:space="preserve">. </w:t>
      </w:r>
      <w:r>
        <w:rPr>
          <w:rtl w:val="true"/>
        </w:rPr>
        <w:t>ואולם</w:t>
      </w:r>
      <w:r>
        <w:rPr>
          <w:rtl w:val="true"/>
        </w:rPr>
        <w:t xml:space="preserve">, </w:t>
      </w:r>
      <w:r>
        <w:rPr>
          <w:rFonts w:ascii="FrankRuehl" w:hAnsi="FrankRuehl" w:cs="FrankRuehl"/>
          <w:color w:val="000000"/>
          <w:sz w:val="28"/>
          <w:sz w:val="28"/>
          <w:rtl w:val="true"/>
        </w:rPr>
        <w:t xml:space="preserve">הלכה היא כי ערכאת הערעור אינה נוהגת להתערב בממצאי עובדה ומהימנות </w:t>
      </w:r>
      <w:r>
        <w:rPr>
          <w:rFonts w:ascii="FrankRuehl" w:hAnsi="FrankRuehl" w:cs="FrankRuehl"/>
          <w:color w:val="000000"/>
          <w:sz w:val="28"/>
          <w:sz w:val="28"/>
          <w:rtl w:val="true"/>
        </w:rPr>
        <w:t>אלא במקרים נדירים ויוצאי דופן</w:t>
      </w:r>
      <w:r>
        <w:rPr>
          <w:rFonts w:cs="FrankRuehl" w:ascii="FrankRuehl" w:hAnsi="FrankRuehl"/>
          <w:color w:val="000000"/>
          <w:sz w:val="28"/>
          <w:rtl w:val="true"/>
        </w:rPr>
        <w:t xml:space="preserve">. </w:t>
      </w:r>
      <w:r>
        <w:rPr>
          <w:rFonts w:ascii="FrankRuehl" w:hAnsi="FrankRuehl" w:cs="FrankRuehl"/>
          <w:color w:val="000000"/>
          <w:sz w:val="28"/>
          <w:sz w:val="28"/>
          <w:rtl w:val="true"/>
        </w:rPr>
        <w:t>זאת לנוכח יתרונה של הערכאה הדיונית בהערכת מהימנות העדים</w:t>
      </w:r>
      <w:r>
        <w:rPr>
          <w:rFonts w:cs="FrankRuehl" w:ascii="FrankRuehl" w:hAnsi="FrankRuehl"/>
          <w:color w:val="000000"/>
          <w:sz w:val="28"/>
          <w:rtl w:val="true"/>
        </w:rPr>
        <w:t xml:space="preserve">, </w:t>
      </w:r>
      <w:r>
        <w:rPr>
          <w:rFonts w:ascii="FrankRuehl" w:hAnsi="FrankRuehl" w:cs="FrankRuehl"/>
          <w:color w:val="000000"/>
          <w:sz w:val="28"/>
          <w:sz w:val="28"/>
          <w:rtl w:val="true"/>
        </w:rPr>
        <w:t>על בסיס התרשמותה הישירה והבלתי אמצעית מהם</w:t>
      </w:r>
      <w:r>
        <w:rPr>
          <w:rFonts w:cs="FrankRuehl" w:ascii="FrankRuehl" w:hAnsi="FrankRuehl"/>
          <w:color w:val="000000"/>
          <w:sz w:val="28"/>
          <w:rtl w:val="true"/>
        </w:rPr>
        <w:t xml:space="preserve">, </w:t>
      </w:r>
      <w:r>
        <w:rPr>
          <w:rFonts w:ascii="FrankRuehl" w:hAnsi="FrankRuehl" w:cs="FrankRuehl"/>
          <w:color w:val="000000"/>
          <w:sz w:val="28"/>
          <w:sz w:val="28"/>
          <w:rtl w:val="true"/>
        </w:rPr>
        <w:t>מ</w:t>
      </w:r>
      <w:r>
        <w:rPr>
          <w:rFonts w:ascii="FrankRuehl" w:hAnsi="FrankRuehl" w:cs="FrankRuehl"/>
          <w:color w:val="000000"/>
          <w:sz w:val="28"/>
          <w:sz w:val="28"/>
          <w:rtl w:val="true"/>
        </w:rPr>
        <w:t>אופן מסירת העדות</w:t>
      </w:r>
      <w:r>
        <w:rPr>
          <w:rFonts w:cs="FrankRuehl" w:ascii="FrankRuehl" w:hAnsi="FrankRuehl"/>
          <w:color w:val="000000"/>
          <w:sz w:val="28"/>
          <w:rtl w:val="true"/>
        </w:rPr>
        <w:t xml:space="preserve">, </w:t>
      </w:r>
      <w:r>
        <w:rPr>
          <w:rFonts w:ascii="FrankRuehl" w:hAnsi="FrankRuehl" w:cs="FrankRuehl"/>
          <w:color w:val="000000"/>
          <w:sz w:val="28"/>
          <w:sz w:val="28"/>
          <w:rtl w:val="true"/>
        </w:rPr>
        <w:t>מהתנהגותם</w:t>
      </w:r>
      <w:r>
        <w:rPr>
          <w:rFonts w:ascii="FrankRuehl" w:hAnsi="FrankRuehl" w:cs="FrankRuehl"/>
          <w:color w:val="000000"/>
          <w:sz w:val="28"/>
          <w:sz w:val="28"/>
          <w:rtl w:val="true"/>
        </w:rPr>
        <w:t xml:space="preserve"> בעת מתן העדות ומאותות האמת בעדותם </w:t>
      </w:r>
      <w:r>
        <w:rPr>
          <w:rFonts w:cs="FrankRuehl" w:ascii="FrankRuehl" w:hAnsi="FrankRuehl"/>
          <w:color w:val="000000"/>
          <w:sz w:val="28"/>
          <w:rtl w:val="true"/>
        </w:rPr>
        <w:t>(</w:t>
      </w:r>
      <w:r>
        <w:rPr>
          <w:rFonts w:ascii="FrankRuehl" w:hAnsi="FrankRuehl" w:cs="FrankRuehl"/>
          <w:color w:val="000000"/>
          <w:sz w:val="28"/>
          <w:sz w:val="28"/>
          <w:rtl w:val="true"/>
        </w:rPr>
        <w:t>ראו</w:t>
      </w:r>
      <w:r>
        <w:rPr>
          <w:rFonts w:cs="FrankRuehl" w:ascii="FrankRuehl" w:hAnsi="FrankRuehl"/>
          <w:color w:val="000000"/>
          <w:sz w:val="28"/>
          <w:rtl w:val="true"/>
        </w:rPr>
        <w:t xml:space="preserve">: </w:t>
      </w:r>
      <w:hyperlink r:id="rId29">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6643/05</w:t>
        </w:r>
      </w:hyperlink>
      <w:r>
        <w:rPr>
          <w:rFonts w:cs="FrankRuehl" w:ascii="FrankRuehl" w:hAnsi="FrankRuehl"/>
          <w:color w:val="000000"/>
          <w:sz w:val="28"/>
          <w:rtl w:val="true"/>
        </w:rPr>
        <w:t xml:space="preserve"> </w:t>
      </w:r>
      <w:r>
        <w:rPr>
          <w:rFonts w:ascii="Miriam" w:hAnsi="Miriam" w:cs="Miriam"/>
          <w:color w:val="000000"/>
          <w:szCs w:val="24"/>
          <w:rtl w:val="true"/>
        </w:rPr>
        <w:t>מדינת ישראל נ</w:t>
      </w:r>
      <w:r>
        <w:rPr>
          <w:rFonts w:cs="Miriam" w:ascii="Miriam" w:hAnsi="Miriam"/>
          <w:color w:val="000000"/>
          <w:szCs w:val="24"/>
          <w:rtl w:val="true"/>
        </w:rPr>
        <w:t xml:space="preserve">' </w:t>
      </w:r>
      <w:r>
        <w:rPr>
          <w:rFonts w:ascii="Miriam" w:hAnsi="Miriam" w:cs="Miriam"/>
          <w:color w:val="000000"/>
          <w:szCs w:val="24"/>
          <w:rtl w:val="true"/>
        </w:rPr>
        <w:t>פלוני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6</w:t>
      </w:r>
      <w:r>
        <w:rPr>
          <w:rFonts w:cs="FrankRuehl" w:ascii="FrankRuehl" w:hAnsi="FrankRuehl"/>
          <w:color w:val="000000"/>
          <w:sz w:val="28"/>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FrankRuehl" w:ascii="FrankRuehl" w:hAnsi="FrankRuehl"/>
          <w:color w:val="000000"/>
          <w:sz w:val="28"/>
          <w:rtl w:val="true"/>
        </w:rPr>
        <w:t>(</w:t>
      </w:r>
      <w:r>
        <w:rPr>
          <w:rFonts w:cs="FrankRuehl" w:ascii="FrankRuehl" w:hAnsi="FrankRuehl"/>
          <w:color w:val="000000"/>
          <w:sz w:val="28"/>
        </w:rPr>
        <w:t>3.7.2007</w:t>
      </w:r>
      <w:r>
        <w:rPr>
          <w:rFonts w:cs="FrankRuehl" w:ascii="FrankRuehl" w:hAnsi="FrankRuehl"/>
          <w:color w:val="000000"/>
          <w:sz w:val="28"/>
          <w:rtl w:val="true"/>
        </w:rPr>
        <w:t xml:space="preserve">); </w:t>
      </w:r>
      <w:hyperlink r:id="rId30">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1193/16</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סונגו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29</w:t>
      </w:r>
      <w:r>
        <w:rPr>
          <w:rFonts w:cs="FrankRuehl" w:ascii="FrankRuehl" w:hAnsi="FrankRuehl"/>
          <w:color w:val="000000"/>
          <w:sz w:val="28"/>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FrankRuehl" w:ascii="FrankRuehl" w:hAnsi="FrankRuehl"/>
          <w:color w:val="000000"/>
          <w:sz w:val="28"/>
          <w:rtl w:val="true"/>
        </w:rPr>
        <w:t>(</w:t>
      </w:r>
      <w:r>
        <w:rPr>
          <w:rFonts w:cs="FrankRuehl" w:ascii="FrankRuehl" w:hAnsi="FrankRuehl"/>
          <w:color w:val="000000"/>
          <w:sz w:val="28"/>
        </w:rPr>
        <w:t>17.5.2018</w:t>
      </w:r>
      <w:r>
        <w:rPr>
          <w:rFonts w:cs="FrankRuehl" w:ascii="FrankRuehl" w:hAnsi="FrankRuehl"/>
          <w:color w:val="000000"/>
          <w:sz w:val="28"/>
          <w:rtl w:val="true"/>
        </w:rPr>
        <w:t xml:space="preserve">); </w:t>
      </w:r>
      <w:hyperlink r:id="rId31">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4707/20</w:t>
        </w:r>
      </w:hyperlink>
      <w:r>
        <w:rPr>
          <w:rFonts w:cs="FrankRuehl" w:ascii="FrankRuehl" w:hAnsi="FrankRuehl"/>
          <w:color w:val="000000"/>
          <w:sz w:val="28"/>
          <w:rtl w:val="true"/>
        </w:rPr>
        <w:t xml:space="preserve"> </w:t>
      </w:r>
      <w:r>
        <w:rPr>
          <w:rFonts w:ascii="Miriam" w:hAnsi="Miriam" w:cs="Miriam"/>
          <w:color w:val="000000"/>
          <w:szCs w:val="24"/>
          <w:rtl w:val="true"/>
        </w:rPr>
        <w:t>פלוני נ</w:t>
      </w:r>
      <w:r>
        <w:rPr>
          <w:rFonts w:cs="Miriam" w:ascii="Miriam" w:hAnsi="Miriam"/>
          <w:color w:val="000000"/>
          <w:szCs w:val="24"/>
          <w:rtl w:val="true"/>
        </w:rPr>
        <w:t xml:space="preserve">' </w:t>
      </w:r>
      <w:r>
        <w:rPr>
          <w:rFonts w:ascii="Miriam" w:hAnsi="Miriam" w:cs="Miriam"/>
          <w:color w:val="000000"/>
          <w:szCs w:val="24"/>
          <w:rtl w:val="true"/>
        </w:rPr>
        <w:t>מדינת ישראל</w:t>
      </w:r>
      <w:r>
        <w:rPr>
          <w:rFonts w:cs="Century" w:ascii="Century" w:hAnsi="Century"/>
          <w:sz w:val="22"/>
          <w:rtl w:val="true"/>
        </w:rPr>
        <w:t>,</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16</w:t>
      </w:r>
      <w:r>
        <w:rPr>
          <w:rFonts w:cs="FrankRuehl" w:ascii="FrankRuehl" w:hAnsi="FrankRuehl"/>
          <w:color w:val="000000"/>
          <w:sz w:val="28"/>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FrankRuehl" w:ascii="FrankRuehl" w:hAnsi="FrankRuehl"/>
          <w:color w:val="000000"/>
          <w:sz w:val="28"/>
          <w:rtl w:val="true"/>
        </w:rPr>
        <w:t>(</w:t>
      </w:r>
      <w:r>
        <w:rPr>
          <w:rFonts w:cs="FrankRuehl" w:ascii="FrankRuehl" w:hAnsi="FrankRuehl"/>
          <w:color w:val="000000"/>
          <w:sz w:val="28"/>
        </w:rPr>
        <w:t>7.2.2022</w:t>
      </w:r>
      <w:r>
        <w:rPr>
          <w:rFonts w:cs="FrankRuehl" w:ascii="FrankRuehl" w:hAnsi="FrankRuehl"/>
          <w:color w:val="000000"/>
          <w:sz w:val="28"/>
          <w:rtl w:val="true"/>
        </w:rPr>
        <w:t xml:space="preserve">) </w:t>
      </w:r>
      <w:r>
        <w:rPr>
          <w:rFonts w:ascii="FrankRuehl" w:hAnsi="FrankRuehl" w:cs="FrankRuehl"/>
          <w:color w:val="000000"/>
          <w:sz w:val="28"/>
          <w:sz w:val="28"/>
          <w:rtl w:val="true"/>
        </w:rPr>
        <w:t>ורבים אחרים</w:t>
      </w:r>
      <w:r>
        <w:rPr>
          <w:rFonts w:cs="FrankRuehl" w:ascii="FrankRuehl" w:hAnsi="FrankRuehl"/>
          <w:color w:val="000000"/>
          <w:sz w:val="28"/>
          <w:rtl w:val="true"/>
        </w:rPr>
        <w:t xml:space="preserve">). </w:t>
      </w:r>
      <w:r>
        <w:rPr>
          <w:rtl w:val="true"/>
        </w:rPr>
        <w:t>הלכה זו ישימה גם כאשר מדובר בערעור על קביעות עובדה ומהימנות בעבירות מין</w:t>
      </w:r>
      <w:r>
        <w:rPr>
          <w:rtl w:val="true"/>
        </w:rPr>
        <w:t xml:space="preserve">, </w:t>
      </w:r>
      <w:r>
        <w:rPr>
          <w:rtl w:val="true"/>
        </w:rPr>
        <w:t>ובמיוחד עת מדובר בעבירות מין במשפחה</w:t>
      </w:r>
      <w:r>
        <w:rPr>
          <w:rtl w:val="true"/>
        </w:rPr>
        <w:t xml:space="preserve">, </w:t>
      </w:r>
      <w:r>
        <w:rPr>
          <w:rFonts w:ascii="FrankRuehl" w:hAnsi="FrankRuehl" w:cs="FrankRuehl"/>
          <w:color w:val="000000"/>
          <w:sz w:val="28"/>
          <w:sz w:val="28"/>
          <w:shd w:fill="FFFFFF" w:val="clear"/>
          <w:rtl w:val="true"/>
        </w:rPr>
        <w:t>ש</w:t>
      </w:r>
      <w:r>
        <w:rPr>
          <w:rFonts w:ascii="FrankRuehl" w:hAnsi="FrankRuehl" w:cs="FrankRuehl"/>
          <w:color w:val="000000"/>
          <w:sz w:val="28"/>
          <w:sz w:val="28"/>
          <w:shd w:fill="FFFFFF" w:val="clear"/>
          <w:rtl w:val="true"/>
        </w:rPr>
        <w:t xml:space="preserve">בהן קביעת הממצאים מתבססת </w:t>
      </w:r>
      <w:r>
        <w:rPr>
          <w:rFonts w:ascii="FrankRuehl" w:hAnsi="FrankRuehl" w:cs="FrankRuehl"/>
          <w:color w:val="000000"/>
          <w:sz w:val="28"/>
          <w:sz w:val="28"/>
          <w:shd w:fill="FFFFFF" w:val="clear"/>
          <w:rtl w:val="true"/>
        </w:rPr>
        <w:t>בעיקרה על עדויות הנפגע והפוגע ועל התרשמות הערכאה הדיונית מאמינותן</w:t>
      </w:r>
      <w:r>
        <w:rPr>
          <w:rFonts w:ascii="FrankRuehl" w:hAnsi="FrankRuehl" w:cs="FrankRuehl"/>
          <w:color w:val="000000"/>
          <w:sz w:val="28"/>
          <w:sz w:val="28"/>
          <w:rtl w:val="true"/>
        </w:rPr>
        <w:t xml:space="preserve"> ומהימנותן</w:t>
      </w:r>
      <w:r>
        <w:rPr>
          <w:rtl w:val="true"/>
        </w:rPr>
        <w:t xml:space="preserve"> </w:t>
      </w:r>
      <w:r>
        <w:rPr>
          <w:rtl w:val="true"/>
        </w:rPr>
        <w:t>(</w:t>
      </w:r>
      <w:r>
        <w:rPr>
          <w:rtl w:val="true"/>
        </w:rPr>
        <w:t>ראו</w:t>
      </w:r>
      <w:r>
        <w:rPr>
          <w:rtl w:val="true"/>
        </w:rPr>
        <w:t xml:space="preserve">: </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5832/20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17</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22.8.2021</w:t>
      </w:r>
      <w:r>
        <w:rPr>
          <w:rtl w:val="true"/>
        </w:rPr>
        <w:t xml:space="preserve">)). </w:t>
      </w:r>
    </w:p>
    <w:p>
      <w:pPr>
        <w:pStyle w:val="Ruller42"/>
        <w:ind w:end="0"/>
        <w:jc w:val="both"/>
        <w:rPr/>
      </w:pPr>
      <w:r>
        <w:rPr>
          <w:rtl w:val="true"/>
        </w:rPr>
      </w:r>
    </w:p>
    <w:p>
      <w:pPr>
        <w:pStyle w:val="Ruller43"/>
        <w:numPr>
          <w:ilvl w:val="0"/>
          <w:numId w:val="1"/>
        </w:numPr>
        <w:ind w:end="0"/>
        <w:jc w:val="both"/>
        <w:rPr>
          <w:rFonts w:ascii="Century" w:hAnsi="Century" w:cs="Century"/>
          <w:sz w:val="22"/>
        </w:rPr>
      </w:pPr>
      <w:r>
        <w:rPr>
          <w:rFonts w:ascii="Century" w:hAnsi="Century" w:cs="Century"/>
          <w:sz w:val="22"/>
          <w:sz w:val="22"/>
          <w:rtl w:val="true"/>
        </w:rPr>
        <w:t>כאמור</w:t>
      </w:r>
      <w:r>
        <w:rPr>
          <w:rFonts w:cs="Century" w:ascii="Century" w:hAnsi="Century"/>
          <w:sz w:val="22"/>
          <w:rtl w:val="true"/>
        </w:rPr>
        <w:t xml:space="preserve">, </w:t>
      </w:r>
      <w:r>
        <w:rPr>
          <w:rFonts w:ascii="Century" w:hAnsi="Century" w:cs="Century"/>
          <w:sz w:val="22"/>
          <w:sz w:val="22"/>
          <w:rtl w:val="true"/>
        </w:rPr>
        <w:t>בית משפט קמא התרשם מעדותה של המתלוננת וקבע כי היא הותירה רושם מהימן ביותר</w:t>
      </w:r>
      <w:r>
        <w:rPr>
          <w:rFonts w:cs="Century" w:ascii="Century" w:hAnsi="Century"/>
          <w:sz w:val="22"/>
          <w:rtl w:val="true"/>
        </w:rPr>
        <w:t xml:space="preserve">, </w:t>
      </w:r>
      <w:r>
        <w:rPr>
          <w:rFonts w:ascii="Century" w:hAnsi="Century" w:cs="Century"/>
          <w:sz w:val="22"/>
          <w:sz w:val="22"/>
          <w:rtl w:val="true"/>
        </w:rPr>
        <w:t>כי גרסתה עקבית ומאוזנת וכי לא נמצאו בה סתירות מהותיות</w:t>
      </w:r>
      <w:r>
        <w:rPr>
          <w:rFonts w:cs="Century" w:ascii="Century" w:hAnsi="Century"/>
          <w:sz w:val="22"/>
          <w:rtl w:val="true"/>
        </w:rPr>
        <w:t xml:space="preserve">. </w:t>
      </w:r>
      <w:r>
        <w:rPr>
          <w:rFonts w:ascii="Century" w:hAnsi="Century" w:cs="Century"/>
          <w:sz w:val="22"/>
          <w:sz w:val="22"/>
          <w:rtl w:val="true"/>
        </w:rPr>
        <w:t>את מסקנותיו אלה עיגן בית משפט קמא בעובדות הבאות</w:t>
      </w:r>
      <w:r>
        <w:rPr>
          <w:rFonts w:cs="Century" w:ascii="Century" w:hAnsi="Century"/>
          <w:sz w:val="22"/>
          <w:rtl w:val="true"/>
        </w:rPr>
        <w:t xml:space="preserve">: </w:t>
      </w:r>
      <w:r>
        <w:rPr>
          <w:rFonts w:ascii="Century" w:hAnsi="Century" w:cs="Century"/>
          <w:sz w:val="22"/>
          <w:sz w:val="22"/>
          <w:rtl w:val="true"/>
        </w:rPr>
        <w:t>עקביותה של המתלוננת בתיאור עיקרם של המעשים</w:t>
      </w:r>
      <w:r>
        <w:rPr>
          <w:rFonts w:cs="Century" w:ascii="Century" w:hAnsi="Century"/>
          <w:sz w:val="22"/>
          <w:rtl w:val="true"/>
        </w:rPr>
        <w:t xml:space="preserve">; </w:t>
      </w:r>
      <w:r>
        <w:rPr>
          <w:rFonts w:ascii="Century" w:hAnsi="Century" w:cs="Century"/>
          <w:sz w:val="22"/>
          <w:sz w:val="22"/>
          <w:rtl w:val="true"/>
        </w:rPr>
        <w:t xml:space="preserve">המתלוננת פרשה את גרסתה תוך התייחסות לאירועים חיצוניים למעשים המיניים שעיגנו את האירוע המיני בזמן ובמקום </w:t>
      </w:r>
      <w:r>
        <w:rPr>
          <w:rFonts w:cs="Century" w:ascii="Century" w:hAnsi="Century"/>
          <w:sz w:val="22"/>
          <w:rtl w:val="true"/>
        </w:rPr>
        <w:t>(</w:t>
      </w:r>
      <w:r>
        <w:rPr>
          <w:rFonts w:ascii="Century" w:hAnsi="Century" w:cs="Century"/>
          <w:sz w:val="22"/>
          <w:sz w:val="22"/>
          <w:rtl w:val="true"/>
        </w:rPr>
        <w:t>אירועים שאירעו בעת נסיעת אמה לחברתה מחוץ לעיר</w:t>
      </w:r>
      <w:r>
        <w:rPr>
          <w:rFonts w:cs="Century" w:ascii="Century" w:hAnsi="Century"/>
          <w:sz w:val="22"/>
          <w:rtl w:val="true"/>
        </w:rPr>
        <w:t xml:space="preserve">, </w:t>
      </w:r>
      <w:r>
        <w:rPr>
          <w:rFonts w:ascii="Century" w:hAnsi="Century" w:cs="Century"/>
          <w:sz w:val="22"/>
          <w:sz w:val="22"/>
          <w:rtl w:val="true"/>
        </w:rPr>
        <w:t>אירוע שאירע בעת יציאת האם לפארק עם אחותה הקטנה</w:t>
      </w:r>
      <w:r>
        <w:rPr>
          <w:rFonts w:cs="Century" w:ascii="Century" w:hAnsi="Century"/>
          <w:sz w:val="22"/>
          <w:rtl w:val="true"/>
        </w:rPr>
        <w:t xml:space="preserve">); </w:t>
      </w:r>
      <w:r>
        <w:rPr>
          <w:rFonts w:ascii="Century" w:hAnsi="Century" w:cs="Century"/>
          <w:sz w:val="22"/>
          <w:sz w:val="22"/>
          <w:rtl w:val="true"/>
        </w:rPr>
        <w:t>המתלוננת לא העצימה את הפגיעות</w:t>
      </w:r>
      <w:r>
        <w:rPr>
          <w:rFonts w:cs="Century" w:ascii="Century" w:hAnsi="Century"/>
          <w:sz w:val="22"/>
          <w:rtl w:val="true"/>
        </w:rPr>
        <w:t xml:space="preserve">, </w:t>
      </w:r>
      <w:r>
        <w:rPr>
          <w:rFonts w:ascii="Century" w:hAnsi="Century" w:cs="Century"/>
          <w:sz w:val="22"/>
          <w:sz w:val="22"/>
          <w:rtl w:val="true"/>
        </w:rPr>
        <w:t>ציינה כי חלק מן המעשים בוצעו ביוזמתה</w:t>
      </w:r>
      <w:r>
        <w:rPr>
          <w:rFonts w:cs="Century" w:ascii="Century" w:hAnsi="Century"/>
          <w:sz w:val="22"/>
          <w:rtl w:val="true"/>
        </w:rPr>
        <w:t xml:space="preserve">, </w:t>
      </w:r>
      <w:r>
        <w:rPr>
          <w:rFonts w:ascii="Century" w:hAnsi="Century" w:cs="Century"/>
          <w:sz w:val="22"/>
          <w:sz w:val="22"/>
          <w:rtl w:val="true"/>
        </w:rPr>
        <w:t xml:space="preserve">ואף העידה על רצונו של המערער להפסיק את המעשים </w:t>
      </w:r>
      <w:r>
        <w:rPr>
          <w:rFonts w:cs="Century" w:ascii="Century" w:hAnsi="Century"/>
          <w:sz w:val="22"/>
          <w:rtl w:val="true"/>
        </w:rPr>
        <w:t>(</w:t>
      </w:r>
      <w:r>
        <w:rPr>
          <w:rFonts w:cs="Miriam" w:ascii="Century" w:hAnsi="Century"/>
          <w:b/>
          <w:spacing w:val="0"/>
          <w:sz w:val="22"/>
          <w:szCs w:val="24"/>
          <w:rtl w:val="true"/>
        </w:rPr>
        <w:t>"</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זוכרת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להפסיק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אחרונה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אחרונה</w:t>
      </w:r>
      <w:r>
        <w:rPr>
          <w:rFonts w:cs="Miriam" w:ascii="Century" w:hAnsi="Century"/>
          <w:b/>
          <w:spacing w:val="0"/>
          <w:sz w:val="22"/>
          <w:szCs w:val="24"/>
          <w:rtl w:val="true"/>
        </w:rPr>
        <w:t>"</w:t>
      </w:r>
      <w:r>
        <w:rPr>
          <w:rFonts w:cs="Century" w:ascii="Century" w:hAnsi="Century"/>
          <w:sz w:val="22"/>
          <w:rtl w:val="true"/>
        </w:rPr>
        <w:t xml:space="preserve"> </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 xml:space="preserve">עמוד </w:t>
      </w:r>
      <w:r>
        <w:rPr>
          <w:rFonts w:cs="Century" w:ascii="Century" w:hAnsi="Century"/>
          <w:sz w:val="22"/>
        </w:rPr>
        <w:t>154</w:t>
      </w:r>
      <w:r>
        <w:rPr>
          <w:rFonts w:cs="Century" w:ascii="Century" w:hAnsi="Century"/>
          <w:sz w:val="22"/>
          <w:rtl w:val="true"/>
        </w:rPr>
        <w:t xml:space="preserve"> </w:t>
      </w:r>
      <w:r>
        <w:rPr>
          <w:rFonts w:ascii="Century" w:hAnsi="Century" w:cs="Century"/>
          <w:sz w:val="22"/>
          <w:sz w:val="22"/>
          <w:rtl w:val="true"/>
        </w:rPr>
        <w:t xml:space="preserve">לפרוטוקול בשורות </w:t>
      </w:r>
      <w:r>
        <w:rPr>
          <w:rFonts w:cs="Century" w:ascii="Century" w:hAnsi="Century"/>
          <w:sz w:val="22"/>
        </w:rPr>
        <w:t>32-31</w:t>
      </w:r>
      <w:r>
        <w:rPr>
          <w:rFonts w:cs="Century" w:ascii="Century" w:hAnsi="Century"/>
          <w:sz w:val="22"/>
          <w:rtl w:val="true"/>
        </w:rPr>
        <w:t xml:space="preserve">); </w:t>
      </w:r>
      <w:r>
        <w:rPr>
          <w:rFonts w:ascii="Century" w:hAnsi="Century" w:cs="Century"/>
          <w:sz w:val="22"/>
          <w:sz w:val="22"/>
          <w:rtl w:val="true"/>
        </w:rPr>
        <w:t>המתלוננת עמדה על כך שבניגוד לנטען באישום השני</w:t>
      </w:r>
      <w:r>
        <w:rPr>
          <w:rFonts w:cs="Century" w:ascii="Century" w:hAnsi="Century"/>
          <w:sz w:val="22"/>
          <w:rtl w:val="true"/>
        </w:rPr>
        <w:t xml:space="preserve">, </w:t>
      </w:r>
      <w:r>
        <w:rPr>
          <w:rFonts w:ascii="Century" w:hAnsi="Century" w:cs="Century"/>
          <w:sz w:val="22"/>
          <w:sz w:val="22"/>
          <w:rtl w:val="true"/>
        </w:rPr>
        <w:t>המערער לא החדיר את לשונו לאיבר מינה</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 xml:space="preserve">עמוד </w:t>
      </w:r>
      <w:r>
        <w:rPr>
          <w:rFonts w:cs="Century" w:ascii="Century" w:hAnsi="Century"/>
          <w:sz w:val="22"/>
        </w:rPr>
        <w:t>61</w:t>
      </w:r>
      <w:r>
        <w:rPr>
          <w:rFonts w:cs="Century" w:ascii="Century" w:hAnsi="Century"/>
          <w:sz w:val="22"/>
          <w:rtl w:val="true"/>
        </w:rPr>
        <w:t xml:space="preserve"> </w:t>
      </w:r>
      <w:r>
        <w:rPr>
          <w:rFonts w:ascii="Century" w:hAnsi="Century" w:cs="Century"/>
          <w:sz w:val="22"/>
          <w:sz w:val="22"/>
          <w:rtl w:val="true"/>
        </w:rPr>
        <w:t xml:space="preserve">לפרוטוקול בשורות </w:t>
      </w:r>
      <w:r>
        <w:rPr>
          <w:rFonts w:cs="Century" w:ascii="Century" w:hAnsi="Century"/>
          <w:sz w:val="22"/>
        </w:rPr>
        <w:t>11-1</w:t>
      </w:r>
      <w:r>
        <w:rPr>
          <w:rFonts w:cs="Century" w:ascii="Century" w:hAnsi="Century"/>
          <w:sz w:val="22"/>
          <w:rtl w:val="true"/>
        </w:rPr>
        <w:t xml:space="preserve">); </w:t>
      </w:r>
      <w:r>
        <w:rPr>
          <w:rFonts w:ascii="Century" w:hAnsi="Century" w:cs="Century"/>
          <w:sz w:val="22"/>
          <w:sz w:val="22"/>
          <w:rtl w:val="true"/>
        </w:rPr>
        <w:t xml:space="preserve">תחושות הבושה והאשמה שחשה המתלוננת כמי שראתה עצמה </w:t>
      </w:r>
      <w:r>
        <w:rPr>
          <w:rFonts w:cs="Century" w:ascii="Century" w:hAnsi="Century"/>
          <w:sz w:val="22"/>
          <w:rtl w:val="true"/>
        </w:rPr>
        <w:t>"</w:t>
      </w:r>
      <w:r>
        <w:rPr>
          <w:rFonts w:ascii="Century" w:hAnsi="Century" w:cs="Century"/>
          <w:sz w:val="22"/>
          <w:sz w:val="22"/>
          <w:rtl w:val="true"/>
        </w:rPr>
        <w:t>שותפה</w:t>
      </w:r>
      <w:r>
        <w:rPr>
          <w:rFonts w:cs="Century" w:ascii="Century" w:hAnsi="Century"/>
          <w:sz w:val="22"/>
          <w:rtl w:val="true"/>
        </w:rPr>
        <w:t xml:space="preserve">" </w:t>
      </w:r>
      <w:r>
        <w:rPr>
          <w:rFonts w:ascii="Century" w:hAnsi="Century" w:cs="Century"/>
          <w:sz w:val="22"/>
          <w:sz w:val="22"/>
          <w:rtl w:val="true"/>
        </w:rPr>
        <w:t>למעשים</w:t>
      </w:r>
      <w:r>
        <w:rPr>
          <w:rFonts w:cs="Century" w:ascii="Century" w:hAnsi="Century"/>
          <w:sz w:val="22"/>
          <w:rtl w:val="true"/>
        </w:rPr>
        <w:t xml:space="preserve">; </w:t>
      </w:r>
      <w:r>
        <w:rPr>
          <w:rFonts w:ascii="Century" w:hAnsi="Century" w:cs="Century"/>
          <w:sz w:val="22"/>
          <w:sz w:val="22"/>
          <w:rtl w:val="true"/>
        </w:rPr>
        <w:t>והגשת התלונה על</w:t>
      </w:r>
      <w:r>
        <w:rPr>
          <w:rFonts w:cs="Century" w:ascii="Century" w:hAnsi="Century"/>
          <w:sz w:val="22"/>
          <w:rtl w:val="true"/>
        </w:rPr>
        <w:t>-</w:t>
      </w:r>
      <w:r>
        <w:rPr>
          <w:rFonts w:ascii="Century" w:hAnsi="Century" w:cs="Century"/>
          <w:sz w:val="22"/>
          <w:sz w:val="22"/>
          <w:rtl w:val="true"/>
        </w:rPr>
        <w:t>ידי אביה ללא ידיעתה ואף בניגוד לרצונה</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כל אלה אכן מצביעים על אמינות גרסתה של המתלוננת ומחלישים את טענת המערער להיותו קורבן של עלילת שווא</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rFonts w:ascii="Century" w:hAnsi="Century" w:cs="Century"/>
          <w:sz w:val="22"/>
        </w:rPr>
      </w:pPr>
      <w:r>
        <w:rPr>
          <w:rFonts w:ascii="Century" w:hAnsi="Century" w:cs="Century"/>
          <w:sz w:val="22"/>
          <w:sz w:val="22"/>
          <w:rtl w:val="true"/>
        </w:rPr>
        <w:t>ואולם עדות המתלוננת לא עמדה לבדה</w:t>
      </w:r>
      <w:r>
        <w:rPr>
          <w:rFonts w:cs="Century" w:ascii="Century" w:hAnsi="Century"/>
          <w:sz w:val="22"/>
          <w:rtl w:val="true"/>
        </w:rPr>
        <w:t xml:space="preserve">. </w:t>
      </w:r>
      <w:r>
        <w:rPr>
          <w:rFonts w:ascii="Century" w:hAnsi="Century" w:cs="Century"/>
          <w:sz w:val="22"/>
          <w:sz w:val="22"/>
          <w:rtl w:val="true"/>
        </w:rPr>
        <w:t>לעדות מהימנה זו של המתלוננת נמצאו מספר חיזוקים</w:t>
      </w:r>
      <w:r>
        <w:rPr>
          <w:rFonts w:cs="Century" w:ascii="Century" w:hAnsi="Century"/>
          <w:sz w:val="22"/>
          <w:rtl w:val="true"/>
        </w:rPr>
        <w:t xml:space="preserve">, </w:t>
      </w:r>
      <w:r>
        <w:rPr>
          <w:rFonts w:ascii="Century" w:hAnsi="Century" w:cs="Century"/>
          <w:sz w:val="22"/>
          <w:sz w:val="22"/>
          <w:rtl w:val="true"/>
        </w:rPr>
        <w:t xml:space="preserve">בהם עדותם של בני משפחתה </w:t>
      </w:r>
      <w:r>
        <w:rPr>
          <w:rFonts w:ascii="Century" w:hAnsi="Century" w:cs="Century"/>
          <w:sz w:val="22"/>
          <w:sz w:val="22"/>
          <w:rtl w:val="true"/>
        </w:rPr>
        <w:t>–</w:t>
      </w:r>
      <w:r>
        <w:rPr>
          <w:rFonts w:ascii="Century" w:hAnsi="Century" w:cs="Century"/>
          <w:sz w:val="22"/>
          <w:sz w:val="22"/>
          <w:rtl w:val="true"/>
        </w:rPr>
        <w:t xml:space="preserve"> סבתה פ</w:t>
      </w:r>
      <w:r>
        <w:rPr>
          <w:rFonts w:cs="Century" w:ascii="Century" w:hAnsi="Century"/>
          <w:sz w:val="22"/>
          <w:rtl w:val="true"/>
        </w:rPr>
        <w:t xml:space="preserve">', </w:t>
      </w:r>
      <w:r>
        <w:rPr>
          <w:rFonts w:ascii="Century" w:hAnsi="Century" w:cs="Century"/>
          <w:sz w:val="22"/>
          <w:sz w:val="22"/>
          <w:rtl w:val="true"/>
        </w:rPr>
        <w:t>דודתה א</w:t>
      </w:r>
      <w:r>
        <w:rPr>
          <w:rFonts w:cs="Century" w:ascii="Century" w:hAnsi="Century"/>
          <w:sz w:val="22"/>
          <w:rtl w:val="true"/>
        </w:rPr>
        <w:t xml:space="preserve">', </w:t>
      </w:r>
      <w:r>
        <w:rPr>
          <w:rFonts w:ascii="Century" w:hAnsi="Century" w:cs="Century"/>
          <w:sz w:val="22"/>
          <w:sz w:val="22"/>
          <w:rtl w:val="true"/>
        </w:rPr>
        <w:t xml:space="preserve">אביה ובת זוגו </w:t>
      </w:r>
      <w:r>
        <w:rPr>
          <w:rFonts w:ascii="Century" w:hAnsi="Century" w:cs="Century"/>
          <w:sz w:val="22"/>
          <w:sz w:val="22"/>
          <w:rtl w:val="true"/>
        </w:rPr>
        <w:t>–</w:t>
      </w:r>
      <w:r>
        <w:rPr>
          <w:rFonts w:ascii="Century" w:hAnsi="Century" w:cs="Century"/>
          <w:sz w:val="22"/>
          <w:sz w:val="22"/>
          <w:rtl w:val="true"/>
        </w:rPr>
        <w:t>שנמצאו מהימנות</w:t>
      </w:r>
      <w:r>
        <w:rPr>
          <w:rFonts w:cs="Century" w:ascii="Century" w:hAnsi="Century"/>
          <w:sz w:val="22"/>
          <w:rtl w:val="true"/>
        </w:rPr>
        <w:t xml:space="preserve">, </w:t>
      </w:r>
      <w:r>
        <w:rPr>
          <w:rFonts w:ascii="Century" w:hAnsi="Century" w:cs="Century"/>
          <w:sz w:val="22"/>
          <w:sz w:val="22"/>
          <w:rtl w:val="true"/>
        </w:rPr>
        <w:t>ואשר העידו על תהליך חשיפת המעשים ועל סערת הנפש שאחזה במתלוננת בעת חשיפתם</w:t>
      </w:r>
      <w:r>
        <w:rPr>
          <w:rFonts w:cs="Century" w:ascii="Century" w:hAnsi="Century"/>
          <w:sz w:val="22"/>
          <w:rtl w:val="true"/>
        </w:rPr>
        <w:t xml:space="preserve">. </w:t>
      </w:r>
      <w:r>
        <w:rPr>
          <w:rFonts w:ascii="Century" w:hAnsi="Century" w:cs="Century"/>
          <w:sz w:val="22"/>
          <w:sz w:val="22"/>
          <w:rtl w:val="true"/>
        </w:rPr>
        <w:t xml:space="preserve">חיזוק נוסף נמצא בעדותו של המערער אשר אישר את אירוע חשיפת איבר מינו מן האישום הראשון </w:t>
      </w:r>
      <w:r>
        <w:rPr>
          <w:rFonts w:cs="Century" w:ascii="Century" w:hAnsi="Century"/>
          <w:sz w:val="22"/>
          <w:rtl w:val="true"/>
        </w:rPr>
        <w:t>(</w:t>
      </w:r>
      <w:r>
        <w:rPr>
          <w:rFonts w:ascii="Century" w:hAnsi="Century" w:cs="Century"/>
          <w:sz w:val="22"/>
          <w:sz w:val="22"/>
          <w:rtl w:val="true"/>
        </w:rPr>
        <w:t>אף ששלל כוונה מינית</w:t>
      </w:r>
      <w:r>
        <w:rPr>
          <w:rFonts w:cs="Century" w:ascii="Century" w:hAnsi="Century"/>
          <w:sz w:val="22"/>
          <w:rtl w:val="true"/>
        </w:rPr>
        <w:t xml:space="preserve">) </w:t>
      </w:r>
      <w:r>
        <w:rPr>
          <w:rFonts w:ascii="Century" w:hAnsi="Century" w:cs="Century"/>
          <w:sz w:val="22"/>
          <w:sz w:val="22"/>
          <w:rtl w:val="true"/>
        </w:rPr>
        <w:t>ובעדות האב ששמע על אירוע זה מן המתלוננת בזמן אמת</w:t>
      </w:r>
      <w:r>
        <w:rPr>
          <w:rFonts w:cs="Century" w:ascii="Century" w:hAnsi="Century"/>
          <w:sz w:val="22"/>
          <w:rtl w:val="true"/>
        </w:rPr>
        <w:t xml:space="preserve">. </w:t>
      </w:r>
      <w:r>
        <w:rPr>
          <w:rFonts w:ascii="Century" w:hAnsi="Century" w:cs="Century"/>
          <w:sz w:val="22"/>
          <w:sz w:val="22"/>
          <w:rtl w:val="true"/>
        </w:rPr>
        <w:t>כן נמצאו חיזוקים למהימנותה של המתלוננת בחוות דעתו של ד</w:t>
      </w:r>
      <w:r>
        <w:rPr>
          <w:rFonts w:cs="Century" w:ascii="Century" w:hAnsi="Century"/>
          <w:sz w:val="22"/>
          <w:rtl w:val="true"/>
        </w:rPr>
        <w:t>"</w:t>
      </w:r>
      <w:r>
        <w:rPr>
          <w:rFonts w:ascii="Century" w:hAnsi="Century" w:cs="Century"/>
          <w:sz w:val="22"/>
          <w:sz w:val="22"/>
          <w:rtl w:val="true"/>
        </w:rPr>
        <w:t>ר פלשמן שאומצה על</w:t>
      </w:r>
      <w:r>
        <w:rPr>
          <w:rFonts w:cs="Century" w:ascii="Century" w:hAnsi="Century"/>
          <w:sz w:val="22"/>
          <w:rtl w:val="true"/>
        </w:rPr>
        <w:t>-</w:t>
      </w:r>
      <w:r>
        <w:rPr>
          <w:rFonts w:ascii="Century" w:hAnsi="Century" w:cs="Century"/>
          <w:sz w:val="22"/>
          <w:sz w:val="22"/>
          <w:rtl w:val="true"/>
        </w:rPr>
        <w:t>ידי בית משפט קמא ובתרשומות הטיפול במרכז ענב</w:t>
      </w:r>
      <w:r>
        <w:rPr>
          <w:rFonts w:cs="Century" w:ascii="Century" w:hAnsi="Century"/>
          <w:sz w:val="22"/>
          <w:rtl w:val="true"/>
        </w:rPr>
        <w:t>"</w:t>
      </w:r>
      <w:r>
        <w:rPr>
          <w:rFonts w:ascii="Century" w:hAnsi="Century" w:cs="Century"/>
          <w:sz w:val="22"/>
          <w:sz w:val="22"/>
          <w:rtl w:val="true"/>
        </w:rPr>
        <w:t>ל</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rFonts w:ascii="Century" w:hAnsi="Century" w:cs="Century"/>
        </w:rPr>
      </w:pPr>
      <w:r>
        <w:rPr>
          <w:rtl w:val="true"/>
        </w:rPr>
        <w:t>המערער העלה בערעורו טענות רבות המוכיחות</w:t>
      </w:r>
      <w:r>
        <w:rPr>
          <w:rtl w:val="true"/>
        </w:rPr>
        <w:t xml:space="preserve">, </w:t>
      </w:r>
      <w:r>
        <w:rPr>
          <w:rtl w:val="true"/>
        </w:rPr>
        <w:t>לשיטתו</w:t>
      </w:r>
      <w:r>
        <w:rPr>
          <w:rtl w:val="true"/>
        </w:rPr>
        <w:t xml:space="preserve">, </w:t>
      </w:r>
      <w:r>
        <w:rPr>
          <w:rtl w:val="true"/>
        </w:rPr>
        <w:t>שהמתלוננת אינה אמינה וכי בעדותה נתגלו סתירות ושקרים</w:t>
      </w:r>
      <w:r>
        <w:rPr>
          <w:rtl w:val="true"/>
        </w:rPr>
        <w:t xml:space="preserve">. </w:t>
      </w:r>
      <w:r>
        <w:rPr>
          <w:rtl w:val="true"/>
        </w:rPr>
        <w:t>בית משפט קמא בחן לעומק ובפירוט רב את כל הסתירות והקשיים להם טען המערער תוך בחינת כל עדות וראיה שבאו לפניו</w:t>
      </w:r>
      <w:r>
        <w:rPr>
          <w:rtl w:val="true"/>
        </w:rPr>
        <w:t xml:space="preserve">, </w:t>
      </w:r>
      <w:r>
        <w:rPr>
          <w:rtl w:val="true"/>
        </w:rPr>
        <w:t>כל אחת בנפרד וכן בהתייחסותן זו לזו</w:t>
      </w:r>
      <w:r>
        <w:rPr>
          <w:rtl w:val="true"/>
        </w:rPr>
        <w:t xml:space="preserve">. </w:t>
      </w:r>
      <w:r>
        <w:rPr>
          <w:rtl w:val="true"/>
        </w:rPr>
        <w:t>בסופו של דיון מצא כי סתירות וקשיים אלה אינם נוגעים לליבת האירועים וכי גרסתה של המתלוננת עומדת היטב על מכונה</w:t>
      </w:r>
      <w:r>
        <w:rPr>
          <w:rtl w:val="true"/>
        </w:rPr>
        <w:t xml:space="preserve">. </w:t>
      </w:r>
      <w:r>
        <w:rPr>
          <w:rtl w:val="true"/>
        </w:rPr>
        <w:t>לא מצאתי עילה להתערב בקביעותיו המנומקות</w:t>
      </w:r>
      <w:r>
        <w:rPr>
          <w:rtl w:val="true"/>
        </w:rPr>
        <w:t xml:space="preserve">. </w:t>
      </w:r>
      <w:r>
        <w:rPr>
          <w:rFonts w:ascii="Century" w:hAnsi="Century" w:cs="Century"/>
          <w:sz w:val="22"/>
          <w:sz w:val="22"/>
          <w:rtl w:val="true"/>
        </w:rPr>
        <w:t xml:space="preserve">כפי שנקבע בעבר </w:t>
      </w:r>
      <w:r>
        <w:rPr>
          <w:rFonts w:cs="Miriam" w:ascii="Miriam" w:hAnsi="Miriam"/>
          <w:szCs w:val="24"/>
          <w:rtl w:val="true"/>
        </w:rPr>
        <w:t>"</w:t>
      </w:r>
      <w:r>
        <w:rPr>
          <w:rFonts w:ascii="Miriam" w:hAnsi="Miriam" w:cs="Miriam"/>
          <w:szCs w:val="24"/>
          <w:rtl w:val="true"/>
        </w:rPr>
        <w:t>הגישה הראייתית הנהוגה בעבירות מין</w:t>
      </w:r>
      <w:r>
        <w:rPr>
          <w:rFonts w:cs="Miriam" w:ascii="Miriam" w:hAnsi="Miriam"/>
          <w:szCs w:val="24"/>
          <w:rtl w:val="true"/>
        </w:rPr>
        <w:t xml:space="preserve">, </w:t>
      </w:r>
      <w:r>
        <w:rPr>
          <w:rFonts w:ascii="Miriam" w:hAnsi="Miriam" w:cs="Miriam"/>
          <w:szCs w:val="24"/>
          <w:rtl w:val="true"/>
        </w:rPr>
        <w:t>ובעבירות מין במשפחה בפרט</w:t>
      </w:r>
      <w:r>
        <w:rPr>
          <w:rFonts w:cs="Miriam" w:ascii="Miriam" w:hAnsi="Miriam"/>
          <w:szCs w:val="24"/>
          <w:rtl w:val="true"/>
        </w:rPr>
        <w:t xml:space="preserve">, </w:t>
      </w:r>
      <w:r>
        <w:rPr>
          <w:rFonts w:ascii="Miriam" w:hAnsi="Miriam" w:cs="Miriam"/>
          <w:szCs w:val="24"/>
          <w:rtl w:val="true"/>
        </w:rPr>
        <w:t>היא שאין לדקדק בפרטי העדות</w:t>
      </w:r>
      <w:r>
        <w:rPr>
          <w:rFonts w:cs="Miriam" w:ascii="Miriam" w:hAnsi="Miriam"/>
          <w:szCs w:val="24"/>
          <w:rtl w:val="true"/>
        </w:rPr>
        <w:t xml:space="preserve">, </w:t>
      </w:r>
      <w:r>
        <w:rPr>
          <w:rFonts w:ascii="Miriam" w:hAnsi="Miriam" w:cs="Miriam"/>
          <w:szCs w:val="24"/>
          <w:rtl w:val="true"/>
        </w:rPr>
        <w:t>וניתן להסתפק בגרעין האמת המצוי בה</w:t>
      </w:r>
      <w:r>
        <w:rPr>
          <w:rFonts w:cs="Miriam" w:ascii="Miriam" w:hAnsi="Miriam"/>
          <w:szCs w:val="24"/>
          <w:rtl w:val="true"/>
        </w:rPr>
        <w:t xml:space="preserve">, </w:t>
      </w:r>
      <w:r>
        <w:rPr>
          <w:rFonts w:ascii="Miriam" w:hAnsi="Miriam" w:cs="Miriam"/>
          <w:szCs w:val="24"/>
          <w:rtl w:val="true"/>
        </w:rPr>
        <w:t>ולעיתים אף בגרעין הקשה בלבד</w:t>
      </w:r>
      <w:r>
        <w:rPr>
          <w:rFonts w:cs="Miriam" w:ascii="Miriam" w:hAnsi="Miriam"/>
          <w:szCs w:val="24"/>
          <w:rtl w:val="true"/>
        </w:rPr>
        <w:t xml:space="preserve">. </w:t>
      </w:r>
      <w:r>
        <w:rPr>
          <w:rFonts w:ascii="Miriam" w:hAnsi="Miriam" w:cs="Miriam"/>
          <w:szCs w:val="24"/>
          <w:rtl w:val="true"/>
        </w:rPr>
        <w:t>זאת</w:t>
      </w:r>
      <w:r>
        <w:rPr>
          <w:rFonts w:cs="Miriam" w:ascii="Miriam" w:hAnsi="Miriam"/>
          <w:szCs w:val="24"/>
          <w:rtl w:val="true"/>
        </w:rPr>
        <w:t xml:space="preserve">, </w:t>
      </w:r>
      <w:r>
        <w:rPr>
          <w:rFonts w:ascii="Miriam" w:hAnsi="Miriam" w:cs="Miriam"/>
          <w:szCs w:val="24"/>
          <w:rtl w:val="true"/>
        </w:rPr>
        <w:t>גם כאשר העדות לוקה בבלבול</w:t>
      </w:r>
      <w:r>
        <w:rPr>
          <w:rFonts w:cs="Miriam" w:ascii="Miriam" w:hAnsi="Miriam"/>
          <w:szCs w:val="24"/>
          <w:rtl w:val="true"/>
        </w:rPr>
        <w:t xml:space="preserve">, </w:t>
      </w:r>
      <w:r>
        <w:rPr>
          <w:rFonts w:ascii="Miriam" w:hAnsi="Miriam" w:cs="Miriam"/>
          <w:szCs w:val="24"/>
          <w:rtl w:val="true"/>
        </w:rPr>
        <w:t>באי</w:t>
      </w:r>
      <w:r>
        <w:rPr>
          <w:rFonts w:cs="Miriam" w:ascii="Miriam" w:hAnsi="Miriam"/>
          <w:szCs w:val="24"/>
          <w:rtl w:val="true"/>
        </w:rPr>
        <w:t>-</w:t>
      </w:r>
      <w:r>
        <w:rPr>
          <w:rFonts w:ascii="Miriam" w:hAnsi="Miriam" w:cs="Miriam"/>
          <w:szCs w:val="24"/>
          <w:rtl w:val="true"/>
        </w:rPr>
        <w:t>דיוק</w:t>
      </w:r>
      <w:r>
        <w:rPr>
          <w:rFonts w:cs="Miriam" w:ascii="Miriam" w:hAnsi="Miriam"/>
          <w:szCs w:val="24"/>
          <w:rtl w:val="true"/>
        </w:rPr>
        <w:t xml:space="preserve">, </w:t>
      </w:r>
      <w:r>
        <w:rPr>
          <w:rFonts w:ascii="Miriam" w:hAnsi="Miriam" w:cs="Miriam"/>
          <w:szCs w:val="24"/>
          <w:rtl w:val="true"/>
        </w:rPr>
        <w:t>ובחוסר בהירות</w:t>
      </w:r>
      <w:r>
        <w:rPr>
          <w:rFonts w:cs="Miriam" w:ascii="Miriam" w:hAnsi="Miriam"/>
          <w:szCs w:val="24"/>
          <w:rtl w:val="true"/>
        </w:rPr>
        <w:t>"</w:t>
      </w:r>
      <w:r>
        <w:rPr>
          <w:rFonts w:cs="Century" w:ascii="Century" w:hAnsi="Century"/>
          <w:rtl w:val="true"/>
        </w:rPr>
        <w:t xml:space="preserve"> (</w:t>
      </w:r>
      <w:hyperlink r:id="rId3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1987/17</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9</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4.6.2019</w:t>
      </w:r>
      <w:r>
        <w:rPr>
          <w:rFonts w:cs="Century" w:ascii="Century" w:hAnsi="Century"/>
          <w:sz w:val="22"/>
          <w:rtl w:val="true"/>
        </w:rPr>
        <w:t>)).</w:t>
      </w:r>
      <w:r>
        <w:rPr>
          <w:rFonts w:cs="Century" w:ascii="Century" w:hAnsi="Century"/>
          <w:rtl w:val="true"/>
        </w:rPr>
        <w:t xml:space="preserve"> </w:t>
      </w:r>
      <w:r>
        <w:rPr>
          <w:rtl w:val="true"/>
        </w:rPr>
        <w:t>אף אם ניתן למצוא בעדותה של המתלוננת אי</w:t>
      </w:r>
      <w:r>
        <w:rPr>
          <w:rtl w:val="true"/>
        </w:rPr>
        <w:t>-</w:t>
      </w:r>
      <w:r>
        <w:rPr>
          <w:rtl w:val="true"/>
        </w:rPr>
        <w:t>דיוקים מסוימים</w:t>
      </w:r>
      <w:r>
        <w:rPr>
          <w:rtl w:val="true"/>
        </w:rPr>
        <w:t xml:space="preserve">,  </w:t>
      </w:r>
      <w:r>
        <w:rPr>
          <w:rtl w:val="true"/>
        </w:rPr>
        <w:t>יש לזכור כי מדובר במעשים שנעשו במתלוננת בגיל צעיר ביותר</w:t>
      </w:r>
      <w:r>
        <w:rPr>
          <w:rtl w:val="true"/>
        </w:rPr>
        <w:t xml:space="preserve">, </w:t>
      </w:r>
      <w:r>
        <w:rPr>
          <w:rtl w:val="true"/>
        </w:rPr>
        <w:t>לאורך שנים</w:t>
      </w:r>
      <w:r>
        <w:rPr>
          <w:rtl w:val="true"/>
        </w:rPr>
        <w:t xml:space="preserve">, </w:t>
      </w:r>
      <w:r>
        <w:rPr>
          <w:rtl w:val="true"/>
        </w:rPr>
        <w:t>ולא ניתן לצפות כי לא יימצאו סתירות או אי</w:t>
      </w:r>
      <w:r>
        <w:rPr>
          <w:rtl w:val="true"/>
        </w:rPr>
        <w:t>-</w:t>
      </w:r>
      <w:r>
        <w:rPr>
          <w:rtl w:val="true"/>
        </w:rPr>
        <w:t>דיוקים בכל מרכיבי עדותה</w:t>
      </w:r>
      <w:r>
        <w:rPr>
          <w:rtl w:val="true"/>
        </w:rPr>
        <w:t>.</w:t>
      </w:r>
    </w:p>
    <w:p>
      <w:pPr>
        <w:pStyle w:val="Ruller5"/>
        <w:ind w:end="1282"/>
        <w:jc w:val="both"/>
        <w:rPr>
          <w:rFonts w:ascii="Century" w:hAnsi="Century" w:cs="Century"/>
        </w:rPr>
      </w:pPr>
      <w:r>
        <w:rPr>
          <w:rFonts w:cs="Century" w:ascii="Century" w:hAnsi="Century"/>
          <w:rtl w:val="true"/>
        </w:rPr>
      </w:r>
    </w:p>
    <w:p>
      <w:pPr>
        <w:pStyle w:val="Ruller43"/>
        <w:numPr>
          <w:ilvl w:val="0"/>
          <w:numId w:val="1"/>
        </w:numPr>
        <w:ind w:end="0"/>
        <w:jc w:val="both"/>
        <w:rPr/>
      </w:pPr>
      <w:r>
        <w:rPr>
          <w:rtl w:val="true"/>
        </w:rPr>
        <w:t xml:space="preserve">גם טענות המערער לגרסה </w:t>
      </w:r>
      <w:r>
        <w:rPr>
          <w:rtl w:val="true"/>
        </w:rPr>
        <w:t>"</w:t>
      </w:r>
      <w:r>
        <w:rPr>
          <w:rtl w:val="true"/>
        </w:rPr>
        <w:t>מתפתחת</w:t>
      </w:r>
      <w:r>
        <w:rPr>
          <w:rtl w:val="true"/>
        </w:rPr>
        <w:t xml:space="preserve">" </w:t>
      </w:r>
      <w:r>
        <w:rPr>
          <w:rtl w:val="true"/>
        </w:rPr>
        <w:t>של המתלוננת</w:t>
      </w:r>
      <w:r>
        <w:rPr>
          <w:rtl w:val="true"/>
        </w:rPr>
        <w:t xml:space="preserve">, </w:t>
      </w:r>
      <w:r>
        <w:rPr>
          <w:rtl w:val="true"/>
        </w:rPr>
        <w:t>בכל הנוגע ל</w:t>
      </w:r>
      <w:r>
        <w:rPr>
          <w:rtl w:val="true"/>
        </w:rPr>
        <w:t>"</w:t>
      </w:r>
      <w:r>
        <w:rPr>
          <w:rtl w:val="true"/>
        </w:rPr>
        <w:t>הסכמתה</w:t>
      </w:r>
      <w:r>
        <w:rPr>
          <w:rtl w:val="true"/>
        </w:rPr>
        <w:t xml:space="preserve">" </w:t>
      </w:r>
      <w:r>
        <w:rPr>
          <w:rtl w:val="true"/>
        </w:rPr>
        <w:t>לחלק מן המעשים או למעשים שבוצעו ביוזמתה או בעידודה</w:t>
      </w:r>
      <w:r>
        <w:rPr>
          <w:rtl w:val="true"/>
        </w:rPr>
        <w:t xml:space="preserve">, </w:t>
      </w:r>
      <w:r>
        <w:rPr>
          <w:rtl w:val="true"/>
        </w:rPr>
        <w:t>אינן הולמות את חומר הראיות</w:t>
      </w:r>
      <w:r>
        <w:rPr>
          <w:rtl w:val="true"/>
        </w:rPr>
        <w:t xml:space="preserve">. </w:t>
      </w:r>
      <w:r>
        <w:rPr>
          <w:rtl w:val="true"/>
        </w:rPr>
        <w:t>חומר הראיות מעלה כי גרסתה זו הועלתה כבר בתחילת הדרך</w:t>
      </w:r>
      <w:r>
        <w:rPr>
          <w:rtl w:val="true"/>
        </w:rPr>
        <w:t xml:space="preserve">, </w:t>
      </w:r>
      <w:r>
        <w:rPr>
          <w:rtl w:val="true"/>
        </w:rPr>
        <w:t xml:space="preserve">בחקירתה במשטרה </w:t>
      </w:r>
      <w:r>
        <w:rPr>
          <w:rtl w:val="true"/>
        </w:rPr>
        <w:t>(</w:t>
      </w:r>
      <w:r>
        <w:rPr>
          <w:rtl w:val="true"/>
        </w:rPr>
        <w:t>ראו</w:t>
      </w:r>
      <w:r>
        <w:rPr>
          <w:rtl w:val="true"/>
        </w:rPr>
        <w:t xml:space="preserve">: </w:t>
      </w:r>
      <w:r>
        <w:rPr>
          <w:rtl w:val="true"/>
        </w:rPr>
        <w:t>נ</w:t>
      </w:r>
      <w:r>
        <w:rPr>
          <w:rtl w:val="true"/>
        </w:rPr>
        <w:t>/</w:t>
      </w:r>
      <w:r>
        <w:rPr/>
        <w:t>63</w:t>
      </w:r>
      <w:r>
        <w:rPr>
          <w:rtl w:val="true"/>
        </w:rPr>
        <w:t>א</w:t>
      </w:r>
      <w:r>
        <w:rPr>
          <w:rtl w:val="true"/>
        </w:rPr>
        <w:t xml:space="preserve">), </w:t>
      </w:r>
      <w:r>
        <w:rPr>
          <w:rtl w:val="true"/>
        </w:rPr>
        <w:t>שם תיארה כיצד הייתה מגיעה מרצונה לחדרו של המערער</w:t>
      </w:r>
      <w:r>
        <w:rPr>
          <w:rtl w:val="true"/>
        </w:rPr>
        <w:t xml:space="preserve">. </w:t>
      </w:r>
      <w:r>
        <w:rPr>
          <w:rtl w:val="true"/>
        </w:rPr>
        <w:t xml:space="preserve">כן ציינה בהתייחס לאחד המקרים כי </w:t>
      </w:r>
      <w:r>
        <w:rPr>
          <w:rFonts w:cs="Miriam" w:ascii="Century" w:hAnsi="Century"/>
          <w:b/>
          <w:spacing w:val="0"/>
          <w:sz w:val="22"/>
          <w:szCs w:val="24"/>
          <w:rtl w:val="true"/>
        </w:rPr>
        <w:t>"</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הכריח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אליו</w:t>
      </w:r>
      <w:r>
        <w:rPr>
          <w:rFonts w:cs="Miriam" w:ascii="Century" w:hAnsi="Century"/>
          <w:b/>
          <w:spacing w:val="0"/>
          <w:sz w:val="22"/>
          <w:szCs w:val="24"/>
          <w:rtl w:val="true"/>
        </w:rPr>
        <w:t>"</w:t>
      </w:r>
      <w:r>
        <w:rPr>
          <w:rtl w:val="true"/>
        </w:rPr>
        <w:t xml:space="preserve"> </w:t>
      </w:r>
      <w:r>
        <w:rPr>
          <w:rtl w:val="true"/>
        </w:rPr>
        <w:t>ואף תיארה את מערכת יחסיה עם המערער כ</w:t>
      </w:r>
      <w:r>
        <w:rPr>
          <w:rtl w:val="true"/>
        </w:rPr>
        <w:t>"</w:t>
      </w:r>
      <w:r>
        <w:rPr>
          <w:rtl w:val="true"/>
        </w:rPr>
        <w:t>מערכת יחסים אינטימית</w:t>
      </w:r>
      <w:r>
        <w:rPr>
          <w:rtl w:val="true"/>
        </w:rPr>
        <w:t xml:space="preserve">". </w:t>
      </w:r>
      <w:r>
        <w:rPr>
          <w:rtl w:val="true"/>
        </w:rPr>
        <w:t>דברים דומים סיפרה גם במסגרת הטיפול במרכז ענב</w:t>
      </w:r>
      <w:r>
        <w:rPr>
          <w:rtl w:val="true"/>
        </w:rPr>
        <w:t>"</w:t>
      </w:r>
      <w:r>
        <w:rPr>
          <w:rtl w:val="true"/>
        </w:rPr>
        <w:t xml:space="preserve">ל בשנים </w:t>
      </w:r>
      <w:r>
        <w:rPr/>
        <w:t>2014-2013</w:t>
      </w:r>
      <w:r>
        <w:rPr>
          <w:rtl w:val="true"/>
        </w:rPr>
        <w:t xml:space="preserve"> </w:t>
      </w:r>
      <w:r>
        <w:rPr>
          <w:rtl w:val="true"/>
        </w:rPr>
        <w:t>שם סיפרה</w:t>
      </w:r>
      <w:r>
        <w:rPr>
          <w:rtl w:val="true"/>
        </w:rPr>
        <w:t xml:space="preserve">, </w:t>
      </w:r>
      <w:r>
        <w:rPr>
          <w:rtl w:val="true"/>
        </w:rPr>
        <w:t>בין היתר</w:t>
      </w:r>
      <w:r>
        <w:rPr>
          <w:rtl w:val="true"/>
        </w:rPr>
        <w:t xml:space="preserve">, </w:t>
      </w:r>
      <w:r>
        <w:rPr>
          <w:rtl w:val="true"/>
        </w:rPr>
        <w:t>כי הייתה מגיעה מרצונה למיטתו של המערער</w:t>
      </w:r>
      <w:r>
        <w:rPr>
          <w:rtl w:val="true"/>
        </w:rPr>
        <w:t xml:space="preserve">, </w:t>
      </w:r>
      <w:r>
        <w:rPr>
          <w:rtl w:val="true"/>
        </w:rPr>
        <w:t xml:space="preserve">על </w:t>
      </w:r>
      <w:r>
        <w:rPr>
          <w:rtl w:val="true"/>
        </w:rPr>
        <w:t>"</w:t>
      </w:r>
      <w:r>
        <w:rPr>
          <w:rtl w:val="true"/>
        </w:rPr>
        <w:t>הסכמתה</w:t>
      </w:r>
      <w:r>
        <w:rPr>
          <w:rtl w:val="true"/>
        </w:rPr>
        <w:t xml:space="preserve">" </w:t>
      </w:r>
      <w:r>
        <w:rPr>
          <w:rtl w:val="true"/>
        </w:rPr>
        <w:t>למעשים</w:t>
      </w:r>
      <w:r>
        <w:rPr>
          <w:rtl w:val="true"/>
        </w:rPr>
        <w:t xml:space="preserve">, </w:t>
      </w:r>
      <w:r>
        <w:rPr>
          <w:rtl w:val="true"/>
        </w:rPr>
        <w:t>ועל חוסר יכולתם</w:t>
      </w:r>
      <w:r>
        <w:rPr>
          <w:rtl w:val="true"/>
        </w:rPr>
        <w:t xml:space="preserve">, </w:t>
      </w:r>
      <w:r>
        <w:rPr>
          <w:rtl w:val="true"/>
        </w:rPr>
        <w:t>של המתלוננת והמערער</w:t>
      </w:r>
      <w:r>
        <w:rPr>
          <w:rtl w:val="true"/>
        </w:rPr>
        <w:t xml:space="preserve">, </w:t>
      </w:r>
      <w:r>
        <w:rPr>
          <w:rtl w:val="true"/>
        </w:rPr>
        <w:t>להפסיקם</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המערער סבור שהיה על בית משפט קמא ליתן משקל משמעותי לאי</w:t>
      </w:r>
      <w:r>
        <w:rPr>
          <w:rtl w:val="true"/>
        </w:rPr>
        <w:t>-</w:t>
      </w:r>
      <w:r>
        <w:rPr>
          <w:rtl w:val="true"/>
        </w:rPr>
        <w:t>תיעוד הפגיעות המיניות ביומניה של המתלוננת</w:t>
      </w:r>
      <w:r>
        <w:rPr>
          <w:rtl w:val="true"/>
        </w:rPr>
        <w:t xml:space="preserve">. </w:t>
      </w:r>
      <w:r>
        <w:rPr>
          <w:rtl w:val="true"/>
        </w:rPr>
        <w:t>לטענתו</w:t>
      </w:r>
      <w:r>
        <w:rPr>
          <w:rtl w:val="true"/>
        </w:rPr>
        <w:t xml:space="preserve">, </w:t>
      </w:r>
      <w:r>
        <w:rPr>
          <w:rtl w:val="true"/>
        </w:rPr>
        <w:t>העובדה שהמתלוננת לא ציינה ביומנה</w:t>
      </w:r>
      <w:r>
        <w:rPr>
          <w:rtl w:val="true"/>
        </w:rPr>
        <w:t xml:space="preserve">, </w:t>
      </w:r>
      <w:r>
        <w:rPr>
          <w:rtl w:val="true"/>
        </w:rPr>
        <w:t>ולו ברמז</w:t>
      </w:r>
      <w:r>
        <w:rPr>
          <w:rtl w:val="true"/>
        </w:rPr>
        <w:t xml:space="preserve">, </w:t>
      </w:r>
      <w:r>
        <w:rPr>
          <w:rtl w:val="true"/>
        </w:rPr>
        <w:t>את פגיעותיה המיניות</w:t>
      </w:r>
      <w:r>
        <w:rPr>
          <w:rtl w:val="true"/>
        </w:rPr>
        <w:t xml:space="preserve">, </w:t>
      </w:r>
      <w:r>
        <w:rPr>
          <w:rtl w:val="true"/>
        </w:rPr>
        <w:t>מלמדת כי מדובר בפגיעות פרי דמיונה</w:t>
      </w:r>
      <w:r>
        <w:rPr>
          <w:rtl w:val="true"/>
        </w:rPr>
        <w:t xml:space="preserve">. </w:t>
      </w:r>
      <w:r>
        <w:rPr>
          <w:rtl w:val="true"/>
        </w:rPr>
        <w:t>טענות אלה נבחנו באופן מדוקדק על</w:t>
      </w:r>
      <w:r>
        <w:rPr>
          <w:rtl w:val="true"/>
        </w:rPr>
        <w:t>-</w:t>
      </w:r>
      <w:r>
        <w:rPr>
          <w:rtl w:val="true"/>
        </w:rPr>
        <w:t>ידי בית משפט קמא</w:t>
      </w:r>
      <w:r>
        <w:rPr>
          <w:rtl w:val="true"/>
        </w:rPr>
        <w:t xml:space="preserve">, </w:t>
      </w:r>
      <w:r>
        <w:rPr>
          <w:rtl w:val="true"/>
        </w:rPr>
        <w:t>אשר דחה את הטענות וקיבל את הסבריה של המתלוננת</w:t>
      </w:r>
      <w:r>
        <w:rPr>
          <w:rtl w:val="true"/>
        </w:rPr>
        <w:t xml:space="preserve">, </w:t>
      </w:r>
      <w:r>
        <w:rPr>
          <w:rtl w:val="true"/>
        </w:rPr>
        <w:t xml:space="preserve">לפיהם הסיבה להעדר כל תיעוד של הפגיעות המיניות שעברה היה החשש שמא הדבר ייוודע לאמה </w:t>
      </w:r>
      <w:r>
        <w:rPr>
          <w:rtl w:val="true"/>
        </w:rPr>
        <w:t>(</w:t>
      </w:r>
      <w:r>
        <w:rPr>
          <w:rtl w:val="true"/>
        </w:rPr>
        <w:t>ראו</w:t>
      </w:r>
      <w:r>
        <w:rPr>
          <w:rtl w:val="true"/>
        </w:rPr>
        <w:t xml:space="preserve">: </w:t>
      </w:r>
      <w:r>
        <w:rPr>
          <w:rtl w:val="true"/>
        </w:rPr>
        <w:t xml:space="preserve">עמוד </w:t>
      </w:r>
      <w:r>
        <w:rPr/>
        <w:t>74</w:t>
      </w:r>
      <w:r>
        <w:rPr>
          <w:rtl w:val="true"/>
        </w:rPr>
        <w:t xml:space="preserve"> </w:t>
      </w:r>
      <w:r>
        <w:rPr>
          <w:rtl w:val="true"/>
        </w:rPr>
        <w:t xml:space="preserve">לפרוטוקול בשורות </w:t>
      </w:r>
      <w:r>
        <w:rPr/>
        <w:t>9-5</w:t>
      </w:r>
      <w:r>
        <w:rPr>
          <w:rtl w:val="true"/>
        </w:rPr>
        <w:t xml:space="preserve">, </w:t>
      </w:r>
      <w:r>
        <w:rPr>
          <w:rtl w:val="true"/>
        </w:rPr>
        <w:t xml:space="preserve">עמוד </w:t>
      </w:r>
      <w:r>
        <w:rPr/>
        <w:t>137</w:t>
      </w:r>
      <w:r>
        <w:rPr>
          <w:rtl w:val="true"/>
        </w:rPr>
        <w:t xml:space="preserve"> </w:t>
      </w:r>
      <w:r>
        <w:rPr>
          <w:rtl w:val="true"/>
        </w:rPr>
        <w:t xml:space="preserve">בשורות </w:t>
      </w:r>
      <w:r>
        <w:rPr/>
        <w:t>28-25</w:t>
      </w:r>
      <w:r>
        <w:rPr>
          <w:rtl w:val="true"/>
        </w:rPr>
        <w:t xml:space="preserve">, </w:t>
      </w:r>
      <w:r>
        <w:rPr>
          <w:rtl w:val="true"/>
        </w:rPr>
        <w:t xml:space="preserve">עמוד </w:t>
      </w:r>
      <w:r>
        <w:rPr/>
        <w:t>144</w:t>
      </w:r>
      <w:r>
        <w:rPr>
          <w:rtl w:val="true"/>
        </w:rPr>
        <w:t xml:space="preserve"> </w:t>
      </w:r>
      <w:r>
        <w:rPr>
          <w:rtl w:val="true"/>
        </w:rPr>
        <w:t xml:space="preserve">בשורות </w:t>
      </w:r>
      <w:r>
        <w:rPr/>
        <w:t>7-3</w:t>
      </w:r>
      <w:r>
        <w:rPr>
          <w:rtl w:val="true"/>
        </w:rPr>
        <w:t xml:space="preserve">). </w:t>
      </w:r>
      <w:r>
        <w:rPr>
          <w:rtl w:val="true"/>
        </w:rPr>
        <w:t>המתלוננת אף הסבירה שלא חששה לתעד ביומנה את העונשים והיחס הרע שקיבלה מאמה ומן המערער</w:t>
      </w:r>
      <w:r>
        <w:rPr>
          <w:rtl w:val="true"/>
        </w:rPr>
        <w:t xml:space="preserve">, </w:t>
      </w:r>
      <w:r>
        <w:rPr>
          <w:rtl w:val="true"/>
        </w:rPr>
        <w:t>עליהם ידעה אמה ממילא</w:t>
      </w:r>
      <w:r>
        <w:rPr>
          <w:rtl w:val="true"/>
        </w:rPr>
        <w:t xml:space="preserve">, </w:t>
      </w:r>
      <w:r>
        <w:rPr>
          <w:rtl w:val="true"/>
        </w:rPr>
        <w:t>אך מאחר שהסתירה מאמה את עבירות המין</w:t>
      </w:r>
      <w:r>
        <w:rPr>
          <w:rtl w:val="true"/>
        </w:rPr>
        <w:t xml:space="preserve">, </w:t>
      </w:r>
      <w:r>
        <w:rPr>
          <w:rtl w:val="true"/>
        </w:rPr>
        <w:t>היא חששה מאוד פן הדבר ייוודע לה מקריאה ביומניה</w:t>
      </w:r>
      <w:r>
        <w:rPr>
          <w:rtl w:val="true"/>
        </w:rPr>
        <w:t xml:space="preserve">. </w:t>
      </w:r>
      <w:r>
        <w:rPr>
          <w:rtl w:val="true"/>
        </w:rPr>
        <w:t>דברים אלה מצאו ביטויים בהודעתה הראשונה במשטרה שם סיפרה המתלוננת מיוזמתה על יומניה וציינה כבר אז ש</w:t>
      </w:r>
      <w:r>
        <w:rPr>
          <w:rFonts w:cs="Miriam" w:ascii="Century" w:hAnsi="Century"/>
          <w:b/>
          <w:spacing w:val="0"/>
          <w:sz w:val="22"/>
          <w:szCs w:val="24"/>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כתבתי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יחסים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אינטימיים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כתבתי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מעניש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פוחדת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שהסיפור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יגיע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לאמא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תתאבד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תשמע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כך</w:t>
      </w:r>
      <w:r>
        <w:rPr>
          <w:rFonts w:cs="Miriam" w:ascii="Century" w:hAnsi="Century"/>
          <w:b/>
          <w:spacing w:val="0"/>
          <w:sz w:val="22"/>
          <w:szCs w:val="24"/>
          <w:rtl w:val="true"/>
        </w:rPr>
        <w:t xml:space="preserve">" </w:t>
      </w:r>
      <w:r>
        <w:rPr>
          <w:rtl w:val="true"/>
        </w:rPr>
        <w:t>(</w:t>
      </w:r>
      <w:r>
        <w:rPr>
          <w:rtl w:val="true"/>
        </w:rPr>
        <w:t>ראו</w:t>
      </w:r>
      <w:r>
        <w:rPr>
          <w:rtl w:val="true"/>
        </w:rPr>
        <w:t xml:space="preserve">: </w:t>
      </w:r>
      <w:r>
        <w:rPr>
          <w:rtl w:val="true"/>
        </w:rPr>
        <w:t>נ</w:t>
      </w:r>
      <w:r>
        <w:rPr>
          <w:rtl w:val="true"/>
        </w:rPr>
        <w:t>/</w:t>
      </w:r>
      <w:r>
        <w:rPr/>
        <w:t>63</w:t>
      </w:r>
      <w:r>
        <w:rPr>
          <w:rtl w:val="true"/>
        </w:rPr>
        <w:t>א</w:t>
      </w:r>
      <w:r>
        <w:rPr>
          <w:rtl w:val="true"/>
        </w:rPr>
        <w:t xml:space="preserve">' </w:t>
      </w:r>
      <w:r>
        <w:rPr>
          <w:rtl w:val="true"/>
        </w:rPr>
        <w:t xml:space="preserve">עמוד </w:t>
      </w:r>
      <w:r>
        <w:rPr/>
        <w:t>4</w:t>
      </w:r>
      <w:r>
        <w:rPr>
          <w:rtl w:val="true"/>
        </w:rPr>
        <w:t xml:space="preserve"> </w:t>
      </w:r>
      <w:r>
        <w:rPr>
          <w:rtl w:val="true"/>
        </w:rPr>
        <w:t xml:space="preserve">בשורות </w:t>
      </w:r>
      <w:r>
        <w:rPr/>
        <w:t>110-105</w:t>
      </w:r>
      <w:r>
        <w:rPr>
          <w:rtl w:val="true"/>
        </w:rPr>
        <w:t xml:space="preserve">). </w:t>
      </w:r>
      <w:r>
        <w:rPr>
          <w:rtl w:val="true"/>
        </w:rPr>
        <w:t>בית משפט קמא קבע כי הסבריה של המתלוננת לאי</w:t>
      </w:r>
      <w:r>
        <w:rPr>
          <w:rtl w:val="true"/>
        </w:rPr>
        <w:t>-</w:t>
      </w:r>
      <w:r>
        <w:rPr>
          <w:rtl w:val="true"/>
        </w:rPr>
        <w:t xml:space="preserve">תיעוד המעשים המיניים ביומנים </w:t>
      </w:r>
      <w:r>
        <w:rPr>
          <w:rFonts w:cs="Miriam" w:ascii="Century" w:hAnsi="Century"/>
          <w:b/>
          <w:spacing w:val="0"/>
          <w:sz w:val="22"/>
          <w:szCs w:val="24"/>
          <w:rtl w:val="true"/>
        </w:rPr>
        <w:t>"</w:t>
      </w:r>
      <w:r>
        <w:rPr>
          <w:rFonts w:ascii="Century" w:hAnsi="Century" w:cs="Miriam"/>
          <w:b/>
          <w:b/>
          <w:spacing w:val="0"/>
          <w:sz w:val="22"/>
          <w:sz w:val="22"/>
          <w:szCs w:val="24"/>
          <w:rtl w:val="true"/>
        </w:rPr>
        <w:t>מהימנים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מאוד</w:t>
      </w:r>
      <w:r>
        <w:rPr>
          <w:rFonts w:cs="Miriam" w:ascii="Century" w:hAnsi="Century"/>
          <w:b/>
          <w:spacing w:val="0"/>
          <w:sz w:val="22"/>
          <w:szCs w:val="24"/>
          <w:rtl w:val="true"/>
        </w:rPr>
        <w:t>"</w:t>
      </w:r>
      <w:r>
        <w:rPr>
          <w:rtl w:val="true"/>
        </w:rPr>
        <w:t xml:space="preserve"> </w:t>
      </w:r>
      <w:r>
        <w:rPr>
          <w:rtl w:val="true"/>
        </w:rPr>
        <w:t>ולא מצאתי עילה להתערבות בקביעה זו</w:t>
      </w:r>
      <w:r>
        <w:rPr>
          <w:rtl w:val="true"/>
        </w:rPr>
        <w:t xml:space="preserve">. </w:t>
      </w:r>
      <w:r>
        <w:rPr>
          <w:rtl w:val="true"/>
        </w:rPr>
        <w:t>אין זה יוצא דופן שנפגעת עבירת מין תסתיר את עובדת פגיעתה מכל סובביה לאורך שנים</w:t>
      </w:r>
      <w:r>
        <w:rPr>
          <w:rtl w:val="true"/>
        </w:rPr>
        <w:t xml:space="preserve">, </w:t>
      </w:r>
      <w:r>
        <w:rPr>
          <w:rtl w:val="true"/>
        </w:rPr>
        <w:t>זאת בפרט לאור תחושת הבושה והשותפות למעשים שתוארו על</w:t>
      </w:r>
      <w:r>
        <w:rPr>
          <w:rtl w:val="true"/>
        </w:rPr>
        <w:t>-</w:t>
      </w:r>
      <w:r>
        <w:rPr>
          <w:rtl w:val="true"/>
        </w:rPr>
        <w:t>ידי המתלוננת כפי שפורטו לעיל</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המערער</w:t>
      </w:r>
      <w:r>
        <w:rPr>
          <w:rtl w:val="true"/>
        </w:rPr>
        <w:t xml:space="preserve"> </w:t>
      </w:r>
      <w:r>
        <w:rPr>
          <w:rtl w:val="true"/>
        </w:rPr>
        <w:t>מוסיף</w:t>
      </w:r>
      <w:r>
        <w:rPr>
          <w:rtl w:val="true"/>
        </w:rPr>
        <w:t xml:space="preserve"> </w:t>
      </w:r>
      <w:r>
        <w:rPr>
          <w:rtl w:val="true"/>
        </w:rPr>
        <w:t>וטוען</w:t>
      </w:r>
      <w:r>
        <w:rPr>
          <w:rtl w:val="true"/>
        </w:rPr>
        <w:t xml:space="preserve"> </w:t>
      </w:r>
      <w:r>
        <w:rPr>
          <w:rtl w:val="true"/>
        </w:rPr>
        <w:t>כי</w:t>
      </w:r>
      <w:r>
        <w:rPr>
          <w:rtl w:val="true"/>
        </w:rPr>
        <w:t xml:space="preserve"> </w:t>
      </w:r>
      <w:r>
        <w:rPr>
          <w:rtl w:val="true"/>
        </w:rPr>
        <w:t>תיאור</w:t>
      </w:r>
      <w:r>
        <w:rPr>
          <w:rtl w:val="true"/>
        </w:rPr>
        <w:t xml:space="preserve"> </w:t>
      </w:r>
      <w:r>
        <w:rPr>
          <w:rtl w:val="true"/>
        </w:rPr>
        <w:t>המתלוננת</w:t>
      </w:r>
      <w:r>
        <w:rPr>
          <w:rtl w:val="true"/>
        </w:rPr>
        <w:t xml:space="preserve"> </w:t>
      </w:r>
      <w:r>
        <w:rPr>
          <w:rtl w:val="true"/>
        </w:rPr>
        <w:t>את</w:t>
      </w:r>
      <w:r>
        <w:rPr>
          <w:rtl w:val="true"/>
        </w:rPr>
        <w:t xml:space="preserve"> </w:t>
      </w:r>
      <w:r>
        <w:rPr>
          <w:rtl w:val="true"/>
        </w:rPr>
        <w:t>הקשר</w:t>
      </w:r>
      <w:r>
        <w:rPr>
          <w:rtl w:val="true"/>
        </w:rPr>
        <w:t xml:space="preserve"> </w:t>
      </w:r>
      <w:r>
        <w:rPr>
          <w:rtl w:val="true"/>
        </w:rPr>
        <w:t>בינה</w:t>
      </w:r>
      <w:r>
        <w:rPr>
          <w:rtl w:val="true"/>
        </w:rPr>
        <w:t xml:space="preserve"> </w:t>
      </w:r>
      <w:r>
        <w:rPr>
          <w:rtl w:val="true"/>
        </w:rPr>
        <w:t>לבינו</w:t>
      </w:r>
      <w:r>
        <w:rPr>
          <w:rtl w:val="true"/>
        </w:rPr>
        <w:t xml:space="preserve"> </w:t>
      </w:r>
      <w:r>
        <w:rPr>
          <w:rtl w:val="true"/>
        </w:rPr>
        <w:t>כקשר</w:t>
      </w:r>
      <w:r>
        <w:rPr>
          <w:rtl w:val="true"/>
        </w:rPr>
        <w:t xml:space="preserve"> </w:t>
      </w:r>
      <w:r>
        <w:rPr>
          <w:rtl w:val="true"/>
        </w:rPr>
        <w:t>אותו</w:t>
      </w:r>
      <w:r>
        <w:rPr>
          <w:rtl w:val="true"/>
        </w:rPr>
        <w:t xml:space="preserve"> </w:t>
      </w:r>
      <w:r>
        <w:rPr>
          <w:rtl w:val="true"/>
        </w:rPr>
        <w:t>רצתה</w:t>
      </w:r>
      <w:r>
        <w:rPr>
          <w:rtl w:val="true"/>
        </w:rPr>
        <w:t xml:space="preserve"> </w:t>
      </w:r>
      <w:r>
        <w:rPr>
          <w:rtl w:val="true"/>
        </w:rPr>
        <w:t>ויזמה</w:t>
      </w:r>
      <w:r>
        <w:rPr>
          <w:rtl w:val="true"/>
        </w:rPr>
        <w:t xml:space="preserve"> </w:t>
      </w:r>
      <w:r>
        <w:rPr>
          <w:rtl w:val="true"/>
        </w:rPr>
        <w:t>אינו</w:t>
      </w:r>
      <w:r>
        <w:rPr>
          <w:rtl w:val="true"/>
        </w:rPr>
        <w:t xml:space="preserve"> מתיישב עם רגשותיה השליליים כלפיו כפי שאלה מתוארים ביומניה</w:t>
      </w:r>
      <w:r>
        <w:rPr>
          <w:rtl w:val="true"/>
        </w:rPr>
        <w:t xml:space="preserve">. </w:t>
      </w:r>
      <w:r>
        <w:rPr>
          <w:rtl w:val="true"/>
        </w:rPr>
        <w:t>גם בטענה זו אין כדי לסייע למערער</w:t>
      </w:r>
      <w:r>
        <w:rPr>
          <w:rtl w:val="true"/>
        </w:rPr>
        <w:t xml:space="preserve">. </w:t>
      </w:r>
      <w:r>
        <w:rPr>
          <w:rtl w:val="true"/>
        </w:rPr>
        <w:t>בית משפט קמא עמד על כך בפסק דינו בהצביעו על היחס האמביוולנטי של קורבנות עבירות מין במשפחה כלפי הפוגע</w:t>
      </w:r>
      <w:r>
        <w:rPr>
          <w:rtl w:val="true"/>
        </w:rPr>
        <w:t xml:space="preserve">, </w:t>
      </w:r>
      <w:r>
        <w:rPr>
          <w:rtl w:val="true"/>
        </w:rPr>
        <w:t xml:space="preserve">כתופעה ידועה ומוכרת הן בספרות המקצועית והן בפסיקת בית משפט זה </w:t>
      </w:r>
      <w:r>
        <w:rPr>
          <w:rtl w:val="true"/>
        </w:rPr>
        <w:t>(</w:t>
      </w:r>
      <w:r>
        <w:rPr>
          <w:rtl w:val="true"/>
        </w:rPr>
        <w:t>ראו</w:t>
      </w:r>
      <w:r>
        <w:rPr>
          <w:rtl w:val="true"/>
        </w:rPr>
        <w:t xml:space="preserve">: </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5808/14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11</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7.10.2015</w:t>
      </w:r>
      <w:r>
        <w:rPr>
          <w:rtl w:val="true"/>
        </w:rPr>
        <w:t>);</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2353/08</w:t>
        </w:r>
      </w:hyperlink>
      <w:r>
        <w:rPr>
          <w:rtl w:val="true"/>
        </w:rPr>
        <w:t xml:space="preserve"> </w:t>
      </w:r>
      <w:r>
        <w:rPr>
          <w:rFonts w:ascii="Miriam" w:hAnsi="Miriam" w:cs="Miriam"/>
          <w:szCs w:val="24"/>
          <w:rtl w:val="true"/>
        </w:rPr>
        <w:t>פלוני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tl w:val="true"/>
        </w:rPr>
        <w:t xml:space="preserve">פסקה </w:t>
      </w:r>
      <w:r>
        <w:rPr/>
        <w:t>15</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7.12.2009</w:t>
      </w:r>
      <w:r>
        <w:rPr>
          <w:rtl w:val="true"/>
        </w:rPr>
        <w:t xml:space="preserve">)). </w:t>
      </w:r>
      <w:r>
        <w:rPr>
          <w:rtl w:val="true"/>
        </w:rPr>
        <w:t>יחס דו</w:t>
      </w:r>
      <w:r>
        <w:rPr>
          <w:rtl w:val="true"/>
        </w:rPr>
        <w:t>-</w:t>
      </w:r>
      <w:r>
        <w:rPr>
          <w:rtl w:val="true"/>
        </w:rPr>
        <w:t>ערכי זה עלה מפורשות גם במהלך הטיפול במתלוננת במרכז ענב</w:t>
      </w:r>
      <w:r>
        <w:rPr>
          <w:rtl w:val="true"/>
        </w:rPr>
        <w:t>"</w:t>
      </w:r>
      <w:r>
        <w:rPr>
          <w:rtl w:val="true"/>
        </w:rPr>
        <w:t>ל שם צוין</w:t>
      </w:r>
      <w:r>
        <w:rPr>
          <w:rtl w:val="true"/>
        </w:rPr>
        <w:t xml:space="preserve">, </w:t>
      </w:r>
      <w:r>
        <w:rPr>
          <w:rtl w:val="true"/>
        </w:rPr>
        <w:t>בין היתר</w:t>
      </w:r>
      <w:r>
        <w:rPr>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שוחחנו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האמביוולנציה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שחשה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הפוגע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שוחחנו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שטן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שברגעים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מסוימים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מלאך</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צדדים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ושלה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זיכרונות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חיוביים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ממנו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דיברתי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הבלבול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דווקא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פגיעות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מבלבלות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ומורכבות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כך</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ניכר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השיחה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הקלה</w:t>
      </w:r>
      <w:r>
        <w:rPr>
          <w:rFonts w:cs="Miriam" w:ascii="Century" w:hAnsi="Century"/>
          <w:b/>
          <w:spacing w:val="0"/>
          <w:sz w:val="22"/>
          <w:szCs w:val="24"/>
          <w:rtl w:val="true"/>
        </w:rPr>
        <w:t>"</w:t>
      </w:r>
      <w:r>
        <w:rPr>
          <w:rtl w:val="true"/>
        </w:rPr>
        <w:t xml:space="preserve"> (</w:t>
      </w:r>
      <w:r>
        <w:rPr>
          <w:rtl w:val="true"/>
        </w:rPr>
        <w:t>ראו</w:t>
      </w:r>
      <w:r>
        <w:rPr>
          <w:rtl w:val="true"/>
        </w:rPr>
        <w:t xml:space="preserve">: </w:t>
      </w:r>
      <w:r>
        <w:rPr>
          <w:rtl w:val="true"/>
        </w:rPr>
        <w:t>ת</w:t>
      </w:r>
      <w:r>
        <w:rPr>
          <w:rtl w:val="true"/>
        </w:rPr>
        <w:t>/</w:t>
      </w:r>
      <w:r>
        <w:rPr/>
        <w:t>56</w:t>
      </w:r>
      <w:r>
        <w:rPr>
          <w:rtl w:val="true"/>
        </w:rPr>
        <w:t xml:space="preserve"> </w:t>
      </w:r>
      <w:r>
        <w:rPr>
          <w:rtl w:val="true"/>
        </w:rPr>
        <w:t xml:space="preserve">תרשומת מיום </w:t>
      </w:r>
      <w:r>
        <w:rPr/>
        <w:t>24.2.2014</w:t>
      </w:r>
      <w:r>
        <w:rPr>
          <w:rtl w:val="true"/>
        </w:rPr>
        <w:t xml:space="preserve">). </w:t>
      </w:r>
      <w:r>
        <w:rPr>
          <w:rtl w:val="true"/>
        </w:rPr>
        <w:t>לפיכך</w:t>
      </w:r>
      <w:r>
        <w:rPr>
          <w:rtl w:val="true"/>
        </w:rPr>
        <w:t xml:space="preserve">, </w:t>
      </w:r>
      <w:r>
        <w:rPr>
          <w:rtl w:val="true"/>
        </w:rPr>
        <w:t>תיאורה המורכב של המתלוננת את יחסיה עם המערער</w:t>
      </w:r>
      <w:r>
        <w:rPr>
          <w:rtl w:val="true"/>
        </w:rPr>
        <w:t xml:space="preserve">, </w:t>
      </w:r>
      <w:r>
        <w:rPr>
          <w:rtl w:val="true"/>
        </w:rPr>
        <w:t>עשוי להעיד דווקא על אמינותה</w:t>
      </w:r>
      <w:r>
        <w:rPr>
          <w:rtl w:val="true"/>
        </w:rPr>
        <w:t xml:space="preserve">, </w:t>
      </w:r>
      <w:r>
        <w:rPr>
          <w:rtl w:val="true"/>
        </w:rPr>
        <w:t>ומכל מקום אין בו כדי לפגום בה</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אף אין בעובדה שבעת חשיפת המעשים בקלנסואה לא סיפרה המתלוננת לסבתה פ</w:t>
      </w:r>
      <w:r>
        <w:rPr>
          <w:rtl w:val="true"/>
        </w:rPr>
        <w:t xml:space="preserve">' </w:t>
      </w:r>
      <w:r>
        <w:rPr>
          <w:rtl w:val="true"/>
        </w:rPr>
        <w:t>ולדודה א</w:t>
      </w:r>
      <w:r>
        <w:rPr>
          <w:rtl w:val="true"/>
        </w:rPr>
        <w:t xml:space="preserve">' </w:t>
      </w:r>
      <w:r>
        <w:rPr>
          <w:rtl w:val="true"/>
        </w:rPr>
        <w:t>על עבירות המין החמורות יותר</w:t>
      </w:r>
      <w:r>
        <w:rPr>
          <w:rtl w:val="true"/>
        </w:rPr>
        <w:t xml:space="preserve">, </w:t>
      </w:r>
      <w:r>
        <w:rPr>
          <w:rtl w:val="true"/>
        </w:rPr>
        <w:t>והתמקדה במעשים המגונים</w:t>
      </w:r>
      <w:r>
        <w:rPr>
          <w:rtl w:val="true"/>
        </w:rPr>
        <w:t xml:space="preserve">, </w:t>
      </w:r>
      <w:r>
        <w:rPr>
          <w:rtl w:val="true"/>
        </w:rPr>
        <w:t>כדי לפגום במהימנותה</w:t>
      </w:r>
      <w:r>
        <w:rPr>
          <w:rtl w:val="true"/>
        </w:rPr>
        <w:t xml:space="preserve">. </w:t>
      </w:r>
      <w:r>
        <w:rPr>
          <w:rtl w:val="true"/>
        </w:rPr>
        <w:t>יש לזכור כי הייתה זו הפעם הראשונה בה חשפה המתלוננת את הפגיעות המיניות שעברה לאחר שנים בהן נצרה אותן בלבה</w:t>
      </w:r>
      <w:r>
        <w:rPr>
          <w:rtl w:val="true"/>
        </w:rPr>
        <w:t xml:space="preserve">, </w:t>
      </w:r>
      <w:r>
        <w:rPr>
          <w:rtl w:val="true"/>
        </w:rPr>
        <w:t>כאשר מן העדויות עולה כי מעמד החשיפה היה קשה ומלווה בסערת רגשות ובבכי שלה ושל סבתה</w:t>
      </w:r>
      <w:r>
        <w:rPr>
          <w:rtl w:val="true"/>
        </w:rPr>
        <w:t xml:space="preserve">. </w:t>
      </w:r>
      <w:r>
        <w:rPr>
          <w:rtl w:val="true"/>
        </w:rPr>
        <w:t>וכך באו הדברים לידי ביטוי בעדות המתלוננת</w:t>
      </w:r>
      <w:r>
        <w:rPr>
          <w:rtl w:val="true"/>
        </w:rPr>
        <w:t>: "</w:t>
      </w:r>
      <w:r>
        <w:rPr>
          <w:rFonts w:ascii="Century" w:hAnsi="Century" w:cs="Miriam"/>
          <w:b/>
          <w:b/>
          <w:spacing w:val="0"/>
          <w:sz w:val="22"/>
          <w:sz w:val="22"/>
          <w:szCs w:val="24"/>
          <w:rtl w:val="true"/>
        </w:rPr>
        <w:t>שש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חשבתי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להוציא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כשסיפרתי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לסבתא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ודודה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בקושי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מילים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כשמסתירים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טובות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לספר</w:t>
      </w:r>
      <w:r>
        <w:rPr>
          <w:rtl w:val="true"/>
        </w:rPr>
        <w:t>" (</w:t>
      </w:r>
      <w:r>
        <w:rPr>
          <w:rtl w:val="true"/>
        </w:rPr>
        <w:t>ראו</w:t>
      </w:r>
      <w:r>
        <w:rPr>
          <w:rtl w:val="true"/>
        </w:rPr>
        <w:t xml:space="preserve">: </w:t>
      </w:r>
      <w:r>
        <w:rPr>
          <w:rtl w:val="true"/>
        </w:rPr>
        <w:t xml:space="preserve">עמוד </w:t>
      </w:r>
      <w:r>
        <w:rPr/>
        <w:t>99</w:t>
      </w:r>
      <w:r>
        <w:rPr>
          <w:rtl w:val="true"/>
        </w:rPr>
        <w:t xml:space="preserve"> </w:t>
      </w:r>
      <w:r>
        <w:rPr>
          <w:rtl w:val="true"/>
        </w:rPr>
        <w:t xml:space="preserve">לפרוטוקול בשורות </w:t>
      </w:r>
      <w:r>
        <w:rPr/>
        <w:t>30-26</w:t>
      </w:r>
      <w:r>
        <w:rPr>
          <w:rtl w:val="true"/>
        </w:rPr>
        <w:t xml:space="preserve">; </w:t>
      </w:r>
      <w:r>
        <w:rPr>
          <w:rtl w:val="true"/>
        </w:rPr>
        <w:t>כן ראו</w:t>
      </w:r>
      <w:r>
        <w:rPr>
          <w:rtl w:val="true"/>
        </w:rPr>
        <w:t xml:space="preserve">: </w:t>
      </w:r>
      <w:r>
        <w:rPr>
          <w:rtl w:val="true"/>
        </w:rPr>
        <w:t xml:space="preserve">עמוד </w:t>
      </w:r>
      <w:r>
        <w:rPr/>
        <w:t>109</w:t>
      </w:r>
      <w:r>
        <w:rPr>
          <w:rtl w:val="true"/>
        </w:rPr>
        <w:t xml:space="preserve"> </w:t>
      </w:r>
      <w:r>
        <w:rPr>
          <w:rtl w:val="true"/>
        </w:rPr>
        <w:t xml:space="preserve">לפרוטוקול בשורות </w:t>
      </w:r>
      <w:r>
        <w:rPr/>
        <w:t>31-21</w:t>
      </w:r>
      <w:r>
        <w:rPr>
          <w:rtl w:val="true"/>
        </w:rPr>
        <w:t xml:space="preserve">). </w:t>
      </w:r>
      <w:r>
        <w:rPr>
          <w:rtl w:val="true"/>
        </w:rPr>
        <w:t>ואכן</w:t>
      </w:r>
      <w:r>
        <w:rPr>
          <w:rtl w:val="true"/>
        </w:rPr>
        <w:t xml:space="preserve">, </w:t>
      </w:r>
      <w:r>
        <w:rPr>
          <w:rtl w:val="true"/>
        </w:rPr>
        <w:t>לא ניתן לצפות ממתלוננת</w:t>
      </w:r>
      <w:r>
        <w:rPr>
          <w:rtl w:val="true"/>
        </w:rPr>
        <w:t xml:space="preserve">, </w:t>
      </w:r>
      <w:r>
        <w:rPr>
          <w:rtl w:val="true"/>
        </w:rPr>
        <w:t>ובמיוחד ממתלוננת קטינה</w:t>
      </w:r>
      <w:r>
        <w:rPr>
          <w:rtl w:val="true"/>
        </w:rPr>
        <w:t xml:space="preserve">, </w:t>
      </w:r>
      <w:r>
        <w:rPr>
          <w:rtl w:val="true"/>
        </w:rPr>
        <w:t>לחשוף בפירוט ובדיוק רב את כל הפרטים הנוגעים לפגיעה מינית שעברה בפעם הראשונה בה היא אוזרת עוז לחשוף את הדברים</w:t>
      </w:r>
      <w:r>
        <w:rPr>
          <w:rtl w:val="true"/>
        </w:rPr>
        <w:t xml:space="preserve">. </w:t>
      </w:r>
      <w:r>
        <w:rPr>
          <w:rtl w:val="true"/>
        </w:rPr>
        <w:t>בהקשר זה נקבע בפסיקה כי אף שבמצב דברים רגיל ניתן משקל מיוחד לגרסתו הראשונה של קורבן העבירה</w:t>
      </w:r>
      <w:r>
        <w:rPr>
          <w:rtl w:val="true"/>
        </w:rPr>
        <w:t xml:space="preserve">, </w:t>
      </w:r>
      <w:r>
        <w:rPr>
          <w:rtl w:val="true"/>
        </w:rPr>
        <w:t>שונים פני הדברים בהתייחס לגרסאותיהם הראשונות של קורבנות עבירות מין</w:t>
      </w:r>
      <w:r>
        <w:rPr>
          <w:rtl w:val="true"/>
        </w:rPr>
        <w:t xml:space="preserve">, </w:t>
      </w:r>
      <w:r>
        <w:rPr>
          <w:rtl w:val="true"/>
        </w:rPr>
        <w:t>ובפרט עבירות מין במשפחה</w:t>
      </w:r>
      <w:r>
        <w:rPr>
          <w:rtl w:val="true"/>
        </w:rPr>
        <w:t xml:space="preserve">, </w:t>
      </w:r>
      <w:r>
        <w:rPr>
          <w:rtl w:val="true"/>
        </w:rPr>
        <w:t>העשויות להיות לקוניות</w:t>
      </w:r>
      <w:r>
        <w:rPr>
          <w:rtl w:val="true"/>
        </w:rPr>
        <w:t xml:space="preserve">, </w:t>
      </w:r>
      <w:r>
        <w:rPr>
          <w:rtl w:val="true"/>
        </w:rPr>
        <w:t xml:space="preserve">מרוככות </w:t>
      </w:r>
      <w:r>
        <w:rPr>
          <w:rFonts w:ascii="FrankRuehl" w:hAnsi="FrankRuehl" w:cs="FrankRuehl"/>
          <w:color w:val="000000"/>
          <w:sz w:val="28"/>
          <w:sz w:val="28"/>
          <w:rtl w:val="true"/>
        </w:rPr>
        <w:t>ומאופק</w:t>
      </w:r>
      <w:r>
        <w:rPr>
          <w:rFonts w:ascii="FrankRuehl" w:hAnsi="FrankRuehl" w:cs="FrankRuehl"/>
          <w:color w:val="000000"/>
          <w:sz w:val="28"/>
          <w:sz w:val="28"/>
          <w:rtl w:val="true"/>
        </w:rPr>
        <w:t>ו</w:t>
      </w:r>
      <w:r>
        <w:rPr>
          <w:rFonts w:ascii="FrankRuehl" w:hAnsi="FrankRuehl" w:cs="FrankRuehl"/>
          <w:color w:val="000000"/>
          <w:sz w:val="28"/>
          <w:sz w:val="28"/>
          <w:rtl w:val="true"/>
        </w:rPr>
        <w:t>ת</w:t>
      </w:r>
      <w:r>
        <w:rPr>
          <w:rFonts w:ascii="FrankRuehl" w:hAnsi="FrankRuehl" w:cs="FrankRuehl"/>
          <w:color w:val="000000"/>
          <w:sz w:val="28"/>
          <w:sz w:val="28"/>
          <w:rtl w:val="true"/>
        </w:rPr>
        <w:t xml:space="preserve"> </w:t>
      </w:r>
      <w:r>
        <w:rPr>
          <w:rFonts w:cs="FrankRuehl" w:ascii="FrankRuehl" w:hAnsi="FrankRuehl"/>
          <w:color w:val="000000"/>
          <w:sz w:val="28"/>
          <w:rtl w:val="true"/>
        </w:rPr>
        <w:t>(</w:t>
      </w:r>
      <w:r>
        <w:rPr>
          <w:rFonts w:ascii="FrankRuehl" w:hAnsi="FrankRuehl" w:cs="FrankRuehl"/>
          <w:color w:val="000000"/>
          <w:sz w:val="28"/>
          <w:sz w:val="28"/>
          <w:rtl w:val="true"/>
        </w:rPr>
        <w:t>ראו</w:t>
      </w:r>
      <w:r>
        <w:rPr>
          <w:rFonts w:cs="FrankRuehl" w:ascii="FrankRuehl" w:hAnsi="FrankRuehl"/>
          <w:color w:val="000000"/>
          <w:sz w:val="28"/>
          <w:rtl w:val="true"/>
        </w:rPr>
        <w:t xml:space="preserve">: </w:t>
      </w:r>
      <w:hyperlink r:id="rId36">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5582/09</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85</w:t>
      </w:r>
      <w:r>
        <w:rPr>
          <w:rFonts w:cs="FrankRuehl" w:ascii="FrankRuehl" w:hAnsi="FrankRuehl"/>
          <w:color w:val="000000"/>
          <w:sz w:val="28"/>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FrankRuehl" w:ascii="FrankRuehl" w:hAnsi="FrankRuehl"/>
          <w:color w:val="000000"/>
          <w:sz w:val="28"/>
          <w:rtl w:val="true"/>
        </w:rPr>
        <w:t>(</w:t>
      </w:r>
      <w:r>
        <w:rPr>
          <w:rFonts w:cs="FrankRuehl" w:ascii="FrankRuehl" w:hAnsi="FrankRuehl"/>
          <w:color w:val="000000"/>
          <w:sz w:val="28"/>
        </w:rPr>
        <w:t>20.10.2010</w:t>
      </w:r>
      <w:r>
        <w:rPr>
          <w:rFonts w:cs="FrankRuehl" w:ascii="FrankRuehl" w:hAnsi="FrankRuehl"/>
          <w:color w:val="000000"/>
          <w:sz w:val="28"/>
          <w:rtl w:val="true"/>
        </w:rPr>
        <w:t xml:space="preserve">)). </w:t>
      </w:r>
      <w:r>
        <w:rPr>
          <w:rtl w:val="true"/>
        </w:rPr>
        <w:t>מכל מקום</w:t>
      </w:r>
      <w:r>
        <w:rPr>
          <w:rtl w:val="true"/>
        </w:rPr>
        <w:t xml:space="preserve">, </w:t>
      </w:r>
      <w:r>
        <w:rPr>
          <w:rtl w:val="true"/>
        </w:rPr>
        <w:t>בהמשך סיפרה המתלוננת בעקביות על המעשים החמורים שחוותה הן לאשת אביה</w:t>
      </w:r>
      <w:r>
        <w:rPr>
          <w:rtl w:val="true"/>
        </w:rPr>
        <w:t xml:space="preserve">, </w:t>
      </w:r>
      <w:r>
        <w:rPr>
          <w:rtl w:val="true"/>
        </w:rPr>
        <w:t>הן בחקירת המשטרה</w:t>
      </w:r>
      <w:r>
        <w:rPr>
          <w:rtl w:val="true"/>
        </w:rPr>
        <w:t xml:space="preserve">, </w:t>
      </w:r>
      <w:r>
        <w:rPr>
          <w:rtl w:val="true"/>
        </w:rPr>
        <w:t>הן בבית המשפט והן במסגרת הטיפול במרכז ענב</w:t>
      </w:r>
      <w:r>
        <w:rPr>
          <w:rtl w:val="true"/>
        </w:rPr>
        <w:t>"</w:t>
      </w:r>
      <w:r>
        <w:rPr>
          <w:rtl w:val="true"/>
        </w:rPr>
        <w:t>ל</w:t>
      </w:r>
      <w:r>
        <w:rPr>
          <w:rtl w:val="true"/>
        </w:rPr>
        <w:t xml:space="preserve">. </w:t>
      </w:r>
    </w:p>
    <w:p>
      <w:pPr>
        <w:pStyle w:val="Ruller42"/>
        <w:ind w:end="0"/>
        <w:jc w:val="both"/>
        <w:rPr/>
      </w:pPr>
      <w:r>
        <w:rPr>
          <w:rtl w:val="true"/>
        </w:rPr>
      </w:r>
    </w:p>
    <w:p>
      <w:pPr>
        <w:pStyle w:val="Ruller43"/>
        <w:numPr>
          <w:ilvl w:val="0"/>
          <w:numId w:val="1"/>
        </w:numPr>
        <w:ind w:end="0"/>
        <w:jc w:val="both"/>
        <w:rPr/>
      </w:pPr>
      <w:r>
        <w:rPr>
          <w:b/>
          <w:b/>
          <w:rtl w:val="true"/>
        </w:rPr>
        <w:t>המערער חוזר בערעורו על חלק מטענותיו בנוגע למניעים אפשריים שהיו למתלוננת להעליל עליו עלילת שווא</w:t>
      </w:r>
      <w:r>
        <w:rPr>
          <w:b/>
          <w:rtl w:val="true"/>
        </w:rPr>
        <w:t xml:space="preserve">. </w:t>
      </w:r>
      <w:r>
        <w:rPr>
          <w:b/>
          <w:b/>
          <w:rtl w:val="true"/>
        </w:rPr>
        <w:t>כך</w:t>
      </w:r>
      <w:r>
        <w:rPr>
          <w:b/>
          <w:rtl w:val="true"/>
        </w:rPr>
        <w:t xml:space="preserve">, </w:t>
      </w:r>
      <w:r>
        <w:rPr>
          <w:b/>
          <w:b/>
          <w:rtl w:val="true"/>
        </w:rPr>
        <w:t>חוזר המערער על טענתו כי המתלוננת העלילה עליו בשל חששה הכבד מהאבחון הפסיכיאטרי אליו ביקשו המערער והאם להפנותה וחששה מהוצאתה מן הבית למוסד פסיכיאטרי או לפנימיי</w:t>
      </w:r>
      <w:r>
        <w:rPr>
          <w:b/>
          <w:b/>
          <w:rtl w:val="true"/>
        </w:rPr>
        <w:t>ה</w:t>
      </w:r>
      <w:r>
        <w:rPr>
          <w:b/>
          <w:rtl w:val="true"/>
        </w:rPr>
        <w:t xml:space="preserve">; </w:t>
      </w:r>
      <w:r>
        <w:rPr>
          <w:b/>
          <w:b/>
          <w:rtl w:val="true"/>
        </w:rPr>
        <w:t>בשל חששה שתוחזר לבית האם והמערער</w:t>
      </w:r>
      <w:r>
        <w:rPr>
          <w:b/>
          <w:rtl w:val="true"/>
        </w:rPr>
        <w:t xml:space="preserve">; </w:t>
      </w:r>
      <w:r>
        <w:rPr>
          <w:b/>
          <w:b/>
          <w:rtl w:val="true"/>
        </w:rPr>
        <w:t>בשל רצונה לנקום במערער על מה שחוותה כהתעללות ו</w:t>
      </w:r>
      <w:r>
        <w:rPr>
          <w:b/>
          <w:rtl w:val="true"/>
        </w:rPr>
        <w:t>"</w:t>
      </w:r>
      <w:r>
        <w:rPr>
          <w:b/>
          <w:b/>
          <w:rtl w:val="true"/>
        </w:rPr>
        <w:t>זריקתה</w:t>
      </w:r>
      <w:r>
        <w:rPr>
          <w:b/>
          <w:rtl w:val="true"/>
        </w:rPr>
        <w:t xml:space="preserve">" </w:t>
      </w:r>
      <w:r>
        <w:rPr>
          <w:b/>
          <w:b/>
          <w:rtl w:val="true"/>
        </w:rPr>
        <w:t>מביתם</w:t>
      </w:r>
      <w:r>
        <w:rPr>
          <w:b/>
          <w:rtl w:val="true"/>
        </w:rPr>
        <w:t xml:space="preserve">; </w:t>
      </w:r>
      <w:r>
        <w:rPr>
          <w:b/>
          <w:b/>
          <w:rtl w:val="true"/>
        </w:rPr>
        <w:t>ובשל לחץ משפחתי לספר על מעשים מיניים שעשה בה המערער</w:t>
      </w:r>
      <w:r>
        <w:rPr>
          <w:b/>
          <w:rtl w:val="true"/>
        </w:rPr>
        <w:t xml:space="preserve">. </w:t>
      </w:r>
      <w:r>
        <w:rPr>
          <w:b/>
          <w:b/>
          <w:rtl w:val="true"/>
        </w:rPr>
        <w:t>המערער מוסיף וטוען כי את הרעיון לתלונת השווא שאבה המתלוננת מסיפור ששמעה על חברתה של אמה שהעלילה על אבי בנותיה שזה פגע בהן מינית</w:t>
      </w:r>
      <w:r>
        <w:rPr>
          <w:b/>
          <w:rtl w:val="true"/>
        </w:rPr>
        <w:t xml:space="preserve">. </w:t>
      </w:r>
    </w:p>
    <w:p>
      <w:pPr>
        <w:pStyle w:val="Ruller42"/>
        <w:ind w:end="0"/>
        <w:jc w:val="both"/>
        <w:rPr/>
      </w:pPr>
      <w:r>
        <w:rPr>
          <w:rtl w:val="true"/>
        </w:rPr>
      </w:r>
    </w:p>
    <w:p>
      <w:pPr>
        <w:pStyle w:val="Ruller43"/>
        <w:numPr>
          <w:ilvl w:val="0"/>
          <w:numId w:val="1"/>
        </w:numPr>
        <w:ind w:end="0"/>
        <w:jc w:val="both"/>
        <w:rPr/>
      </w:pPr>
      <w:r>
        <w:rPr>
          <w:rtl w:val="true"/>
        </w:rPr>
        <w:t>בית משפט קמא ערך דיון מקיף ומעמיק בכל הטענות אותן העלה המערער בהקשר זה</w:t>
      </w:r>
      <w:r>
        <w:rPr>
          <w:rtl w:val="true"/>
        </w:rPr>
        <w:t xml:space="preserve">, </w:t>
      </w:r>
      <w:r>
        <w:rPr>
          <w:rtl w:val="true"/>
        </w:rPr>
        <w:t xml:space="preserve">דחה אותן בהסתמך על הראיות והעדויות שהוצגו בפניו ולא מצאתי כי נפלו בקביעותיו טעויות המצדיקות את התערבותנו </w:t>
      </w:r>
      <w:r>
        <w:rPr>
          <w:rtl w:val="true"/>
        </w:rPr>
        <w:t>(</w:t>
      </w:r>
      <w:r>
        <w:rPr>
          <w:rtl w:val="true"/>
        </w:rPr>
        <w:t>ראו</w:t>
      </w:r>
      <w:r>
        <w:rPr>
          <w:rtl w:val="true"/>
        </w:rPr>
        <w:t xml:space="preserve">: </w:t>
      </w:r>
      <w:r>
        <w:rPr>
          <w:rtl w:val="true"/>
        </w:rPr>
        <w:t xml:space="preserve">עמודים </w:t>
      </w:r>
      <w:r>
        <w:rPr/>
        <w:t>84-76</w:t>
      </w:r>
      <w:r>
        <w:rPr>
          <w:rtl w:val="true"/>
        </w:rPr>
        <w:t xml:space="preserve"> </w:t>
      </w:r>
      <w:r>
        <w:rPr>
          <w:rtl w:val="true"/>
        </w:rPr>
        <w:t>להכרעת הדין</w:t>
      </w:r>
      <w:r>
        <w:rPr>
          <w:rtl w:val="true"/>
        </w:rPr>
        <w:t xml:space="preserve">). </w:t>
      </w:r>
      <w:r>
        <w:rPr>
          <w:rtl w:val="true"/>
        </w:rPr>
        <w:t>אכן</w:t>
      </w:r>
      <w:r>
        <w:rPr>
          <w:rtl w:val="true"/>
        </w:rPr>
        <w:t xml:space="preserve">, </w:t>
      </w:r>
      <w:r>
        <w:rPr>
          <w:rtl w:val="true"/>
        </w:rPr>
        <w:t>המתלוננת חששה מן האבחון הפסיכיאטרי ומהשלכותיו על הוצאתה מן הבית לאשפוז פסיכיאטרי או לפנימיי</w:t>
      </w:r>
      <w:r>
        <w:rPr>
          <w:rtl w:val="true"/>
        </w:rPr>
        <w:t>ה</w:t>
      </w:r>
      <w:r>
        <w:rPr>
          <w:rtl w:val="true"/>
        </w:rPr>
        <w:t xml:space="preserve">. </w:t>
      </w:r>
      <w:r>
        <w:rPr>
          <w:rtl w:val="true"/>
        </w:rPr>
        <w:t>ואולם</w:t>
      </w:r>
      <w:r>
        <w:rPr>
          <w:rtl w:val="true"/>
        </w:rPr>
        <w:t xml:space="preserve">, </w:t>
      </w:r>
      <w:r>
        <w:rPr>
          <w:rtl w:val="true"/>
        </w:rPr>
        <w:t>כפי שעלה מכל העדויות שנמצאו מהימנות</w:t>
      </w:r>
      <w:r>
        <w:rPr>
          <w:rtl w:val="true"/>
        </w:rPr>
        <w:t xml:space="preserve">, </w:t>
      </w:r>
      <w:r>
        <w:rPr>
          <w:rtl w:val="true"/>
        </w:rPr>
        <w:t>במועד הגשת התלונה נגד המערער הן החשש מפני אשפוז פסיכיאטרי והן החשש כי תוחזר לבית האם והמערער כבר חלפו</w:t>
      </w:r>
      <w:r>
        <w:rPr>
          <w:rtl w:val="true"/>
        </w:rPr>
        <w:t xml:space="preserve">. </w:t>
      </w:r>
      <w:r>
        <w:rPr>
          <w:rtl w:val="true"/>
        </w:rPr>
        <w:t>זאת</w:t>
      </w:r>
      <w:r>
        <w:rPr>
          <w:rtl w:val="true"/>
        </w:rPr>
        <w:t xml:space="preserve">, </w:t>
      </w:r>
      <w:r>
        <w:rPr>
          <w:rtl w:val="true"/>
        </w:rPr>
        <w:t>שכן בעת הגשת התלונה</w:t>
      </w:r>
      <w:r>
        <w:rPr>
          <w:rtl w:val="true"/>
        </w:rPr>
        <w:t xml:space="preserve">, </w:t>
      </w:r>
      <w:r>
        <w:rPr>
          <w:rtl w:val="true"/>
        </w:rPr>
        <w:t>ואף בטרם חשיפת הפגיעות המיניות</w:t>
      </w:r>
      <w:r>
        <w:rPr>
          <w:rtl w:val="true"/>
        </w:rPr>
        <w:t xml:space="preserve">, </w:t>
      </w:r>
      <w:r>
        <w:rPr>
          <w:rtl w:val="true"/>
        </w:rPr>
        <w:t>המתלוננת כבר ידעה שהיא רצויה בבית אביה</w:t>
      </w:r>
      <w:r>
        <w:rPr>
          <w:rtl w:val="true"/>
        </w:rPr>
        <w:t xml:space="preserve">, </w:t>
      </w:r>
      <w:r>
        <w:rPr>
          <w:rtl w:val="true"/>
        </w:rPr>
        <w:t>כי הוא נלחם על העברת המשמורת בעניינה וכי היא לא תאלץ לעבור אבחון פסיכיאטרי במכון בו סברה שיש למערער קשרים</w:t>
      </w:r>
      <w:r>
        <w:rPr>
          <w:rtl w:val="true"/>
        </w:rPr>
        <w:t xml:space="preserve">. </w:t>
      </w:r>
      <w:r>
        <w:rPr>
          <w:rtl w:val="true"/>
        </w:rPr>
        <w:t>ואכן</w:t>
      </w:r>
      <w:r>
        <w:rPr>
          <w:rtl w:val="true"/>
        </w:rPr>
        <w:t xml:space="preserve">, </w:t>
      </w:r>
      <w:r>
        <w:rPr>
          <w:rtl w:val="true"/>
        </w:rPr>
        <w:t>המתלוננת שיתפה פעולה באופן מלא עם האבחון שנערך על</w:t>
      </w:r>
      <w:r>
        <w:rPr>
          <w:rtl w:val="true"/>
        </w:rPr>
        <w:t>-</w:t>
      </w:r>
      <w:r>
        <w:rPr>
          <w:rtl w:val="true"/>
        </w:rPr>
        <w:t>ידי ד</w:t>
      </w:r>
      <w:r>
        <w:rPr>
          <w:rtl w:val="true"/>
        </w:rPr>
        <w:t>"</w:t>
      </w:r>
      <w:r>
        <w:rPr>
          <w:rtl w:val="true"/>
        </w:rPr>
        <w:t>ר פלשמן</w:t>
      </w:r>
      <w:r>
        <w:rPr>
          <w:rtl w:val="true"/>
        </w:rPr>
        <w:t xml:space="preserve">. </w:t>
      </w:r>
      <w:r>
        <w:rPr>
          <w:rtl w:val="true"/>
        </w:rPr>
        <w:t>לכך אוסיף את העובדה</w:t>
      </w:r>
      <w:r>
        <w:rPr>
          <w:rtl w:val="true"/>
        </w:rPr>
        <w:t xml:space="preserve">, </w:t>
      </w:r>
      <w:r>
        <w:rPr>
          <w:rtl w:val="true"/>
        </w:rPr>
        <w:t>שאף עליה עמד בית משפט קמא בהרחבה</w:t>
      </w:r>
      <w:r>
        <w:rPr>
          <w:rtl w:val="true"/>
        </w:rPr>
        <w:t xml:space="preserve">, </w:t>
      </w:r>
      <w:r>
        <w:rPr>
          <w:rtl w:val="true"/>
        </w:rPr>
        <w:t>כי מלכתחילה תלונת שווא אינה מתיישבת עם הראיות המוצקות ולפיהן המתלוננת כלל לא ביקשה להתלונן</w:t>
      </w:r>
      <w:r>
        <w:rPr>
          <w:rtl w:val="true"/>
        </w:rPr>
        <w:t xml:space="preserve">, </w:t>
      </w:r>
      <w:r>
        <w:rPr>
          <w:rtl w:val="true"/>
        </w:rPr>
        <w:t xml:space="preserve">לא בפני אביה ולא במשטרה </w:t>
      </w:r>
      <w:r>
        <w:rPr>
          <w:rtl w:val="true"/>
        </w:rPr>
        <w:t>(</w:t>
      </w:r>
      <w:r>
        <w:rPr>
          <w:rtl w:val="true"/>
        </w:rPr>
        <w:t>ראו</w:t>
      </w:r>
      <w:r>
        <w:rPr>
          <w:rtl w:val="true"/>
        </w:rPr>
        <w:t xml:space="preserve">: </w:t>
      </w:r>
      <w:r>
        <w:rPr>
          <w:rtl w:val="true"/>
        </w:rPr>
        <w:t xml:space="preserve">עמוד </w:t>
      </w:r>
      <w:r>
        <w:rPr/>
        <w:t>70</w:t>
      </w:r>
      <w:r>
        <w:rPr>
          <w:rtl w:val="true"/>
        </w:rPr>
        <w:t xml:space="preserve"> </w:t>
      </w:r>
      <w:r>
        <w:rPr>
          <w:rtl w:val="true"/>
        </w:rPr>
        <w:t xml:space="preserve">לפרוטוקול בשורות </w:t>
      </w:r>
      <w:r>
        <w:rPr/>
        <w:t>21-15</w:t>
      </w:r>
      <w:r>
        <w:rPr>
          <w:rtl w:val="true"/>
        </w:rPr>
        <w:t xml:space="preserve">). </w:t>
      </w:r>
      <w:r>
        <w:rPr>
          <w:rtl w:val="true"/>
        </w:rPr>
        <w:t>בהתאם לכך</w:t>
      </w:r>
      <w:r>
        <w:rPr>
          <w:rtl w:val="true"/>
        </w:rPr>
        <w:t xml:space="preserve">, </w:t>
      </w:r>
      <w:r>
        <w:rPr>
          <w:rtl w:val="true"/>
        </w:rPr>
        <w:t>השערת המערער כי המתלוננת העלילה עליו כדי לזכות ברווחים משניים לתלונה וכן השערתו כי רצתה לנקום בו על</w:t>
      </w:r>
      <w:r>
        <w:rPr>
          <w:rtl w:val="true"/>
        </w:rPr>
        <w:t>-</w:t>
      </w:r>
      <w:r>
        <w:rPr>
          <w:rtl w:val="true"/>
        </w:rPr>
        <w:t>ידי הגשת תלונה שקרית נגדו אינה מתיישבת לא עם הראיות ולא השכל הישר</w:t>
      </w:r>
      <w:r>
        <w:rPr>
          <w:rtl w:val="true"/>
        </w:rPr>
        <w:t xml:space="preserve">. </w:t>
      </w:r>
      <w:r>
        <w:rPr>
          <w:rtl w:val="true"/>
        </w:rPr>
        <w:t>אף לטענה כי המתלוננת הוסתה על</w:t>
      </w:r>
      <w:r>
        <w:rPr>
          <w:rtl w:val="true"/>
        </w:rPr>
        <w:t>-</w:t>
      </w:r>
      <w:r>
        <w:rPr>
          <w:rtl w:val="true"/>
        </w:rPr>
        <w:t>ידי סבתה או אביה לא נמצאה אחיזה בראיות</w:t>
      </w:r>
      <w:r>
        <w:rPr>
          <w:rtl w:val="true"/>
        </w:rPr>
        <w:t>.</w:t>
      </w:r>
    </w:p>
    <w:p>
      <w:pPr>
        <w:pStyle w:val="Ruller42"/>
        <w:spacing w:lineRule="auto" w:line="240"/>
        <w:ind w:end="0"/>
        <w:jc w:val="both"/>
        <w:rPr/>
      </w:pPr>
      <w:r>
        <w:rPr>
          <w:rtl w:val="true"/>
        </w:rPr>
      </w:r>
    </w:p>
    <w:p>
      <w:pPr>
        <w:pStyle w:val="Ruller42"/>
        <w:ind w:end="0"/>
        <w:jc w:val="both"/>
        <w:rPr>
          <w:rFonts w:ascii="Century" w:hAnsi="Century" w:cs="Miriam"/>
          <w:b/>
          <w:spacing w:val="0"/>
          <w:szCs w:val="24"/>
        </w:rPr>
      </w:pPr>
      <w:r>
        <w:rPr>
          <w:rFonts w:eastAsia="Arial TUR;Arial" w:cs="Arial TUR;Arial"/>
          <w:rtl w:val="true"/>
        </w:rPr>
        <w:t xml:space="preserve"> </w:t>
      </w: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3"/>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end="0"/>
        <w:jc w:val="both"/>
        <w:rPr/>
      </w:pPr>
      <w:r>
        <w:rPr>
          <w:rtl w:val="true"/>
        </w:rPr>
        <w:t>לאחר בחינת טענות המערער</w:t>
      </w:r>
      <w:r>
        <w:rPr>
          <w:rtl w:val="true"/>
        </w:rPr>
        <w:t xml:space="preserve">, </w:t>
      </w:r>
      <w:r>
        <w:rPr>
          <w:rtl w:val="true"/>
        </w:rPr>
        <w:t>לא מצאתי כי יש באלה כדי לערער את גרסת המתלוננת או כדי להקים ספק סביר בדבר אשמתו של המערער</w:t>
      </w:r>
      <w:r>
        <w:rPr>
          <w:rtl w:val="true"/>
        </w:rPr>
        <w:t xml:space="preserve">. </w:t>
      </w:r>
      <w:r>
        <w:rPr>
          <w:rtl w:val="true"/>
        </w:rPr>
        <w:t>אף לא עלה בידי  המערער להצביע על טעות בהכרעת דינו של בית משפט קמא</w:t>
      </w:r>
      <w:r>
        <w:rPr>
          <w:rtl w:val="true"/>
        </w:rPr>
        <w:t xml:space="preserve">. </w:t>
      </w:r>
      <w:r>
        <w:rPr>
          <w:rtl w:val="true"/>
        </w:rPr>
        <w:t>מדובר בהכרעת דין מקיפה ומבוססת</w:t>
      </w:r>
      <w:r>
        <w:rPr>
          <w:rtl w:val="true"/>
        </w:rPr>
        <w:t xml:space="preserve">, </w:t>
      </w:r>
      <w:r>
        <w:rPr>
          <w:rtl w:val="true"/>
        </w:rPr>
        <w:t>הנשענת על התרשמותה של הערכאה הדיונית מהעדויות שהובאו לפניה</w:t>
      </w:r>
      <w:r>
        <w:rPr>
          <w:rtl w:val="true"/>
        </w:rPr>
        <w:t xml:space="preserve">, </w:t>
      </w:r>
      <w:r>
        <w:rPr>
          <w:rtl w:val="true"/>
        </w:rPr>
        <w:t>ובכלל זאת עדויות המתלוננת והמערער</w:t>
      </w:r>
      <w:r>
        <w:rPr>
          <w:rtl w:val="true"/>
        </w:rPr>
        <w:t xml:space="preserve">, </w:t>
      </w:r>
      <w:r>
        <w:rPr>
          <w:rtl w:val="true"/>
        </w:rPr>
        <w:t>וכן על עדויות מחזקות נוספות</w:t>
      </w:r>
      <w:r>
        <w:rPr>
          <w:rtl w:val="true"/>
        </w:rPr>
        <w:t xml:space="preserve">. </w:t>
      </w:r>
      <w:r>
        <w:rPr>
          <w:rtl w:val="true"/>
        </w:rPr>
        <w:t>בחינתן של ראיות אלה מלמדת כי לא קמה עילה להתערבות ערכאת הערעור בהכרעת הדין</w:t>
      </w:r>
      <w:r>
        <w:rPr>
          <w:rtl w:val="true"/>
        </w:rPr>
        <w:t xml:space="preserve">, </w:t>
      </w:r>
      <w:r>
        <w:rPr>
          <w:rtl w:val="true"/>
        </w:rPr>
        <w:t>ולפיכך אציע לחבריי לדחות את הערעור</w:t>
      </w:r>
      <w:r>
        <w:rPr>
          <w:rtl w:val="true"/>
        </w:rPr>
        <w:t>.</w:t>
      </w:r>
    </w:p>
    <w:p>
      <w:pPr>
        <w:pStyle w:val="Ruller43"/>
        <w:numPr>
          <w:ilvl w:val="0"/>
          <w:numId w:val="0"/>
        </w:numPr>
        <w:ind w:hanging="0" w:start="0" w:end="0"/>
        <w:jc w:val="both"/>
        <w:rPr/>
      </w:pPr>
      <w:r>
        <w:rPr>
          <w:rtl w:val="true"/>
        </w:rPr>
      </w:r>
    </w:p>
    <w:p>
      <w:pPr>
        <w:pStyle w:val="Ruller42"/>
        <w:ind w:end="0"/>
        <w:jc w:val="both"/>
        <w:rPr/>
      </w:pPr>
      <w:r>
        <w:rPr>
          <w:rtl w:val="true"/>
        </w:rPr>
      </w:r>
    </w:p>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2"/>
        <w:ind w:end="0"/>
        <w:jc w:val="both"/>
        <w:rPr>
          <w:rFonts w:cs="Miriam"/>
          <w:b/>
          <w:spacing w:val="0"/>
          <w:szCs w:val="24"/>
          <w:u w:val="single"/>
        </w:rPr>
      </w:pPr>
      <w:r>
        <w:rPr>
          <w:rFonts w:cs="Miriam"/>
          <w:b/>
          <w:spacing w:val="0"/>
          <w:szCs w:val="24"/>
          <w:u w:val="single"/>
          <w:rtl w:val="true"/>
        </w:rPr>
      </w:r>
    </w:p>
    <w:p>
      <w:pPr>
        <w:pStyle w:val="Ruller42"/>
        <w:ind w:end="0"/>
        <w:jc w:val="both"/>
        <w:rPr>
          <w:rFonts w:cs="Miriam"/>
          <w:b/>
          <w:spacing w:val="0"/>
          <w:szCs w:val="24"/>
          <w:u w:val="single"/>
        </w:rPr>
      </w:pPr>
      <w:r>
        <w:rPr>
          <w:rFonts w:cs="Miriam"/>
          <w:b/>
          <w:spacing w:val="0"/>
          <w:szCs w:val="24"/>
          <w:u w:val="single"/>
          <w:rtl w:val="true"/>
        </w:rPr>
      </w:r>
    </w:p>
    <w:p>
      <w:pPr>
        <w:pStyle w:val="Ruller42"/>
        <w:ind w:end="0"/>
        <w:jc w:val="both"/>
        <w:rPr>
          <w:rFonts w:cs="Miriam"/>
          <w:b/>
          <w:spacing w:val="0"/>
          <w:szCs w:val="24"/>
        </w:rPr>
      </w:pPr>
      <w:r>
        <w:rPr>
          <w:rFonts w:cs="Miriam"/>
          <w:b/>
          <w:b/>
          <w:spacing w:val="0"/>
          <w:szCs w:val="24"/>
          <w:u w:val="single"/>
          <w:rtl w:val="true"/>
        </w:rPr>
        <w:t>השופט</w:t>
      </w:r>
      <w:r>
        <w:rPr>
          <w:rFonts w:eastAsia="Arial TUR;Arial" w:cs="Arial TUR;Arial"/>
          <w:b/>
          <w:b/>
          <w:spacing w:val="0"/>
          <w:szCs w:val="24"/>
          <w:u w:val="single"/>
          <w:rtl w:val="true"/>
        </w:rPr>
        <w:t xml:space="preserve"> </w:t>
      </w:r>
      <w:r>
        <w:rPr>
          <w:rFonts w:cs="Miriam"/>
          <w:b/>
          <w:b/>
          <w:spacing w:val="0"/>
          <w:szCs w:val="24"/>
          <w:u w:val="single"/>
          <w:rtl w:val="true"/>
        </w:rPr>
        <w:t>ע</w:t>
      </w:r>
      <w:r>
        <w:rPr>
          <w:rFonts w:cs="Miriam"/>
          <w:b/>
          <w:spacing w:val="0"/>
          <w:szCs w:val="24"/>
          <w:u w:val="single"/>
          <w:rtl w:val="true"/>
        </w:rPr>
        <w:t xml:space="preserve">' </w:t>
      </w:r>
      <w:r>
        <w:rPr>
          <w:rFonts w:cs="Miriam"/>
          <w:b/>
          <w:b/>
          <w:spacing w:val="0"/>
          <w:szCs w:val="24"/>
          <w:u w:val="single"/>
          <w:rtl w:val="true"/>
        </w:rPr>
        <w:t>פוגלמן</w:t>
      </w:r>
      <w:r>
        <w:rPr>
          <w:rFonts w:cs="Miriam"/>
          <w:b/>
          <w:spacing w:val="0"/>
          <w:szCs w:val="24"/>
          <w:rtl w:val="true"/>
        </w:rPr>
        <w:t>:</w:t>
      </w:r>
    </w:p>
    <w:p>
      <w:pPr>
        <w:pStyle w:val="Ruller42"/>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2"/>
        <w:ind w:end="0"/>
        <w:jc w:val="end"/>
        <w:rPr/>
      </w:pPr>
      <w:r>
        <w:rPr>
          <w:rtl w:val="true"/>
        </w:rPr>
      </w:r>
    </w:p>
    <w:p>
      <w:pPr>
        <w:pStyle w:val="Ruller42"/>
        <w:ind w:end="0"/>
        <w:jc w:val="end"/>
        <w:rPr/>
      </w:pPr>
      <w:r>
        <w:rPr>
          <w:rtl w:val="true"/>
        </w:rPr>
      </w:r>
    </w:p>
    <w:p>
      <w:pPr>
        <w:pStyle w:val="Ruller42"/>
        <w:ind w:end="0"/>
        <w:jc w:val="end"/>
        <w:rPr/>
      </w:pPr>
      <w:r>
        <w:rPr>
          <w:rtl w:val="true"/>
        </w:rPr>
      </w:r>
    </w:p>
    <w:p>
      <w:pPr>
        <w:pStyle w:val="Ruller42"/>
        <w:ind w:end="0"/>
        <w:jc w:val="both"/>
        <w:rPr>
          <w:rFonts w:ascii="Century" w:hAnsi="Century" w:cs="Miriam"/>
          <w:b/>
          <w:spacing w:val="0"/>
          <w:szCs w:val="24"/>
          <w:u w:val="single"/>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ד</w:t>
      </w:r>
      <w:r>
        <w:rPr>
          <w:rFonts w:cs="Miriam" w:ascii="Century" w:hAnsi="Century"/>
          <w:b/>
          <w:spacing w:val="0"/>
          <w:szCs w:val="24"/>
          <w:u w:val="single"/>
          <w:rtl w:val="true"/>
        </w:rPr>
        <w:t xml:space="preserve">' </w:t>
      </w:r>
      <w:r>
        <w:rPr>
          <w:rFonts w:ascii="Century" w:hAnsi="Century" w:cs="Miriam"/>
          <w:b/>
          <w:b/>
          <w:spacing w:val="0"/>
          <w:szCs w:val="24"/>
          <w:u w:val="single"/>
          <w:rtl w:val="true"/>
        </w:rPr>
        <w:t>ברק</w:t>
      </w:r>
      <w:r>
        <w:rPr>
          <w:rFonts w:cs="Miriam" w:ascii="Century" w:hAnsi="Century"/>
          <w:b/>
          <w:spacing w:val="0"/>
          <w:szCs w:val="24"/>
          <w:u w:val="single"/>
          <w:rtl w:val="true"/>
        </w:rPr>
        <w:t>-</w:t>
      </w:r>
      <w:r>
        <w:rPr>
          <w:rFonts w:ascii="Century" w:hAnsi="Century" w:cs="Miriam"/>
          <w:b/>
          <w:b/>
          <w:spacing w:val="0"/>
          <w:szCs w:val="24"/>
          <w:u w:val="single"/>
          <w:rtl w:val="true"/>
        </w:rPr>
        <w:t>ארז</w:t>
      </w:r>
      <w:r>
        <w:rPr>
          <w:rFonts w:cs="Miriam" w:ascii="Century" w:hAnsi="Century"/>
          <w:b/>
          <w:spacing w:val="0"/>
          <w:szCs w:val="24"/>
          <w:rtl w:val="true"/>
        </w:rPr>
        <w:t>:</w:t>
      </w:r>
    </w:p>
    <w:p>
      <w:pPr>
        <w:pStyle w:val="Ruller42"/>
        <w:ind w:end="0"/>
        <w:jc w:val="both"/>
        <w:rPr>
          <w:rFonts w:ascii="FrankRuehl" w:hAnsi="FrankRuehl" w:cs="FrankRuehl"/>
          <w:b/>
          <w:spacing w:val="0"/>
          <w:sz w:val="28"/>
          <w:szCs w:val="24"/>
          <w:u w:val="single"/>
        </w:rPr>
      </w:pPr>
      <w:r>
        <w:rPr>
          <w:rFonts w:cs="FrankRuehl" w:ascii="FrankRuehl" w:hAnsi="FrankRuehl"/>
          <w:b/>
          <w:spacing w:val="0"/>
          <w:sz w:val="28"/>
          <w:szCs w:val="24"/>
          <w:u w:val="single"/>
          <w:rtl w:val="true"/>
        </w:rPr>
      </w:r>
    </w:p>
    <w:p>
      <w:pPr>
        <w:pStyle w:val="Ruller42"/>
        <w:ind w:end="0"/>
        <w:jc w:val="both"/>
        <w:rPr>
          <w:rFonts w:ascii="FrankRuehl" w:hAnsi="FrankRuehl" w:cs="FrankRuehl"/>
          <w:sz w:val="28"/>
        </w:rPr>
      </w:pPr>
      <w:r>
        <w:rPr>
          <w:rFonts w:eastAsia="FrankRuehl" w:cs="FrankRuehl" w:ascii="FrankRuehl" w:hAnsi="FrankRuehl"/>
          <w:sz w:val="28"/>
          <w:rtl w:val="true"/>
        </w:rPr>
        <w:t xml:space="preserve">           </w:t>
      </w:r>
      <w:r>
        <w:rPr>
          <w:rFonts w:ascii="FrankRuehl" w:hAnsi="FrankRuehl"/>
          <w:sz w:val="28"/>
          <w:sz w:val="28"/>
          <w:rtl w:val="true"/>
        </w:rPr>
        <w:t xml:space="preserve">אני מסכימה לפסק דינה המשכנע של חברתי השופטת </w:t>
      </w:r>
      <w:r>
        <w:rPr>
          <w:rFonts w:cs="Miriam"/>
          <w:spacing w:val="0"/>
          <w:sz w:val="24"/>
          <w:sz w:val="24"/>
          <w:szCs w:val="24"/>
          <w:rtl w:val="true"/>
        </w:rPr>
        <w:t>ג</w:t>
      </w:r>
      <w:r>
        <w:rPr>
          <w:rFonts w:cs="Miriam"/>
          <w:spacing w:val="0"/>
          <w:sz w:val="24"/>
          <w:szCs w:val="24"/>
          <w:rtl w:val="true"/>
        </w:rPr>
        <w:t xml:space="preserve">' </w:t>
      </w:r>
      <w:r>
        <w:rPr>
          <w:rFonts w:cs="Miriam"/>
          <w:spacing w:val="0"/>
          <w:sz w:val="24"/>
          <w:sz w:val="24"/>
          <w:szCs w:val="24"/>
          <w:rtl w:val="true"/>
        </w:rPr>
        <w:t>כנפי</w:t>
      </w:r>
      <w:r>
        <w:rPr>
          <w:rFonts w:cs="Miriam"/>
          <w:spacing w:val="0"/>
          <w:sz w:val="24"/>
          <w:szCs w:val="24"/>
          <w:rtl w:val="true"/>
        </w:rPr>
        <w:t>-</w:t>
      </w:r>
      <w:r>
        <w:rPr>
          <w:rFonts w:cs="Miriam"/>
          <w:spacing w:val="0"/>
          <w:sz w:val="24"/>
          <w:sz w:val="24"/>
          <w:szCs w:val="24"/>
          <w:rtl w:val="true"/>
        </w:rPr>
        <w:t>שטייניץ</w:t>
      </w:r>
      <w:r>
        <w:rPr>
          <w:rFonts w:cs="FrankRuehl" w:ascii="FrankRuehl" w:hAnsi="FrankRuehl"/>
          <w:sz w:val="28"/>
          <w:rtl w:val="true"/>
        </w:rPr>
        <w:t xml:space="preserve">. </w:t>
      </w:r>
      <w:r>
        <w:rPr>
          <w:rFonts w:ascii="FrankRuehl" w:hAnsi="FrankRuehl"/>
          <w:sz w:val="28"/>
          <w:sz w:val="28"/>
          <w:rtl w:val="true"/>
        </w:rPr>
        <w:t>מנקודת מבטי</w:t>
      </w:r>
      <w:r>
        <w:rPr>
          <w:rFonts w:cs="FrankRuehl" w:ascii="FrankRuehl" w:hAnsi="FrankRuehl"/>
          <w:sz w:val="28"/>
          <w:rtl w:val="true"/>
        </w:rPr>
        <w:t xml:space="preserve">, </w:t>
      </w:r>
      <w:r>
        <w:rPr>
          <w:rFonts w:ascii="FrankRuehl" w:hAnsi="FrankRuehl"/>
          <w:sz w:val="28"/>
          <w:sz w:val="28"/>
          <w:rtl w:val="true"/>
        </w:rPr>
        <w:t>זהו אחד מאותם מקרים שבהם הכחשתו של המערער את המעשים וטענותיו לעלילת שווא שהמתלוננת טפלה עליו כביכול הם בבחינת הוספת חטא על פשע</w:t>
      </w:r>
      <w:r>
        <w:rPr>
          <w:rFonts w:cs="FrankRuehl" w:ascii="FrankRuehl" w:hAnsi="FrankRuehl"/>
          <w:sz w:val="28"/>
          <w:rtl w:val="true"/>
        </w:rPr>
        <w:t>.</w:t>
      </w:r>
    </w:p>
    <w:p>
      <w:pPr>
        <w:pStyle w:val="Ruller42"/>
        <w:ind w:end="0"/>
        <w:jc w:val="both"/>
        <w:rPr>
          <w:rFonts w:ascii="FrankRuehl" w:hAnsi="FrankRuehl" w:cs="FrankRuehl"/>
          <w:sz w:val="28"/>
        </w:rPr>
      </w:pPr>
      <w:r>
        <w:rPr>
          <w:rFonts w:cs="FrankRuehl" w:ascii="FrankRuehl" w:hAnsi="FrankRuehl"/>
          <w:sz w:val="28"/>
          <w:rtl w:val="true"/>
        </w:rPr>
      </w:r>
    </w:p>
    <w:p>
      <w:pPr>
        <w:pStyle w:val="Ruller42"/>
        <w:ind w:end="0"/>
        <w:jc w:val="both"/>
        <w:rPr/>
      </w:pPr>
      <w:r>
        <w:rPr>
          <w:rFonts w:eastAsia="FrankRuehl" w:cs="FrankRuehl" w:ascii="FrankRuehl" w:hAnsi="FrankRuehl"/>
          <w:sz w:val="28"/>
          <w:rtl w:val="true"/>
        </w:rPr>
        <w:t xml:space="preserve">          </w:t>
      </w:r>
      <w:r>
        <w:rPr>
          <w:rFonts w:eastAsia="FrankRuehl" w:cs="FrankRuehl" w:ascii="FrankRuehl" w:hAnsi="FrankRuehl"/>
          <w:sz w:val="28"/>
          <w:rtl w:val="true"/>
        </w:rPr>
        <w:t xml:space="preserve"> </w:t>
      </w:r>
      <w:r>
        <w:rPr>
          <w:rFonts w:ascii="FrankRuehl" w:hAnsi="FrankRuehl"/>
          <w:sz w:val="28"/>
          <w:sz w:val="28"/>
          <w:rtl w:val="true"/>
        </w:rPr>
        <w:t>בנסיבות אלה נוסיף ונאמר בפה מלא</w:t>
      </w:r>
      <w:r>
        <w:rPr>
          <w:rFonts w:cs="FrankRuehl" w:ascii="FrankRuehl" w:hAnsi="FrankRuehl"/>
          <w:sz w:val="28"/>
          <w:rtl w:val="true"/>
        </w:rPr>
        <w:t xml:space="preserve">: </w:t>
      </w:r>
      <w:r>
        <w:rPr>
          <w:rFonts w:ascii="FrankRuehl" w:hAnsi="FrankRuehl"/>
          <w:sz w:val="28"/>
          <w:sz w:val="28"/>
          <w:rtl w:val="true"/>
        </w:rPr>
        <w:t>אנו מאמינים למתלוננת</w:t>
      </w:r>
      <w:r>
        <w:rPr>
          <w:rFonts w:cs="FrankRuehl" w:ascii="FrankRuehl" w:hAnsi="FrankRuehl"/>
          <w:sz w:val="28"/>
          <w:rtl w:val="true"/>
        </w:rPr>
        <w:t>.</w:t>
      </w:r>
    </w:p>
    <w:p>
      <w:pPr>
        <w:pStyle w:val="Ruller42"/>
        <w:ind w:end="0"/>
        <w:jc w:val="both"/>
        <w:rPr>
          <w:rFonts w:ascii="FrankRuehl" w:hAnsi="FrankRuehl" w:cs="FrankRuehl"/>
          <w:sz w:val="28"/>
        </w:rPr>
      </w:pPr>
      <w:r>
        <w:rPr>
          <w:rFonts w:cs="FrankRuehl" w:ascii="FrankRuehl" w:hAnsi="FrankRuehl"/>
          <w:sz w:val="28"/>
          <w:rtl w:val="true"/>
        </w:rPr>
      </w:r>
    </w:p>
    <w:p>
      <w:pPr>
        <w:pStyle w:val="Ruller42"/>
        <w:ind w:end="0"/>
        <w:jc w:val="both"/>
        <w:rPr>
          <w:rFonts w:ascii="FrankRuehl" w:hAnsi="FrankRuehl" w:cs="FrankRuehl"/>
          <w:sz w:val="28"/>
        </w:rPr>
      </w:pPr>
      <w:r>
        <w:rPr>
          <w:rFonts w:cs="FrankRuehl" w:ascii="FrankRuehl" w:hAnsi="FrankRuehl"/>
          <w:sz w:val="28"/>
          <w:rtl w:val="true"/>
        </w:rPr>
      </w:r>
    </w:p>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2"/>
        <w:ind w:end="0"/>
        <w:jc w:val="both"/>
        <w:rPr/>
      </w:pPr>
      <w:r>
        <w:rPr>
          <w:rtl w:val="true"/>
        </w:rPr>
      </w:r>
    </w:p>
    <w:p>
      <w:pPr>
        <w:pStyle w:val="Ruller42"/>
        <w:ind w:end="0"/>
        <w:jc w:val="both"/>
        <w:rPr/>
      </w:pPr>
      <w:r>
        <w:rPr>
          <w:rtl w:val="true"/>
        </w:rPr>
      </w:r>
    </w:p>
    <w:p>
      <w:pPr>
        <w:pStyle w:val="Ruller42"/>
        <w:ind w:end="0"/>
        <w:jc w:val="both"/>
        <w:rPr>
          <w:rFonts w:ascii="Century" w:hAnsi="Century" w:cs="Century"/>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כנפי</w:t>
      </w:r>
      <w:r>
        <w:rPr>
          <w:rFonts w:ascii="Century" w:hAnsi="Century" w:eastAsia="Century" w:cs="Century"/>
          <w:b/>
          <w:b/>
          <w:spacing w:val="0"/>
          <w:szCs w:val="24"/>
          <w:rtl w:val="true"/>
        </w:rPr>
        <w:t xml:space="preserve"> </w:t>
      </w:r>
      <w:r>
        <w:rPr>
          <w:rFonts w:ascii="Century" w:hAnsi="Century" w:cs="Miriam"/>
          <w:b/>
          <w:b/>
          <w:spacing w:val="0"/>
          <w:szCs w:val="24"/>
          <w:rtl w:val="true"/>
        </w:rPr>
        <w:t>שטייניץ</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bookmarkStart w:id="17" w:name="Nitan"/>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w:t>
      </w:r>
      <w:r>
        <w:rPr>
          <w:rFonts w:ascii="Century" w:hAnsi="Century" w:cs="Century"/>
          <w:rtl w:val="true"/>
        </w:rPr>
        <w:t>כ</w:t>
      </w:r>
      <w:r>
        <w:rPr>
          <w:rFonts w:cs="Century" w:ascii="Century" w:hAnsi="Century"/>
          <w:rtl w:val="true"/>
        </w:rPr>
        <w:t>"</w:t>
      </w:r>
      <w:r>
        <w:rPr>
          <w:rFonts w:ascii="Century" w:hAnsi="Century" w:cs="Century"/>
          <w:rtl w:val="true"/>
        </w:rPr>
        <w:t>ז</w:t>
      </w:r>
      <w:r>
        <w:rPr>
          <w:rFonts w:ascii="Century" w:hAnsi="Century" w:cs="Century"/>
          <w:rtl w:val="true"/>
        </w:rPr>
        <w:t xml:space="preserve"> </w:t>
      </w:r>
      <w:r>
        <w:rPr>
          <w:rFonts w:ascii="Century" w:hAnsi="Century" w:cs="Century"/>
          <w:rtl w:val="true"/>
        </w:rPr>
        <w:t>בניסן</w:t>
      </w:r>
      <w:r>
        <w:rPr>
          <w:rFonts w:ascii="Century" w:hAnsi="Century" w:cs="Century"/>
          <w:rtl w:val="true"/>
        </w:rPr>
        <w:t xml:space="preserve"> </w:t>
      </w:r>
      <w:r>
        <w:rPr>
          <w:rFonts w:ascii="Century" w:hAnsi="Century" w:cs="Century"/>
          <w:rtl w:val="true"/>
        </w:rPr>
        <w:t>התשפ</w:t>
      </w:r>
      <w:r>
        <w:rPr>
          <w:rFonts w:cs="Century" w:ascii="Century" w:hAnsi="Century"/>
          <w:rtl w:val="true"/>
        </w:rPr>
        <w:t>"</w:t>
      </w:r>
      <w:r>
        <w:rPr>
          <w:rFonts w:ascii="Century" w:hAnsi="Century" w:cs="Century"/>
          <w:rtl w:val="true"/>
        </w:rPr>
        <w:t>ב</w:t>
      </w:r>
      <w:r>
        <w:rPr>
          <w:rFonts w:ascii="Century" w:hAnsi="Century" w:cs="Century"/>
          <w:rtl w:val="true"/>
        </w:rPr>
        <w:t xml:space="preserve"> </w:t>
      </w:r>
      <w:r>
        <w:rPr>
          <w:rFonts w:cs="Century" w:ascii="Century" w:hAnsi="Century"/>
          <w:rtl w:val="true"/>
        </w:rPr>
        <w:t>(‏</w:t>
      </w:r>
      <w:r>
        <w:rPr>
          <w:rFonts w:cs="Century" w:ascii="Century" w:hAnsi="Century"/>
        </w:rPr>
        <w:t>28.4.2022</w:t>
      </w:r>
      <w:r>
        <w:rPr>
          <w:rFonts w:cs="Century" w:ascii="Century" w:hAnsi="Century"/>
          <w:rtl w:val="true"/>
        </w:rPr>
        <w:t xml:space="preserve">). </w:t>
      </w:r>
      <w:bookmarkEnd w:id="17"/>
    </w:p>
    <w:p>
      <w:pPr>
        <w:pStyle w:val="Normal"/>
        <w:spacing w:lineRule="auto" w:line="360"/>
        <w:ind w:end="0"/>
        <w:jc w:val="both"/>
        <w:rPr>
          <w:rFonts w:ascii="Century" w:hAnsi="Century" w:cs="FrankRuehl"/>
          <w:spacing w:val="10"/>
          <w:szCs w:val="28"/>
        </w:rPr>
      </w:pPr>
      <w:r>
        <w:rPr>
          <w:rFonts w:cs="FrankRuehl" w:ascii="Century" w:hAnsi="Century"/>
          <w:spacing w:val="10"/>
          <w:szCs w:val="28"/>
          <w:rtl w:val="true"/>
        </w:rPr>
      </w:r>
    </w:p>
    <w:p>
      <w:pPr>
        <w:pStyle w:val="Ruller42"/>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2"/>
              <w:ind w:end="0"/>
              <w:jc w:val="center"/>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8"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19040870</w:t>
      </w:r>
      <w:r>
        <w:rPr>
          <w:sz w:val="16"/>
          <w:rtl w:val="true"/>
        </w:rPr>
        <w:t>_</w:t>
      </w:r>
      <w:r>
        <w:rPr>
          <w:sz w:val="16"/>
        </w:rPr>
        <w:t>X28.docx</w:t>
      </w:r>
      <w:r>
        <w:rPr>
          <w:sz w:val="16"/>
          <w:rtl w:val="true"/>
        </w:rPr>
        <w:t xml:space="preserve">   </w:t>
      </w:r>
      <w:r>
        <w:rPr>
          <w:sz w:val="16"/>
          <w:sz w:val="16"/>
          <w:rtl w:val="true"/>
        </w:rPr>
        <w:t>עכ</w:t>
      </w:r>
      <w:r>
        <w:rPr>
          <w:sz w:val="16"/>
          <w:sz w:val="16"/>
          <w:rtl w:val="true"/>
        </w:rPr>
        <w:t>ב</w:t>
      </w:r>
    </w:p>
    <w:p>
      <w:pPr>
        <w:pStyle w:val="Ruller381"/>
        <w:keepNext w:val="true"/>
        <w:ind w:end="0"/>
        <w:jc w:val="start"/>
        <w:rPr>
          <w:rFonts w:ascii="David;Times New Roman" w:hAnsi="David;Times New Roman" w:cs="David;Times New Roman"/>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r>
        <w:rPr>
          <w:sz w:val="16"/>
        </w:rPr>
        <w:t>https://supreme.court.gov.il</w:t>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ע</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פוגלמן </w:t>
      </w:r>
      <w:r>
        <w:rPr>
          <w:rFonts w:cs="David;Times New Roman" w:ascii="David;Times New Roman" w:hAnsi="David;Times New Roman"/>
          <w:color w:val="000000"/>
          <w:szCs w:val="22"/>
        </w:rPr>
        <w:t>54678313-4087/19</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8"/>
      <w:footerReference w:type="default" r:id="rId3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Garamond">
    <w:charset w:val="00" w:characterSet="windows-1252"/>
    <w:family w:val="roman"/>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Century">
    <w:charset w:val="00" w:characterSet="windows-1252"/>
    <w:family w:val="roman"/>
    <w:pitch w:val="variable"/>
  </w:font>
  <w:font w:name="David">
    <w:altName w:val="Times New Roman"/>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4087/19</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8278"/>
        </w:tabs>
        <w:ind w:start="7371" w:hanging="0"/>
      </w:pPr>
      <w:rPr>
        <w:lang w:val="en-US"/>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rPr>
  </w:style>
  <w:style w:type="character" w:styleId="WW8Num13z0">
    <w:name w:val="WW8Num13z0"/>
    <w:qFormat/>
    <w:rPr/>
  </w:style>
  <w:style w:type="character" w:styleId="WW8Num14z0">
    <w:name w:val="WW8Num14z0"/>
    <w:qFormat/>
    <w:rPr>
      <w:sz w:val="28"/>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CharChar4">
    <w:name w:val=" Char Char4"/>
    <w:qFormat/>
    <w:rPr>
      <w:rFonts w:cs="David;Times New Roman"/>
      <w:szCs w:val="24"/>
    </w:rPr>
  </w:style>
  <w:style w:type="character" w:styleId="CharChar3">
    <w:name w:val=" Char Char3"/>
    <w:qFormat/>
    <w:rPr>
      <w:rFonts w:cs="David;Times New Roman"/>
      <w:szCs w:val="24"/>
    </w:rPr>
  </w:style>
  <w:style w:type="character" w:styleId="Ruller4">
    <w:name w:val="Ruller 4 ממוספר תו"/>
    <w:qFormat/>
    <w:rPr>
      <w:rFonts w:ascii="Garamond" w:hAnsi="Garamond" w:cs="FrankRuehl"/>
      <w:spacing w:val="10"/>
      <w:sz w:val="24"/>
      <w:szCs w:val="28"/>
    </w:rPr>
  </w:style>
  <w:style w:type="character" w:styleId="Ruller41">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2">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2"/>
    <w:next w:val="Ruller42"/>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3">
    <w:name w:val="Ruller 4 ממוספר"/>
    <w:basedOn w:val="Ruller42"/>
    <w:next w:val="Ruller42"/>
    <w:qFormat/>
    <w:pPr>
      <w:numPr>
        <w:ilvl w:val="0"/>
        <w:numId w:val="1"/>
      </w:numPr>
      <w:ind w:hanging="0" w:start="0" w:end="0"/>
    </w:pPr>
    <w:rPr>
      <w:rFonts w:ascii="Garamond" w:hAnsi="Garamond" w:cs="Garamond"/>
      <w:sz w:val="24"/>
    </w:rPr>
  </w:style>
  <w:style w:type="paragraph" w:styleId="Ruller44">
    <w:name w:val="Ruller4 אלפביתי"/>
    <w:basedOn w:val="Ruller42"/>
    <w:next w:val="Ruller42"/>
    <w:qFormat/>
    <w:pPr>
      <w:numPr>
        <w:ilvl w:val="0"/>
        <w:numId w:val="2"/>
      </w:numPr>
    </w:pPr>
    <w:rPr/>
  </w:style>
  <w:style w:type="paragraph" w:styleId="ruller411">
    <w:name w:val="ruller41"/>
    <w:basedOn w:val="Normal"/>
    <w:qFormat/>
    <w:pPr>
      <w:overflowPunct w:val="true"/>
      <w:autoSpaceDE w:val="true"/>
      <w:bidi w:val="0"/>
      <w:spacing w:before="280" w:after="280"/>
      <w:textAlignment w:val="auto"/>
    </w:pPr>
    <w:rPr>
      <w:rFonts w:cs="Times New Roman"/>
      <w:sz w:val="24"/>
    </w:rPr>
  </w:style>
  <w:style w:type="paragraph" w:styleId="ruller40">
    <w:name w:val="ruller40"/>
    <w:basedOn w:val="Normal"/>
    <w:qFormat/>
    <w:pPr>
      <w:overflowPunct w:val="true"/>
      <w:autoSpaceDE w:val="true"/>
      <w:bidi w:val="0"/>
      <w:spacing w:before="280" w:after="280"/>
      <w:textAlignment w:val="auto"/>
    </w:pPr>
    <w:rPr>
      <w:rFonts w:cs="Times New Roman"/>
      <w:sz w:val="24"/>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7695622"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192" TargetMode="External"/><Relationship Id="rId5" Type="http://schemas.openxmlformats.org/officeDocument/2006/relationships/hyperlink" Target="http://www.nevo.co.il/law/70301/345.a.3" TargetMode="External"/><Relationship Id="rId6" Type="http://schemas.openxmlformats.org/officeDocument/2006/relationships/hyperlink" Target="http://www.nevo.co.il/law/70301/348.a" TargetMode="External"/><Relationship Id="rId7" Type="http://schemas.openxmlformats.org/officeDocument/2006/relationships/hyperlink" Target="http://www.nevo.co.il/law/70301/351.a" TargetMode="External"/><Relationship Id="rId8" Type="http://schemas.openxmlformats.org/officeDocument/2006/relationships/hyperlink" Target="http://www.nevo.co.il/law/70301/351.b" TargetMode="External"/><Relationship Id="rId9" Type="http://schemas.openxmlformats.org/officeDocument/2006/relationships/hyperlink" Target="http://www.nevo.co.il/law/70301/351.c" TargetMode="External"/><Relationship Id="rId10" Type="http://schemas.openxmlformats.org/officeDocument/2006/relationships/hyperlink" Target="http://www.nevo.co.il/law/70301/351.c.3" TargetMode="External"/><Relationship Id="rId11" Type="http://schemas.openxmlformats.org/officeDocument/2006/relationships/hyperlink" Target="http://www.nevo.co.il/law/70301/379" TargetMode="External"/><Relationship Id="rId12" Type="http://schemas.openxmlformats.org/officeDocument/2006/relationships/hyperlink" Target="http://www.nevo.co.il/law/70301/382.b.2" TargetMode="External"/><Relationship Id="rId13" Type="http://schemas.openxmlformats.org/officeDocument/2006/relationships/hyperlink" Target="http://www.nevo.co.il/law/74903" TargetMode="External"/><Relationship Id="rId14" Type="http://schemas.openxmlformats.org/officeDocument/2006/relationships/hyperlink" Target="http://www.nevo.co.il/law/74903/184" TargetMode="External"/><Relationship Id="rId15" Type="http://schemas.openxmlformats.org/officeDocument/2006/relationships/hyperlink" Target="http://www.nevo.co.il/case/7695622" TargetMode="External"/><Relationship Id="rId16" Type="http://schemas.openxmlformats.org/officeDocument/2006/relationships/hyperlink" Target="http://www.nevo.co.il/law/70301/351.c" TargetMode="External"/><Relationship Id="rId17" Type="http://schemas.openxmlformats.org/officeDocument/2006/relationships/hyperlink" Target="http://www.nevo.co.il/law/70301/348.a" TargetMode="External"/><Relationship Id="rId18" Type="http://schemas.openxmlformats.org/officeDocument/2006/relationships/hyperlink" Target="http://www.nevo.co.il/law/70301/345.a.3"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351.c.3" TargetMode="External"/><Relationship Id="rId21" Type="http://schemas.openxmlformats.org/officeDocument/2006/relationships/hyperlink" Target="http://www.nevo.co.il/law/70301/351.a" TargetMode="External"/><Relationship Id="rId22" Type="http://schemas.openxmlformats.org/officeDocument/2006/relationships/hyperlink" Target="http://www.nevo.co.il/law/70301/345.a.3" TargetMode="External"/><Relationship Id="rId23" Type="http://schemas.openxmlformats.org/officeDocument/2006/relationships/hyperlink" Target="http://www.nevo.co.il/law/70301/351.b" TargetMode="External"/><Relationship Id="rId24" Type="http://schemas.openxmlformats.org/officeDocument/2006/relationships/hyperlink" Target="http://www.nevo.co.il/law/70301/379" TargetMode="External"/><Relationship Id="rId25" Type="http://schemas.openxmlformats.org/officeDocument/2006/relationships/hyperlink" Target="http://www.nevo.co.il/law/70301/382.b.2" TargetMode="External"/><Relationship Id="rId26" Type="http://schemas.openxmlformats.org/officeDocument/2006/relationships/hyperlink" Target="http://www.nevo.co.il/law/70301/192" TargetMode="External"/><Relationship Id="rId27" Type="http://schemas.openxmlformats.org/officeDocument/2006/relationships/hyperlink" Target="http://www.nevo.co.il/law/74903/184" TargetMode="External"/><Relationship Id="rId28" Type="http://schemas.openxmlformats.org/officeDocument/2006/relationships/hyperlink" Target="http://www.nevo.co.il/law/74903" TargetMode="External"/><Relationship Id="rId29" Type="http://schemas.openxmlformats.org/officeDocument/2006/relationships/hyperlink" Target="http://www.nevo.co.il/case/6129410" TargetMode="External"/><Relationship Id="rId30" Type="http://schemas.openxmlformats.org/officeDocument/2006/relationships/hyperlink" Target="http://www.nevo.co.il/case/20982179" TargetMode="External"/><Relationship Id="rId31" Type="http://schemas.openxmlformats.org/officeDocument/2006/relationships/hyperlink" Target="http://www.nevo.co.il/case/26830322" TargetMode="External"/><Relationship Id="rId32" Type="http://schemas.openxmlformats.org/officeDocument/2006/relationships/hyperlink" Target="http://www.nevo.co.il/case/26938540" TargetMode="External"/><Relationship Id="rId33" Type="http://schemas.openxmlformats.org/officeDocument/2006/relationships/hyperlink" Target="http://www.nevo.co.il/case/22303637" TargetMode="External"/><Relationship Id="rId34" Type="http://schemas.openxmlformats.org/officeDocument/2006/relationships/hyperlink" Target="http://www.nevo.co.il/case/17954516" TargetMode="External"/><Relationship Id="rId35" Type="http://schemas.openxmlformats.org/officeDocument/2006/relationships/hyperlink" Target="http://www.nevo.co.il/case/5870687" TargetMode="External"/><Relationship Id="rId36" Type="http://schemas.openxmlformats.org/officeDocument/2006/relationships/hyperlink" Target="http://www.nevo.co.il/case/6246452" TargetMode="External"/><Relationship Id="rId37" Type="http://schemas.openxmlformats.org/officeDocument/2006/relationships/hyperlink" Target="http://www.nevo.co.il/advertisements/nevo-100.doc"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2022-05-01T08:03:00Z</dcterms:created>
  <dc:creator>h4</dc:creator>
  <dc:description/>
  <cp:keywords/>
  <dc:language>en-IL</dc:language>
  <cp:lastModifiedBy>orly</cp:lastModifiedBy>
  <cp:lastPrinted>2022-04-28T10:16:00Z</cp:lastPrinted>
  <dcterms:modified xsi:type="dcterms:W3CDTF">2022-05-01T08:03:00Z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7695622:2;6129410;20982179;26830322;26938540;22303637;17954516;5870687;6246452</vt:lpwstr>
  </property>
  <property fmtid="{D5CDD505-2E9C-101B-9397-08002B2CF9AE}" pid="9" name="CITY">
    <vt:lpwstr/>
  </property>
  <property fmtid="{D5CDD505-2E9C-101B-9397-08002B2CF9AE}" pid="10" name="DATE">
    <vt:lpwstr>20220428</vt:lpwstr>
  </property>
  <property fmtid="{D5CDD505-2E9C-101B-9397-08002B2CF9AE}" pid="11" name="DELEMATA">
    <vt:lpwstr/>
  </property>
  <property fmtid="{D5CDD505-2E9C-101B-9397-08002B2CF9AE}" pid="12" name="ISABSTRACT">
    <vt:lpwstr>Y</vt:lpwstr>
  </property>
  <property fmtid="{D5CDD505-2E9C-101B-9397-08002B2CF9AE}" pid="13" name="JUDGE">
    <vt:lpwstr>ע' פוגלמן;ד' ברק ארז;ג' כנפי שטייניץ</vt:lpwstr>
  </property>
  <property fmtid="{D5CDD505-2E9C-101B-9397-08002B2CF9AE}" pid="14" name="LAWLISTTMP1">
    <vt:lpwstr>70301/351.c;348.a;345.a.3:2;351.c.3;351.a;351.b;379;382.b.2;192</vt:lpwstr>
  </property>
  <property fmtid="{D5CDD505-2E9C-101B-9397-08002B2CF9AE}" pid="15" name="LAWLISTTMP2">
    <vt:lpwstr>74903/184</vt:lpwstr>
  </property>
  <property fmtid="{D5CDD505-2E9C-101B-9397-08002B2CF9AE}" pid="16" name="LAWYER">
    <vt:lpwstr>מוחמד סראחנה;עמית דויטשר</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פאני</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ראיות</vt:lpwstr>
  </property>
  <property fmtid="{D5CDD505-2E9C-101B-9397-08002B2CF9AE}" pid="28" name="NOSE110">
    <vt:lpwstr/>
  </property>
  <property fmtid="{D5CDD505-2E9C-101B-9397-08002B2CF9AE}" pid="29" name="NOSE12">
    <vt:lpwstr>ראיות</vt:lpwstr>
  </property>
  <property fmtid="{D5CDD505-2E9C-101B-9397-08002B2CF9AE}" pid="30" name="NOSE13">
    <vt:lpwstr>ראיות</vt:lpwstr>
  </property>
  <property fmtid="{D5CDD505-2E9C-101B-9397-08002B2CF9AE}" pid="31" name="NOSE14">
    <vt:lpwstr>דיון פלילי</vt:lpwstr>
  </property>
  <property fmtid="{D5CDD505-2E9C-101B-9397-08002B2CF9AE}" pid="32" name="NOSE15">
    <vt:lpwstr>דיון פלילי</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89;89;89;18;18</vt:lpwstr>
  </property>
  <property fmtid="{D5CDD505-2E9C-101B-9397-08002B2CF9AE}" pid="38" name="NOSE21">
    <vt:lpwstr>מהימנות</vt:lpwstr>
  </property>
  <property fmtid="{D5CDD505-2E9C-101B-9397-08002B2CF9AE}" pid="39" name="NOSE210">
    <vt:lpwstr/>
  </property>
  <property fmtid="{D5CDD505-2E9C-101B-9397-08002B2CF9AE}" pid="40" name="NOSE22">
    <vt:lpwstr>עדות</vt:lpwstr>
  </property>
  <property fmtid="{D5CDD505-2E9C-101B-9397-08002B2CF9AE}" pid="41" name="NOSE23">
    <vt:lpwstr>מהימנות</vt:lpwstr>
  </property>
  <property fmtid="{D5CDD505-2E9C-101B-9397-08002B2CF9AE}" pid="42" name="NOSE24">
    <vt:lpwstr>ערעור</vt:lpwstr>
  </property>
  <property fmtid="{D5CDD505-2E9C-101B-9397-08002B2CF9AE}" pid="43" name="NOSE25">
    <vt:lpwstr>ערעור</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1635;1654;1635;504;504</vt:lpwstr>
  </property>
  <property fmtid="{D5CDD505-2E9C-101B-9397-08002B2CF9AE}" pid="49" name="NOSE31">
    <vt:lpwstr>בחינתה על-ידי ערכאת הערעור</vt:lpwstr>
  </property>
  <property fmtid="{D5CDD505-2E9C-101B-9397-08002B2CF9AE}" pid="50" name="NOSE310">
    <vt:lpwstr/>
  </property>
  <property fmtid="{D5CDD505-2E9C-101B-9397-08002B2CF9AE}" pid="51" name="NOSE32">
    <vt:lpwstr>קורבן עבירת מין</vt:lpwstr>
  </property>
  <property fmtid="{D5CDD505-2E9C-101B-9397-08002B2CF9AE}" pid="52" name="NOSE33">
    <vt:lpwstr>סתירות</vt:lpwstr>
  </property>
  <property fmtid="{D5CDD505-2E9C-101B-9397-08002B2CF9AE}" pid="53" name="NOSE34">
    <vt:lpwstr>הרשעה</vt:lpwstr>
  </property>
  <property fmtid="{D5CDD505-2E9C-101B-9397-08002B2CF9AE}" pid="54" name="NOSE35">
    <vt:lpwstr>אי-התערבות בממצאים עובדתיים</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10196;12270;16884;16185;3849</vt:lpwstr>
  </property>
  <property fmtid="{D5CDD505-2E9C-101B-9397-08002B2CF9AE}" pid="60" name="PADIDATE">
    <vt:lpwstr>20220501</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4087</vt:lpwstr>
  </property>
  <property fmtid="{D5CDD505-2E9C-101B-9397-08002B2CF9AE}" pid="66" name="PROCYEAR">
    <vt:lpwstr>19</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410120220428</vt:lpwstr>
  </property>
  <property fmtid="{D5CDD505-2E9C-101B-9397-08002B2CF9AE}" pid="70" name="TYPE_N_DATE">
    <vt:lpwstr>41020220428</vt:lpwstr>
  </property>
  <property fmtid="{D5CDD505-2E9C-101B-9397-08002B2CF9AE}" pid="71" name="VOLUME">
    <vt:lpwstr/>
  </property>
  <property fmtid="{D5CDD505-2E9C-101B-9397-08002B2CF9AE}" pid="72" name="WORDNUMPAGES">
    <vt:lpwstr>15</vt:lpwstr>
  </property>
</Properties>
</file>