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4095/18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5" w:type="dxa"/>
        <w:jc w:val="start"/>
        <w:tblInd w:w="2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26"/>
        <w:gridCol w:w="5239"/>
      </w:tblGrid>
      <w:tr>
        <w:trPr>
          <w:trHeight w:val="287" w:hRule="atLeast"/>
        </w:trPr>
        <w:tc>
          <w:tcPr>
            <w:tcW w:w="3126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126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126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0" w:name="LastJudge"/>
            <w:bookmarkStart w:id="1" w:name="LastJudge"/>
            <w:bookmarkEnd w:id="1"/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5" w:type="dxa"/>
        <w:jc w:val="start"/>
        <w:tblInd w:w="2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26"/>
        <w:gridCol w:w="5239"/>
      </w:tblGrid>
      <w:tr>
        <w:trPr>
          <w:trHeight w:val="287" w:hRule="atLeast"/>
        </w:trPr>
        <w:tc>
          <w:tcPr>
            <w:tcW w:w="3126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2" w:name="FirstAppellant"/>
            <w:bookmarkEnd w:id="2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13"/>
        <w:gridCol w:w="5250"/>
      </w:tblGrid>
      <w:tr>
        <w:trPr/>
        <w:tc>
          <w:tcPr>
            <w:tcW w:w="311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5" w:type="dxa"/>
        <w:jc w:val="start"/>
        <w:tblInd w:w="2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26"/>
        <w:gridCol w:w="5239"/>
      </w:tblGrid>
      <w:tr>
        <w:trPr>
          <w:trHeight w:val="287" w:hRule="atLeast"/>
        </w:trPr>
        <w:tc>
          <w:tcPr>
            <w:tcW w:w="3126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המשיבות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126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המתלוננת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52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52"/>
      </w:tblGrid>
      <w:tr>
        <w:trPr/>
        <w:tc>
          <w:tcPr>
            <w:tcW w:w="5252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12.2.2018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25.4.2018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27219-03-16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ש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דותן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13"/>
        <w:gridCol w:w="2540"/>
        <w:gridCol w:w="2710"/>
      </w:tblGrid>
      <w:tr>
        <w:trPr/>
        <w:tc>
          <w:tcPr>
            <w:tcW w:w="311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5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13.12.2020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13"/>
        <w:gridCol w:w="5250"/>
      </w:tblGrid>
      <w:tr>
        <w:trPr/>
        <w:tc>
          <w:tcPr>
            <w:tcW w:w="31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ששי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גז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שחר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ליס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13"/>
        <w:gridCol w:w="5250"/>
      </w:tblGrid>
      <w:tr>
        <w:trPr/>
        <w:tc>
          <w:tcPr>
            <w:tcW w:w="31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Lawyer"/>
            <w:bookmarkEnd w:id="3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2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אפרת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גולדשטיין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רוזן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13"/>
        <w:gridCol w:w="5250"/>
      </w:tblGrid>
      <w:tr>
        <w:trPr/>
        <w:tc>
          <w:tcPr>
            <w:tcW w:w="31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>:</w:t>
            </w:r>
          </w:p>
        </w:tc>
        <w:tc>
          <w:tcPr>
            <w:tcW w:w="52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קלנברג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לוי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4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347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351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351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העליון הקל בעונשו של אדם שהורשע בריבוי עבירות מין שנעשו לאורך שנים בשתיים מבנותיה של מי שהייתה בת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זוגו באותה תקופה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מהטעם שלא ניתן משקל בגזר הדין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לשהייתו הממושכת 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למעלה משנתיים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במעצר בפיקוח אלקטרוני ובפרט נוכח הודאתו המאוחרת בשלב הערעור ולקיחת האחריות על מעשיו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עונש המאסר בפועל הועמד על </w:t>
      </w:r>
      <w:r>
        <w:rPr>
          <w:rFonts w:cs="Times New Roman" w:ascii="Times New Roman" w:hAnsi="Times New Roman"/>
          <w:spacing w:val="0"/>
          <w:szCs w:val="26"/>
          <w:shd w:fill="FFFFFF" w:val="clear"/>
        </w:rPr>
        <w:t>13.5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שנים במקום </w:t>
      </w:r>
      <w:r>
        <w:rPr>
          <w:rFonts w:cs="Times New Roman" w:ascii="Times New Roman" w:hAnsi="Times New Roman"/>
          <w:spacing w:val="0"/>
          <w:szCs w:val="26"/>
          <w:shd w:fill="FFFFFF" w:val="clear"/>
        </w:rPr>
        <w:t>15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שנים שגזר המחוזי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עבירות מין במשפחה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עבירות מין בקטינים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דיון פלילי – הודאה – בשלב הערעור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שיקולים לקולה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ערעור על גז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ד של בימ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ש מחוזי בגדרו הוטל על המערער עונש של </w:t>
      </w:r>
      <w:r>
        <w:rPr>
          <w:rFonts w:cs="Times New Roman" w:ascii="Times New Roman" w:hAnsi="Times New Roman"/>
          <w:spacing w:val="0"/>
          <w:szCs w:val="26"/>
          <w:shd w:fill="FFFFFF" w:val="clear"/>
        </w:rPr>
        <w:t>15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מאסר מותנה ופיצוי למתלוננת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בסך של </w:t>
      </w:r>
      <w:r>
        <w:rPr>
          <w:rFonts w:cs="Times New Roman" w:ascii="Times New Roman" w:hAnsi="Times New Roman"/>
          <w:spacing w:val="0"/>
          <w:szCs w:val="26"/>
          <w:shd w:fill="FFFFFF" w:val="clear"/>
        </w:rPr>
        <w:t>100,000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ח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זאת בעקבות הרשעתו בביצוע עבירות מין בשתיים מבנותיה של מי שהייתה בת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זוגו באותה תקופה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ריבוי מקרים של עבירות אינוס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מעשי סדום ומעשה מגונה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במתלוננת א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'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מאז היותה בת </w:t>
      </w:r>
      <w:r>
        <w:rPr>
          <w:rFonts w:cs="Times New Roman" w:ascii="Times New Roman" w:hAnsi="Times New Roman"/>
          <w:spacing w:val="0"/>
          <w:szCs w:val="26"/>
          <w:shd w:fill="FFFFFF" w:val="clear"/>
        </w:rPr>
        <w:t>11.5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ועד הגיעה לגיל </w:t>
      </w:r>
      <w:r>
        <w:rPr>
          <w:rFonts w:cs="Times New Roman" w:ascii="Times New Roman" w:hAnsi="Times New Roman"/>
          <w:spacing w:val="0"/>
          <w:szCs w:val="26"/>
          <w:shd w:fill="FFFFFF" w:val="clear"/>
        </w:rPr>
        <w:t>14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עבירה אחת של מעשה מגונה במתלוננת ב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בהיותה בת </w:t>
      </w:r>
      <w:r>
        <w:rPr>
          <w:rFonts w:cs="Times New Roman" w:ascii="Times New Roman" w:hAnsi="Times New Roman"/>
          <w:spacing w:val="0"/>
          <w:szCs w:val="26"/>
          <w:shd w:fill="FFFFFF" w:val="clear"/>
        </w:rPr>
        <w:t>8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יצוין כי בתחילה הוגש הערעור גם על הכרעת הדין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אולם בהמשך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המערער חזר בו מהערעור על הכרעת הדין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ולקח אחריות על מעשיו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מפי השופט נ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סולברג בהסכמת השופטים מ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מזוז וג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קרא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קיבל את הערעור מהטעמים הבאים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עיקר נסיבותיו האישיות של המערער – נשקלו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והעונש שנגזר עליו – איננו סוטה באופן קיצוני ממדיניות הענישה הנהוגה במקרים דומים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אף על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פי כן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בהינתן שלשהייתו הממושכת של המערער במעצר בפיקוח אלקטרוני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למשך למעלה משנתיים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לא ניתן משקל בגזר הדין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ובפרט נוכח הודאתו המאוחרת ולקיחת האחריות על מעשיו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ש סבור כי יש מקום להקלת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מה בעונשו של המערער ולהפחית שנה וחצי מעונש המאסר בפועל שנגזר על המערער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כך שיעמוד על </w:t>
      </w:r>
      <w:r>
        <w:rPr>
          <w:rFonts w:cs="Times New Roman" w:ascii="Times New Roman" w:hAnsi="Times New Roman"/>
          <w:spacing w:val="0"/>
          <w:szCs w:val="26"/>
          <w:shd w:fill="FFFFFF" w:val="clear"/>
        </w:rPr>
        <w:t>13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וחצי שנות מאסר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אמנם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הודאה במעשים בשלב דיוני כה מאוחר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ולאחר שמיעת הערותיו של ביהמ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ש שלערעור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איננה שקולה כלל וכלל למסירת הודאה בשלבים מוקדמים של ההליך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במצב אחרון זה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נחסך מהצדדים הליך ארוך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מעיק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יקר ומייגע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וכאשר בעבירות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מין עסקינן – נחסכת מן הנפגעות פגיעה נוספת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קשה וכואבת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הכרוכה במעמד מתן העדות בביהמ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לצד זאת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אין לבטל לחלוטין את הערך שבלקיחת אחריות מאוחרת על המעשים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מצדו של הפוגע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גם אם זו באה בשלב מאוחר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לצד הכרחיות ההודאה לתהליך התשובה של החוטא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הרי שההכרה באחריות לנזק שגרם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נושאת עמה חשיבות רבה גם לתהליך שיקומו של הנפגע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כך בכלל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וכך כאשר בעבירות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מין עסקינן בפרט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כשלא פעם עומדת מהימנותו של זה מול מהימנותה של זו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הודגש כי אין בתוצאת הערעור כדי להפחית כהוא זה מהחומרה היתרה שבמעשיו המחרידים של המערער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Fonts w:cs="Times New Roman"/>
          <w:spacing w:val="0"/>
          <w:szCs w:val="26"/>
          <w:shd w:fill="FFFFFF" w:val="clear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End w:id="11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spacing w:lineRule="auto" w:line="480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ערעור על גזר הדין של בית המשפט המחוזי בתל אביב</w:t>
      </w:r>
      <w:r>
        <w:rPr>
          <w:rtl w:val="true"/>
        </w:rPr>
        <w:t>-</w:t>
      </w:r>
      <w:r>
        <w:rPr>
          <w:rtl w:val="true"/>
        </w:rPr>
        <w:t xml:space="preserve">יפו מיום </w:t>
      </w:r>
      <w:r>
        <w:rPr/>
        <w:t>25.4.2018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1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27219-03-16</w:t>
        </w:r>
      </w:hyperlink>
      <w:r>
        <w:rPr>
          <w:rtl w:val="true"/>
        </w:rPr>
        <w:t xml:space="preserve"> (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דותן</w:t>
      </w:r>
      <w:r>
        <w:rPr>
          <w:rtl w:val="true"/>
        </w:rPr>
        <w:t xml:space="preserve"> והשופטים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tl w:val="true"/>
        </w:rPr>
        <w:t xml:space="preserve"> 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tl w:val="true"/>
        </w:rPr>
        <w:t xml:space="preserve">), </w:t>
      </w:r>
      <w:r>
        <w:rPr>
          <w:rtl w:val="true"/>
        </w:rPr>
        <w:t xml:space="preserve">שבגדרו הושת על המערער עונש של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 מאסר לריצוי בפועל</w:t>
      </w:r>
      <w:r>
        <w:rPr>
          <w:rtl w:val="true"/>
        </w:rPr>
        <w:t xml:space="preserve">, </w:t>
      </w:r>
      <w:r>
        <w:rPr>
          <w:rtl w:val="true"/>
        </w:rPr>
        <w:t>בניכוי ימי מעצרו</w:t>
      </w:r>
      <w:r>
        <w:rPr>
          <w:rtl w:val="true"/>
        </w:rPr>
        <w:t xml:space="preserve">;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 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באם יעבור עבירת</w:t>
      </w:r>
      <w:r>
        <w:rPr>
          <w:rtl w:val="true"/>
        </w:rPr>
        <w:t>-</w:t>
      </w:r>
      <w:r>
        <w:rPr>
          <w:rtl w:val="true"/>
        </w:rPr>
        <w:t xml:space="preserve">מין מסוג פשע בתוך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</w:t>
      </w:r>
      <w:r>
        <w:rPr>
          <w:rtl w:val="true"/>
        </w:rPr>
        <w:t xml:space="preserve">; </w:t>
      </w:r>
      <w:r>
        <w:rPr>
          <w:rtl w:val="true"/>
        </w:rPr>
        <w:t xml:space="preserve">ופיצוי כספי בסך של </w:t>
      </w:r>
      <w:r>
        <w:rPr/>
        <w:t>100,000</w:t>
      </w:r>
      <w:r>
        <w:rPr>
          <w:rtl w:val="true"/>
        </w:rPr>
        <w:t xml:space="preserve"> ₪ </w:t>
      </w:r>
      <w:r>
        <w:rPr>
          <w:rtl w:val="true"/>
        </w:rPr>
        <w:t>למתלוננת על מעשיו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תחילה הוגש הערעור הן על הכרעת הדין</w:t>
      </w:r>
      <w:r>
        <w:rPr>
          <w:rtl w:val="true"/>
        </w:rPr>
        <w:t xml:space="preserve">, </w:t>
      </w:r>
      <w:r>
        <w:rPr>
          <w:rtl w:val="true"/>
        </w:rPr>
        <w:t>הן על גזר הדין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בגמר הדיון</w:t>
      </w:r>
      <w:r>
        <w:rPr>
          <w:rtl w:val="true"/>
        </w:rPr>
        <w:t xml:space="preserve">, </w:t>
      </w:r>
      <w:r>
        <w:rPr>
          <w:rtl w:val="true"/>
        </w:rPr>
        <w:t>לאחר שנשמעו טענות באי</w:t>
      </w:r>
      <w:r>
        <w:rPr>
          <w:rtl w:val="true"/>
        </w:rPr>
        <w:t>-</w:t>
      </w:r>
      <w:r>
        <w:rPr>
          <w:rtl w:val="true"/>
        </w:rPr>
        <w:t>כוח שני הצדדים</w:t>
      </w:r>
      <w:r>
        <w:rPr>
          <w:rtl w:val="true"/>
        </w:rPr>
        <w:t xml:space="preserve">, </w:t>
      </w:r>
      <w:r>
        <w:rPr>
          <w:rtl w:val="true"/>
        </w:rPr>
        <w:t>ובעקבות הערותינו</w:t>
      </w:r>
      <w:r>
        <w:rPr>
          <w:rtl w:val="true"/>
        </w:rPr>
        <w:t xml:space="preserve">, </w:t>
      </w:r>
      <w:r>
        <w:rPr>
          <w:rtl w:val="true"/>
        </w:rPr>
        <w:t>חזר בו המערער מערעורו על הכרעת הדין</w:t>
      </w:r>
      <w:r>
        <w:rPr>
          <w:rtl w:val="true"/>
        </w:rPr>
        <w:t xml:space="preserve">. </w:t>
      </w:r>
      <w:r>
        <w:rPr>
          <w:rtl w:val="true"/>
        </w:rPr>
        <w:t>לפנינו נותר אפוא הערעור על חומרת העונש בלבד</w:t>
      </w:r>
      <w:r>
        <w:rPr>
          <w:rtl w:val="true"/>
        </w:rPr>
        <w:t>.</w:t>
        <w:tab/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נגד המערער הוגש כתב אישום</w:t>
      </w:r>
      <w:r>
        <w:rPr>
          <w:rtl w:val="true"/>
        </w:rPr>
        <w:t xml:space="preserve">, </w:t>
      </w:r>
      <w:r>
        <w:rPr>
          <w:rtl w:val="true"/>
        </w:rPr>
        <w:t>ובו שני אישומים בגין עבירות</w:t>
      </w:r>
      <w:r>
        <w:rPr>
          <w:rtl w:val="true"/>
        </w:rPr>
        <w:t>-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 xml:space="preserve">שביצע בין השנים </w:t>
      </w:r>
      <w:r>
        <w:rPr/>
        <w:t>2008-2005</w:t>
      </w:r>
      <w:r>
        <w:rPr>
          <w:rtl w:val="true"/>
        </w:rPr>
        <w:t xml:space="preserve">, </w:t>
      </w:r>
      <w:r>
        <w:rPr>
          <w:rtl w:val="true"/>
        </w:rPr>
        <w:t>בשתיים מבנותיה של מי שהיתה בת</w:t>
      </w:r>
      <w:r>
        <w:rPr>
          <w:rtl w:val="true"/>
        </w:rPr>
        <w:t>-</w:t>
      </w:r>
      <w:r>
        <w:rPr>
          <w:rtl w:val="true"/>
        </w:rPr>
        <w:t>זוגו באותה תקופה</w:t>
      </w:r>
      <w:r>
        <w:rPr>
          <w:rtl w:val="true"/>
        </w:rPr>
        <w:t xml:space="preserve">: </w:t>
      </w:r>
      <w:r>
        <w:rPr>
          <w:rtl w:val="true"/>
        </w:rPr>
        <w:t xml:space="preserve">האחת ילידת שנת </w:t>
      </w:r>
      <w:r>
        <w:rPr/>
        <w:t>1994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tl w:val="true"/>
        </w:rPr>
        <w:t xml:space="preserve">); </w:t>
      </w:r>
      <w:r>
        <w:rPr>
          <w:rtl w:val="true"/>
        </w:rPr>
        <w:t xml:space="preserve">והשניה ילידת שנת </w:t>
      </w:r>
      <w:r>
        <w:rPr/>
        <w:t>1999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הנפגעת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הנוספת</w:t>
      </w:r>
      <w:r>
        <w:rPr>
          <w:rtl w:val="true"/>
        </w:rPr>
        <w:t xml:space="preserve">).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tl w:val="true"/>
        </w:rPr>
        <w:t xml:space="preserve"> עניינו במעשים שביצע המערער במתלוננת</w:t>
      </w:r>
      <w:r>
        <w:rPr>
          <w:rtl w:val="true"/>
        </w:rPr>
        <w:t xml:space="preserve">.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 xml:space="preserve">נטען כי בין השנים </w:t>
      </w:r>
      <w:r>
        <w:rPr/>
        <w:t>2008-2005</w:t>
      </w:r>
      <w:r>
        <w:rPr>
          <w:rtl w:val="true"/>
        </w:rPr>
        <w:t xml:space="preserve">, </w:t>
      </w:r>
      <w:r>
        <w:rPr>
          <w:rtl w:val="true"/>
        </w:rPr>
        <w:t xml:space="preserve">כאשר היתה המתלוננת בגילאי </w:t>
      </w:r>
      <w:r>
        <w:rPr/>
        <w:t>14-11</w:t>
      </w:r>
      <w:r>
        <w:rPr>
          <w:rtl w:val="true"/>
        </w:rPr>
        <w:t xml:space="preserve">, </w:t>
      </w:r>
      <w:r>
        <w:rPr>
          <w:rtl w:val="true"/>
        </w:rPr>
        <w:t>נהג המערער לקיים עמה יחסי</w:t>
      </w:r>
      <w:r>
        <w:rPr>
          <w:rtl w:val="true"/>
        </w:rPr>
        <w:t>-</w:t>
      </w:r>
      <w:r>
        <w:rPr>
          <w:rtl w:val="true"/>
        </w:rPr>
        <w:t>מין מלאים</w:t>
      </w:r>
      <w:r>
        <w:rPr>
          <w:rtl w:val="true"/>
        </w:rPr>
        <w:t xml:space="preserve">, </w:t>
      </w:r>
      <w:r>
        <w:rPr>
          <w:rtl w:val="true"/>
        </w:rPr>
        <w:t>להחדיר את איבר מינו לפיה</w:t>
      </w:r>
      <w:r>
        <w:rPr>
          <w:rtl w:val="true"/>
        </w:rPr>
        <w:t xml:space="preserve">, </w:t>
      </w:r>
      <w:r>
        <w:rPr>
          <w:rtl w:val="true"/>
        </w:rPr>
        <w:t>ללטפה בכל חלקי גופה ולנשקה בפיה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לעיתים באופן יומיומי</w:t>
      </w:r>
      <w:r>
        <w:rPr>
          <w:rtl w:val="true"/>
        </w:rPr>
        <w:t xml:space="preserve">, </w:t>
      </w:r>
      <w:r>
        <w:rPr>
          <w:rtl w:val="true"/>
        </w:rPr>
        <w:t>לעיתים כאשר הוא מעיר אותה משנתה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tl w:val="true"/>
        </w:rPr>
        <w:t xml:space="preserve"> עסק באירוע שהתרחש במועד לא ידוע בשנים </w:t>
      </w:r>
      <w:r>
        <w:rPr/>
        <w:t>2007-2006</w:t>
      </w:r>
      <w:r>
        <w:rPr>
          <w:rtl w:val="true"/>
        </w:rPr>
        <w:t xml:space="preserve">, </w:t>
      </w:r>
      <w:r>
        <w:rPr>
          <w:rtl w:val="true"/>
        </w:rPr>
        <w:t xml:space="preserve">כאשר היתה הנפגעת הנוספת כבת </w:t>
      </w:r>
      <w:r>
        <w:rPr/>
        <w:t>8</w:t>
      </w:r>
      <w:r>
        <w:rPr>
          <w:rtl w:val="true"/>
        </w:rPr>
        <w:t xml:space="preserve">. </w:t>
      </w:r>
      <w:r>
        <w:rPr>
          <w:rtl w:val="true"/>
        </w:rPr>
        <w:t>בעת שנותרו לבד בבית המשפחה</w:t>
      </w:r>
      <w:r>
        <w:rPr>
          <w:rtl w:val="true"/>
        </w:rPr>
        <w:t xml:space="preserve">, </w:t>
      </w:r>
      <w:r>
        <w:rPr>
          <w:rtl w:val="true"/>
        </w:rPr>
        <w:t>נגע המערער באיבר מינה</w:t>
      </w:r>
      <w:r>
        <w:rPr>
          <w:rtl w:val="true"/>
        </w:rPr>
        <w:t xml:space="preserve">, </w:t>
      </w:r>
      <w:r>
        <w:rPr>
          <w:rtl w:val="true"/>
        </w:rPr>
        <w:t>וגרם לה לגעת באיבר מינו שלו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בתשובתו לאישום</w:t>
      </w:r>
      <w:r>
        <w:rPr>
          <w:rtl w:val="true"/>
        </w:rPr>
        <w:t xml:space="preserve">, </w:t>
      </w:r>
      <w:r>
        <w:rPr>
          <w:rtl w:val="true"/>
        </w:rPr>
        <w:t>אישר אמנם המערער כי בתקופות הרלבנטיות התגורר עם השתיים תחת קורת גג אחת</w:t>
      </w:r>
      <w:r>
        <w:rPr>
          <w:rtl w:val="true"/>
        </w:rPr>
        <w:t xml:space="preserve">; </w:t>
      </w:r>
      <w:r>
        <w:rPr>
          <w:rtl w:val="true"/>
        </w:rPr>
        <w:t>אך לצד זאת – כפר בביצוע עבירות</w:t>
      </w:r>
      <w:r>
        <w:rPr>
          <w:rtl w:val="true"/>
        </w:rPr>
        <w:t>-</w:t>
      </w:r>
      <w:r>
        <w:rPr>
          <w:rtl w:val="true"/>
        </w:rPr>
        <w:t>המין שיוחסו לו</w:t>
      </w:r>
      <w:r>
        <w:rPr>
          <w:rtl w:val="true"/>
        </w:rPr>
        <w:t xml:space="preserve">. </w:t>
      </w:r>
      <w:r>
        <w:rPr>
          <w:rtl w:val="true"/>
        </w:rPr>
        <w:t xml:space="preserve">הכרעת הדין ניתנה ביום </w:t>
      </w:r>
      <w:r>
        <w:rPr/>
        <w:t>12.2.2018</w:t>
      </w:r>
      <w:r>
        <w:rPr>
          <w:rtl w:val="true"/>
        </w:rPr>
        <w:t xml:space="preserve">. </w:t>
      </w:r>
      <w:r>
        <w:rPr>
          <w:rtl w:val="true"/>
        </w:rPr>
        <w:t>לאחר שנשמעו עדי הצדדים מזה ומזה</w:t>
      </w:r>
      <w:r>
        <w:rPr>
          <w:rtl w:val="true"/>
        </w:rPr>
        <w:t xml:space="preserve">, </w:t>
      </w:r>
      <w:r>
        <w:rPr>
          <w:rtl w:val="true"/>
        </w:rPr>
        <w:t>קבע בית המשפט המחוזי כי הוכח לפניו מעבר לספק סביר שהמערער ביצע את המיוחס לו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הורשע המערער בעבירות הבאות</w:t>
      </w:r>
      <w:r>
        <w:rPr>
          <w:rtl w:val="true"/>
        </w:rPr>
        <w:t xml:space="preserve">: </w:t>
      </w:r>
      <w:r>
        <w:rPr>
          <w:rtl w:val="true"/>
        </w:rPr>
        <w:t xml:space="preserve">במסגרת האישום הראשון – ריבוי מקרים של אינוס קטינה בת משפחה </w:t>
      </w:r>
      <w:r>
        <w:rPr>
          <w:rtl w:val="true"/>
        </w:rPr>
        <w:t>(</w:t>
      </w:r>
      <w:r>
        <w:rPr>
          <w:rtl w:val="true"/>
        </w:rPr>
        <w:t xml:space="preserve">לפי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בנסיבות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)); </w:t>
      </w:r>
      <w:r>
        <w:rPr>
          <w:rtl w:val="true"/>
        </w:rPr>
        <w:t xml:space="preserve">ריבוי מקרים של מעשה סדום בקטינה בת משפחה </w:t>
      </w:r>
      <w:r>
        <w:rPr>
          <w:rtl w:val="true"/>
        </w:rPr>
        <w:t>(</w:t>
      </w:r>
      <w:r>
        <w:rPr>
          <w:rtl w:val="true"/>
        </w:rPr>
        <w:t xml:space="preserve">לפי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16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7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); </w:t>
      </w:r>
      <w:r>
        <w:rPr>
          <w:rtl w:val="true"/>
        </w:rPr>
        <w:t xml:space="preserve">וריבוי מקרים של מעשה מגונה בקטינה בת משפחה </w:t>
      </w:r>
      <w:r>
        <w:rPr>
          <w:rtl w:val="true"/>
        </w:rPr>
        <w:t>(</w:t>
      </w:r>
      <w:r>
        <w:rPr>
          <w:rtl w:val="true"/>
        </w:rPr>
        <w:t xml:space="preserve">לפי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19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20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1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 xml:space="preserve">במסגרת האישום השני – מעשה מגונה בקטינה בת משפחה </w:t>
      </w:r>
      <w:r>
        <w:rPr>
          <w:rtl w:val="true"/>
        </w:rPr>
        <w:t>(</w:t>
      </w:r>
      <w:r>
        <w:rPr>
          <w:rtl w:val="true"/>
        </w:rPr>
        <w:t xml:space="preserve">לפי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23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24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5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גזר הדין ניתן ביום </w:t>
      </w:r>
      <w:r>
        <w:rPr/>
        <w:t>25.4.2018</w:t>
      </w:r>
      <w:r>
        <w:rPr>
          <w:rtl w:val="true"/>
        </w:rPr>
        <w:t xml:space="preserve">. </w:t>
      </w:r>
      <w:r>
        <w:rPr>
          <w:rtl w:val="true"/>
        </w:rPr>
        <w:t>בית המשפט המחוזי עמד על חומרת מעשיו של המערער</w:t>
      </w:r>
      <w:r>
        <w:rPr>
          <w:rtl w:val="true"/>
        </w:rPr>
        <w:t xml:space="preserve">, </w:t>
      </w:r>
      <w:r>
        <w:rPr>
          <w:rtl w:val="true"/>
        </w:rPr>
        <w:t>אשר מעל באמון שנתנו בו השתיים בעודן רכות בשנים</w:t>
      </w:r>
      <w:r>
        <w:rPr>
          <w:rtl w:val="true"/>
        </w:rPr>
        <w:t xml:space="preserve">, </w:t>
      </w:r>
      <w:r>
        <w:rPr>
          <w:rtl w:val="true"/>
        </w:rPr>
        <w:t>כאשר ניצל אותן לשם סיפוק יצריו המיניים</w:t>
      </w:r>
      <w:r>
        <w:rPr>
          <w:rtl w:val="true"/>
        </w:rPr>
        <w:t xml:space="preserve">, </w:t>
      </w:r>
      <w:r>
        <w:rPr>
          <w:rtl w:val="true"/>
        </w:rPr>
        <w:t>תוך ניצול מערכת היחסים המשפחתית לשם כך</w:t>
      </w:r>
      <w:r>
        <w:rPr>
          <w:rtl w:val="true"/>
        </w:rPr>
        <w:t xml:space="preserve">. </w:t>
      </w:r>
      <w:r>
        <w:rPr>
          <w:rtl w:val="true"/>
        </w:rPr>
        <w:t>כמו כן עמד בית המשפט על הפגיעה הקשה בערכים המוגנים של הגנה על הכבוד ועל שלמות הגוף והנפש</w:t>
      </w:r>
      <w:r>
        <w:rPr>
          <w:rtl w:val="true"/>
        </w:rPr>
        <w:t xml:space="preserve">, </w:t>
      </w:r>
      <w:r>
        <w:rPr>
          <w:rtl w:val="true"/>
        </w:rPr>
        <w:t>ושמירה על הזכות לאוטונומיה ולתחושת ביטחון בדל</w:t>
      </w:r>
      <w:r>
        <w:rPr>
          <w:rtl w:val="true"/>
        </w:rPr>
        <w:t>"</w:t>
      </w:r>
      <w:r>
        <w:rPr>
          <w:rtl w:val="true"/>
        </w:rPr>
        <w:t>ת אמות ביתו של אדם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הודגש כי המעשים שבוצעו במתלוננת נמצאים ברף הגבוה של עבירות</w:t>
      </w:r>
      <w:r>
        <w:rPr>
          <w:rtl w:val="true"/>
        </w:rPr>
        <w:t>-</w:t>
      </w:r>
      <w:r>
        <w:rPr>
          <w:rtl w:val="true"/>
        </w:rPr>
        <w:t>המין בתוך המשפחה מבחינת חומרתם</w:t>
      </w:r>
      <w:r>
        <w:rPr>
          <w:rtl w:val="true"/>
        </w:rPr>
        <w:t xml:space="preserve">; </w:t>
      </w:r>
      <w:r>
        <w:rPr>
          <w:rtl w:val="true"/>
        </w:rPr>
        <w:t>וכי אין מדובר באירוע חד</w:t>
      </w:r>
      <w:r>
        <w:rPr>
          <w:rtl w:val="true"/>
        </w:rPr>
        <w:t>-</w:t>
      </w:r>
      <w:r>
        <w:rPr>
          <w:rtl w:val="true"/>
        </w:rPr>
        <w:t>פעמי</w:t>
      </w:r>
      <w:r>
        <w:rPr>
          <w:rtl w:val="true"/>
        </w:rPr>
        <w:t xml:space="preserve">, </w:t>
      </w:r>
      <w:r>
        <w:rPr>
          <w:rtl w:val="true"/>
        </w:rPr>
        <w:t>אלא בפגיעה מתמשכת</w:t>
      </w:r>
      <w:r>
        <w:rPr>
          <w:rtl w:val="true"/>
        </w:rPr>
        <w:t xml:space="preserve">, </w:t>
      </w:r>
      <w:r>
        <w:rPr>
          <w:rtl w:val="true"/>
        </w:rPr>
        <w:t>יומיומית</w:t>
      </w:r>
      <w:r>
        <w:rPr>
          <w:rtl w:val="true"/>
        </w:rPr>
        <w:t xml:space="preserve">, </w:t>
      </w:r>
      <w:r>
        <w:rPr>
          <w:rtl w:val="true"/>
        </w:rPr>
        <w:t>חוזרת ונשנית</w:t>
      </w:r>
      <w:r>
        <w:rPr>
          <w:rtl w:val="true"/>
        </w:rPr>
        <w:t xml:space="preserve">, </w:t>
      </w:r>
      <w:r>
        <w:rPr>
          <w:rtl w:val="true"/>
        </w:rPr>
        <w:t>על פני תקופה של מספר שנים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התייחס בית המשפט המחוזי לסבלן של הנפגעות</w:t>
      </w:r>
      <w:r>
        <w:rPr>
          <w:rtl w:val="true"/>
        </w:rPr>
        <w:t xml:space="preserve">, </w:t>
      </w:r>
      <w:r>
        <w:rPr>
          <w:rtl w:val="true"/>
        </w:rPr>
        <w:t>והנזק הרב שנגרם להן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ביחס למתלוננת – הנפגעת העיקרית ממעשיו של המערער – צוין כי מתסקיר נפגעת העבירה שהוגש לגביה</w:t>
      </w:r>
      <w:r>
        <w:rPr>
          <w:rtl w:val="true"/>
        </w:rPr>
        <w:t xml:space="preserve">, </w:t>
      </w:r>
      <w:r>
        <w:rPr>
          <w:rtl w:val="true"/>
        </w:rPr>
        <w:t xml:space="preserve">עולה שהמעשים המיניים אשר בוצעו הותירו בה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צלקות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עמוקות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ואלו באות לידי ביטוי בתסמונת פוסט</w:t>
      </w:r>
      <w:r>
        <w:rPr>
          <w:rtl w:val="true"/>
        </w:rPr>
        <w:t>-</w:t>
      </w:r>
      <w:r>
        <w:rPr>
          <w:rtl w:val="true"/>
        </w:rPr>
        <w:t>טראומתית קשה</w:t>
      </w:r>
      <w:r>
        <w:rPr>
          <w:rtl w:val="true"/>
        </w:rPr>
        <w:t xml:space="preserve">; </w:t>
      </w:r>
      <w:r>
        <w:rPr>
          <w:rtl w:val="true"/>
        </w:rPr>
        <w:t xml:space="preserve">וכי היא מצויה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במצב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הישרדותי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של התמודדות יומיומית עם תוצאות הפגיעה הקשה שחוותה</w:t>
      </w:r>
      <w:r>
        <w:rPr>
          <w:rtl w:val="true"/>
        </w:rPr>
        <w:t xml:space="preserve">. </w:t>
      </w:r>
      <w:r>
        <w:rPr>
          <w:rtl w:val="true"/>
        </w:rPr>
        <w:t>אשר לנפגעת הנוספת</w:t>
      </w:r>
      <w:r>
        <w:rPr>
          <w:rtl w:val="true"/>
        </w:rPr>
        <w:t xml:space="preserve">, </w:t>
      </w:r>
      <w:r>
        <w:rPr>
          <w:rtl w:val="true"/>
        </w:rPr>
        <w:t>צוין כי על אף מאמציה לנסות ולהותיר מאחור את הטראומה שחוותה</w:t>
      </w:r>
      <w:r>
        <w:rPr>
          <w:rtl w:val="true"/>
        </w:rPr>
        <w:t xml:space="preserve">, </w:t>
      </w:r>
      <w:r>
        <w:rPr>
          <w:rtl w:val="true"/>
        </w:rPr>
        <w:t>ניכר בחקירתה ובמתן עדותה</w:t>
      </w:r>
      <w:r>
        <w:rPr>
          <w:rtl w:val="true"/>
        </w:rPr>
        <w:t xml:space="preserve">, </w:t>
      </w:r>
      <w:r>
        <w:rPr>
          <w:rtl w:val="true"/>
        </w:rPr>
        <w:t>כי עצם אזכור המעשים מטלטל את נפשה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 רקע המתואר</w:t>
      </w:r>
      <w:r>
        <w:rPr>
          <w:rtl w:val="true"/>
        </w:rPr>
        <w:t xml:space="preserve">, </w:t>
      </w:r>
      <w:r>
        <w:rPr>
          <w:rtl w:val="true"/>
        </w:rPr>
        <w:t>ובשים לב למדיניות הענישה הנהוגה במקרים דומים</w:t>
      </w:r>
      <w:r>
        <w:rPr>
          <w:rtl w:val="true"/>
        </w:rPr>
        <w:t xml:space="preserve">, </w:t>
      </w:r>
      <w:r>
        <w:rPr>
          <w:rtl w:val="true"/>
        </w:rPr>
        <w:t>קבע בית המשפט כי מתחם העונש ההולם בגין שני האישומים יחד</w:t>
      </w:r>
      <w:r>
        <w:rPr>
          <w:rtl w:val="true"/>
        </w:rPr>
        <w:t xml:space="preserve">, </w:t>
      </w:r>
      <w:r>
        <w:rPr>
          <w:rtl w:val="true"/>
        </w:rPr>
        <w:t xml:space="preserve">הריהו </w:t>
      </w:r>
      <w:r>
        <w:rPr/>
        <w:t>18.5-13.5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אשר לגזירת העונש המתאים</w:t>
      </w:r>
      <w:r>
        <w:rPr>
          <w:rtl w:val="true"/>
        </w:rPr>
        <w:t xml:space="preserve">, </w:t>
      </w:r>
      <w:r>
        <w:rPr>
          <w:rtl w:val="true"/>
        </w:rPr>
        <w:t>התחשב בית המשפט בעברו הנקי של המערער</w:t>
      </w:r>
      <w:r>
        <w:rPr>
          <w:rtl w:val="true"/>
        </w:rPr>
        <w:t xml:space="preserve">; </w:t>
      </w:r>
      <w:r>
        <w:rPr>
          <w:rtl w:val="true"/>
        </w:rPr>
        <w:t>בתמיכתו מבחינה כלכלית ורגשית במשפחתו וילדיו</w:t>
      </w:r>
      <w:r>
        <w:rPr>
          <w:rtl w:val="true"/>
        </w:rPr>
        <w:t xml:space="preserve">; </w:t>
      </w:r>
      <w:r>
        <w:rPr>
          <w:rtl w:val="true"/>
        </w:rPr>
        <w:t>וכן בעדויותיהם של שלושה צעירים</w:t>
      </w:r>
      <w:r>
        <w:rPr>
          <w:rtl w:val="true"/>
        </w:rPr>
        <w:t xml:space="preserve">, </w:t>
      </w:r>
      <w:r>
        <w:rPr>
          <w:rtl w:val="true"/>
        </w:rPr>
        <w:t>אשר תיארו את המערער כמי שסייע להם בעת משבר ועזר להם לחזור למוטב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גזר בית המשפט המחוזי את עונשו של המערער 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בתוספת עונשים נלווים</w:t>
      </w:r>
      <w:r>
        <w:rPr>
          <w:rtl w:val="true"/>
        </w:rPr>
        <w:t xml:space="preserve">, </w:t>
      </w:r>
      <w:r>
        <w:rPr>
          <w:rtl w:val="true"/>
        </w:rPr>
        <w:t>כמפורט לעיל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משחזר בו המערער מהערעור על הכרעת הדין</w:t>
      </w:r>
      <w:r>
        <w:rPr>
          <w:rtl w:val="true"/>
        </w:rPr>
        <w:t xml:space="preserve">, </w:t>
      </w:r>
      <w:r>
        <w:rPr>
          <w:rtl w:val="true"/>
        </w:rPr>
        <w:t>אפרט את טענות הצדדים לעניין גזר הדין בלבד</w:t>
      </w:r>
      <w:r>
        <w:rPr>
          <w:rtl w:val="true"/>
        </w:rPr>
        <w:t xml:space="preserve">. </w:t>
      </w:r>
      <w:r>
        <w:rPr>
          <w:rtl w:val="true"/>
        </w:rPr>
        <w:t>המערער מלין על חומרת עונשו</w:t>
      </w:r>
      <w:r>
        <w:rPr>
          <w:rtl w:val="true"/>
        </w:rPr>
        <w:t xml:space="preserve">. </w:t>
      </w:r>
      <w:r>
        <w:rPr>
          <w:rtl w:val="true"/>
        </w:rPr>
        <w:t>לדידו</w:t>
      </w:r>
      <w:r>
        <w:rPr>
          <w:rtl w:val="true"/>
        </w:rPr>
        <w:t xml:space="preserve">, </w:t>
      </w:r>
      <w:r>
        <w:rPr>
          <w:rtl w:val="true"/>
        </w:rPr>
        <w:t>שהייתו במעצר ממושך בפיקוח אלקטרוני</w:t>
      </w:r>
      <w:r>
        <w:rPr>
          <w:rtl w:val="true"/>
        </w:rPr>
        <w:t xml:space="preserve">, </w:t>
      </w:r>
      <w:r>
        <w:rPr>
          <w:rtl w:val="true"/>
        </w:rPr>
        <w:t>למשך למעלה משנתיים</w:t>
      </w:r>
      <w:r>
        <w:rPr>
          <w:rtl w:val="true"/>
        </w:rPr>
        <w:t>-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לא הובאה בחשבון במניין השיקולים להקלה בעונשו</w:t>
      </w:r>
      <w:r>
        <w:rPr>
          <w:rtl w:val="true"/>
        </w:rPr>
        <w:t xml:space="preserve">. </w:t>
      </w:r>
      <w:r>
        <w:rPr>
          <w:rtl w:val="true"/>
        </w:rPr>
        <w:t>עוד טוען המערער</w:t>
      </w:r>
      <w:r>
        <w:rPr>
          <w:rtl w:val="true"/>
        </w:rPr>
        <w:t xml:space="preserve">, </w:t>
      </w:r>
      <w:r>
        <w:rPr>
          <w:rtl w:val="true"/>
        </w:rPr>
        <w:t>כי לא ניתן משקל הולם בגזר הדין להעדרו של עבר פלילי לחובתו</w:t>
      </w:r>
      <w:r>
        <w:rPr>
          <w:rtl w:val="true"/>
        </w:rPr>
        <w:t xml:space="preserve">; </w:t>
      </w:r>
      <w:r>
        <w:rPr>
          <w:rtl w:val="true"/>
        </w:rPr>
        <w:t>לזמן הרב שחלף מאז שבוצעו המעשים</w:t>
      </w:r>
      <w:r>
        <w:rPr>
          <w:rtl w:val="true"/>
        </w:rPr>
        <w:t xml:space="preserve">; </w:t>
      </w:r>
      <w:r>
        <w:rPr>
          <w:rtl w:val="true"/>
        </w:rPr>
        <w:t>לפגיעה הקשה שתסב כניסתו למאסר ממושך למשפחתו ולילדיו</w:t>
      </w:r>
      <w:r>
        <w:rPr>
          <w:rtl w:val="true"/>
        </w:rPr>
        <w:t xml:space="preserve">, </w:t>
      </w:r>
      <w:r>
        <w:rPr>
          <w:rtl w:val="true"/>
        </w:rPr>
        <w:t>הנתמכים על</w:t>
      </w:r>
      <w:r>
        <w:rPr>
          <w:rtl w:val="true"/>
        </w:rPr>
        <w:t>-</w:t>
      </w:r>
      <w:r>
        <w:rPr>
          <w:rtl w:val="true"/>
        </w:rPr>
        <w:t>ידו כלכלית ורגשית</w:t>
      </w:r>
      <w:r>
        <w:rPr>
          <w:rtl w:val="true"/>
        </w:rPr>
        <w:t xml:space="preserve">, </w:t>
      </w:r>
      <w:r>
        <w:rPr>
          <w:rtl w:val="true"/>
        </w:rPr>
        <w:t>וסובלים מקשיי התפתחות והתנהגות</w:t>
      </w:r>
      <w:r>
        <w:rPr>
          <w:rtl w:val="true"/>
        </w:rPr>
        <w:t xml:space="preserve">; </w:t>
      </w:r>
      <w:r>
        <w:rPr>
          <w:rtl w:val="true"/>
        </w:rPr>
        <w:t>לעובדה שלא נקט באלימות לשם ביצוע המעשים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להתנדבותו בסיוע לנערים אבודים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טוען המערער</w:t>
      </w:r>
      <w:r>
        <w:rPr>
          <w:rtl w:val="true"/>
        </w:rPr>
        <w:t xml:space="preserve">, </w:t>
      </w:r>
      <w:r>
        <w:rPr>
          <w:rtl w:val="true"/>
        </w:rPr>
        <w:t>כי לא ניתן להטיל עליו את מלוא האחריות להידרדרותה של המתלוננת בשנות נעוריה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סבלה המתלוננת מקשיים ובעיות כבר מגיל צעיר</w:t>
      </w:r>
      <w:r>
        <w:rPr>
          <w:rtl w:val="true"/>
        </w:rPr>
        <w:t xml:space="preserve">, </w:t>
      </w:r>
      <w:r>
        <w:rPr>
          <w:rtl w:val="true"/>
        </w:rPr>
        <w:t>עוד לפני שפגשה בו</w:t>
      </w:r>
      <w:r>
        <w:rPr>
          <w:rtl w:val="true"/>
        </w:rPr>
        <w:t xml:space="preserve">, </w:t>
      </w:r>
      <w:r>
        <w:rPr>
          <w:rtl w:val="true"/>
        </w:rPr>
        <w:t>ומצבה הנוכחי קשור גם בטראומה שחוותה כאשר היתה עדה לפיגוע</w:t>
      </w:r>
      <w:r>
        <w:rPr>
          <w:rtl w:val="true"/>
        </w:rPr>
        <w:t xml:space="preserve">, </w:t>
      </w:r>
      <w:r>
        <w:rPr>
          <w:rtl w:val="true"/>
        </w:rPr>
        <w:t>ולכך שבנעוריה יצאה לתרבות רעה</w:t>
      </w:r>
      <w:r>
        <w:rPr>
          <w:rtl w:val="true"/>
        </w:rPr>
        <w:t xml:space="preserve">, </w:t>
      </w:r>
      <w:r>
        <w:rPr>
          <w:rtl w:val="true"/>
        </w:rPr>
        <w:t>כאשר הידרדרה לצריכת סמים וכיוצא בזה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המדינה סבורה</w:t>
      </w:r>
      <w:r>
        <w:rPr>
          <w:rtl w:val="true"/>
        </w:rPr>
        <w:t xml:space="preserve">, </w:t>
      </w:r>
      <w:r>
        <w:rPr>
          <w:rtl w:val="true"/>
        </w:rPr>
        <w:t>כי אין מקום להתערב בעונש שגזר בית המשפט המחוזי</w:t>
      </w:r>
      <w:r>
        <w:rPr>
          <w:rtl w:val="true"/>
        </w:rPr>
        <w:t xml:space="preserve">. </w:t>
      </w:r>
      <w:r>
        <w:rPr>
          <w:rtl w:val="true"/>
        </w:rPr>
        <w:t>היא מדגישה את חומרתן של עבירות</w:t>
      </w:r>
      <w:r>
        <w:rPr>
          <w:rtl w:val="true"/>
        </w:rPr>
        <w:t>-</w:t>
      </w:r>
      <w:r>
        <w:rPr>
          <w:rtl w:val="true"/>
        </w:rPr>
        <w:t>המין בתוך המשפחה</w:t>
      </w:r>
      <w:r>
        <w:rPr>
          <w:rtl w:val="true"/>
        </w:rPr>
        <w:t xml:space="preserve">, </w:t>
      </w:r>
      <w:r>
        <w:rPr>
          <w:rtl w:val="true"/>
        </w:rPr>
        <w:t>על הנזק האינהרנטי העמוק שהן מסבות לנפגעים ולנפגעות מהן</w:t>
      </w:r>
      <w:r>
        <w:rPr>
          <w:rtl w:val="true"/>
        </w:rPr>
        <w:t xml:space="preserve">. </w:t>
      </w:r>
      <w:r>
        <w:rPr>
          <w:rtl w:val="true"/>
        </w:rPr>
        <w:t>כך ככלל</w:t>
      </w:r>
      <w:r>
        <w:rPr>
          <w:rtl w:val="true"/>
        </w:rPr>
        <w:t xml:space="preserve">, </w:t>
      </w:r>
      <w:r>
        <w:rPr>
          <w:rtl w:val="true"/>
        </w:rPr>
        <w:t>וכך בפרט בעניינה של המתלוננת</w:t>
      </w:r>
      <w:r>
        <w:rPr>
          <w:rtl w:val="true"/>
        </w:rPr>
        <w:t xml:space="preserve">. </w:t>
      </w:r>
      <w:r>
        <w:rPr>
          <w:rtl w:val="true"/>
        </w:rPr>
        <w:t>לגופו של עניין</w:t>
      </w:r>
      <w:r>
        <w:rPr>
          <w:rtl w:val="true"/>
        </w:rPr>
        <w:t xml:space="preserve">, </w:t>
      </w:r>
      <w:r>
        <w:rPr>
          <w:rtl w:val="true"/>
        </w:rPr>
        <w:t>טוענת ב</w:t>
      </w:r>
      <w:r>
        <w:rPr>
          <w:rtl w:val="true"/>
        </w:rPr>
        <w:t>"</w:t>
      </w:r>
      <w:r>
        <w:rPr>
          <w:rtl w:val="true"/>
        </w:rPr>
        <w:t>כ המדינה</w:t>
      </w:r>
      <w:r>
        <w:rPr>
          <w:rtl w:val="true"/>
        </w:rPr>
        <w:t xml:space="preserve">, </w:t>
      </w:r>
      <w:r>
        <w:rPr>
          <w:rtl w:val="true"/>
        </w:rPr>
        <w:t>כי מכלול השיקולים הרלבנטיים נשקל היטב בגזר הדין</w:t>
      </w:r>
      <w:r>
        <w:rPr>
          <w:rtl w:val="true"/>
        </w:rPr>
        <w:t xml:space="preserve">. </w:t>
      </w:r>
      <w:r>
        <w:rPr>
          <w:rtl w:val="true"/>
        </w:rPr>
        <w:t>בכלל זה</w:t>
      </w:r>
      <w:r>
        <w:rPr>
          <w:rtl w:val="true"/>
        </w:rPr>
        <w:t xml:space="preserve">, </w:t>
      </w:r>
      <w:r>
        <w:rPr>
          <w:rtl w:val="true"/>
        </w:rPr>
        <w:t>הודגש כי אין מקום להתחשב בעברו הנקי של המערער</w:t>
      </w:r>
      <w:r>
        <w:rPr>
          <w:rtl w:val="true"/>
        </w:rPr>
        <w:t xml:space="preserve">, </w:t>
      </w:r>
      <w:r>
        <w:rPr>
          <w:rtl w:val="true"/>
        </w:rPr>
        <w:t>בהינתן שאין מדובר במעידה חד</w:t>
      </w:r>
      <w:r>
        <w:rPr>
          <w:rtl w:val="true"/>
        </w:rPr>
        <w:t>-</w:t>
      </w:r>
      <w:r>
        <w:rPr>
          <w:rtl w:val="true"/>
        </w:rPr>
        <w:t>פעמית</w:t>
      </w:r>
      <w:r>
        <w:rPr>
          <w:rtl w:val="true"/>
        </w:rPr>
        <w:t xml:space="preserve">, </w:t>
      </w:r>
      <w:r>
        <w:rPr>
          <w:rtl w:val="true"/>
        </w:rPr>
        <w:t>כי אם במעשים רבים</w:t>
      </w:r>
      <w:r>
        <w:rPr>
          <w:rtl w:val="true"/>
        </w:rPr>
        <w:t xml:space="preserve">, </w:t>
      </w:r>
      <w:r>
        <w:rPr>
          <w:rtl w:val="true"/>
        </w:rPr>
        <w:t>שבוצעו באופן תדיר</w:t>
      </w:r>
      <w:r>
        <w:rPr>
          <w:rtl w:val="true"/>
        </w:rPr>
        <w:t xml:space="preserve">, </w:t>
      </w:r>
      <w:r>
        <w:rPr>
          <w:rtl w:val="true"/>
        </w:rPr>
        <w:t>לאורך זמן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שהתקיים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לפנינו</w:t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בדיון שהתקיים לפנינו טענו ב</w:t>
      </w:r>
      <w:r>
        <w:rPr>
          <w:rtl w:val="true"/>
        </w:rPr>
        <w:t>"</w:t>
      </w:r>
      <w:r>
        <w:rPr>
          <w:rtl w:val="true"/>
        </w:rPr>
        <w:t>כ הצדדים היטב במה שנוגע להכרעת הדין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בסופו של דבר התייתר עניין זה</w:t>
      </w:r>
      <w:r>
        <w:rPr>
          <w:rtl w:val="true"/>
        </w:rPr>
        <w:t xml:space="preserve">, </w:t>
      </w:r>
      <w:r>
        <w:rPr>
          <w:rtl w:val="true"/>
        </w:rPr>
        <w:t>וערעור על הכרעת הדין אינו עומד עוד על הפרק</w:t>
      </w:r>
      <w:r>
        <w:rPr>
          <w:rtl w:val="true"/>
        </w:rPr>
        <w:t xml:space="preserve">. </w:t>
      </w:r>
      <w:r>
        <w:rPr>
          <w:rtl w:val="true"/>
        </w:rPr>
        <w:t>לגבי גזר הדין טען ב</w:t>
      </w:r>
      <w:r>
        <w:rPr>
          <w:rtl w:val="true"/>
        </w:rPr>
        <w:t>"</w:t>
      </w:r>
      <w:r>
        <w:rPr>
          <w:rtl w:val="true"/>
        </w:rPr>
        <w:t>כ המערער כי העונש תואם את הענישה הנוהגת ביחס לעבירות</w:t>
      </w:r>
      <w:r>
        <w:rPr>
          <w:rtl w:val="true"/>
        </w:rPr>
        <w:t>-</w:t>
      </w:r>
      <w:r>
        <w:rPr>
          <w:rtl w:val="true"/>
        </w:rPr>
        <w:t>מין בנסיבות של אלימות</w:t>
      </w:r>
      <w:r>
        <w:rPr>
          <w:rtl w:val="true"/>
        </w:rPr>
        <w:t xml:space="preserve">, </w:t>
      </w:r>
      <w:r>
        <w:rPr>
          <w:rtl w:val="true"/>
        </w:rPr>
        <w:t>אך לא הולם את המקרה שלפנינו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הודגשו נסיבותיו האישיות של המערער</w:t>
      </w:r>
      <w:r>
        <w:rPr>
          <w:rtl w:val="true"/>
        </w:rPr>
        <w:t xml:space="preserve">, </w:t>
      </w:r>
      <w:r>
        <w:rPr>
          <w:rtl w:val="true"/>
        </w:rPr>
        <w:t>ובפרט הפגיעה שתיגרם לילדיו ולמשפחתו כתוצאה מהמאסר הממושך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המדינה מצדה דחתה את הטענות לחריגה ממדיניות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וטענה כי אין בנסיבותיו האישיות של המערער כדי להצדיק הקלה בעונשו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בתום הדיון שיקפנו למערער ולב</w:t>
      </w:r>
      <w:r>
        <w:rPr>
          <w:rtl w:val="true"/>
        </w:rPr>
        <w:t>"</w:t>
      </w:r>
      <w:r>
        <w:rPr>
          <w:rtl w:val="true"/>
        </w:rPr>
        <w:t>כ הצדדים את עמדתנו</w:t>
      </w:r>
      <w:r>
        <w:rPr>
          <w:rtl w:val="true"/>
        </w:rPr>
        <w:t xml:space="preserve">, </w:t>
      </w:r>
      <w:r>
        <w:rPr>
          <w:rtl w:val="true"/>
        </w:rPr>
        <w:t>כי הכרעת הדין מבוססת היטב</w:t>
      </w:r>
      <w:r>
        <w:rPr>
          <w:rtl w:val="true"/>
        </w:rPr>
        <w:t xml:space="preserve">, </w:t>
      </w:r>
      <w:r>
        <w:rPr>
          <w:rtl w:val="true"/>
        </w:rPr>
        <w:t>מנומקת</w:t>
      </w:r>
      <w:r>
        <w:rPr>
          <w:rtl w:val="true"/>
        </w:rPr>
        <w:t xml:space="preserve">, </w:t>
      </w:r>
      <w:r>
        <w:rPr>
          <w:rtl w:val="true"/>
        </w:rPr>
        <w:t>ואין מקום להתערב בה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עמדנו על החשיבות הרבה שבלקיחת אחריות על המעשים</w:t>
      </w:r>
      <w:r>
        <w:rPr>
          <w:rtl w:val="true"/>
        </w:rPr>
        <w:t xml:space="preserve">, </w:t>
      </w:r>
      <w:r>
        <w:rPr>
          <w:rtl w:val="true"/>
        </w:rPr>
        <w:t>ובפרט על המשמעות הרבה שיש לכך כלפי נפגעות העבירות</w:t>
      </w:r>
      <w:r>
        <w:rPr>
          <w:rtl w:val="true"/>
        </w:rPr>
        <w:t xml:space="preserve">, </w:t>
      </w:r>
      <w:r>
        <w:rPr>
          <w:rtl w:val="true"/>
        </w:rPr>
        <w:t>בתהליך השיקום הארוך העומד לפניהן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לאחר שנועץ עם 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התייצב המערער</w:t>
      </w:r>
      <w:r>
        <w:rPr>
          <w:rtl w:val="true"/>
        </w:rPr>
        <w:t xml:space="preserve">, </w:t>
      </w:r>
      <w:r>
        <w:rPr>
          <w:rtl w:val="true"/>
        </w:rPr>
        <w:t>לקח אחריות על מעשיו</w:t>
      </w:r>
      <w:r>
        <w:rPr>
          <w:rtl w:val="true"/>
        </w:rPr>
        <w:t xml:space="preserve">, </w:t>
      </w:r>
      <w:r>
        <w:rPr>
          <w:rtl w:val="true"/>
        </w:rPr>
        <w:t>הודה – לראשונה – כי אכן ביצע את המיוחס לו</w:t>
      </w:r>
      <w:r>
        <w:rPr>
          <w:rtl w:val="true"/>
        </w:rPr>
        <w:t xml:space="preserve">, </w:t>
      </w:r>
      <w:r>
        <w:rPr>
          <w:rtl w:val="true"/>
        </w:rPr>
        <w:t>וכי הוא מצר על הנזק הרב שגרם</w:t>
      </w:r>
      <w:r>
        <w:rPr>
          <w:rtl w:val="true"/>
        </w:rPr>
        <w:t xml:space="preserve">.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כי אישרנו להקליט את דבריו של המערער</w:t>
      </w:r>
      <w:r>
        <w:rPr>
          <w:rtl w:val="true"/>
        </w:rPr>
        <w:t xml:space="preserve">, </w:t>
      </w:r>
      <w:r>
        <w:rPr>
          <w:rtl w:val="true"/>
        </w:rPr>
        <w:t>באופן חריג</w:t>
      </w:r>
      <w:r>
        <w:rPr>
          <w:rtl w:val="true"/>
        </w:rPr>
        <w:t xml:space="preserve">, </w:t>
      </w:r>
      <w:r>
        <w:rPr>
          <w:rtl w:val="true"/>
        </w:rPr>
        <w:t>על מנת שימסרו למתלוננת</w:t>
      </w:r>
      <w:r>
        <w:rPr>
          <w:rtl w:val="true"/>
        </w:rPr>
        <w:t xml:space="preserve">, </w:t>
      </w:r>
      <w:r>
        <w:rPr>
          <w:rtl w:val="true"/>
        </w:rPr>
        <w:t>כפי שביקשה מאת באת</w:t>
      </w:r>
      <w:r>
        <w:rPr>
          <w:rtl w:val="true"/>
        </w:rPr>
        <w:t>-</w:t>
      </w:r>
      <w:r>
        <w:rPr>
          <w:rtl w:val="true"/>
        </w:rPr>
        <w:t>כוחה</w:t>
      </w:r>
      <w:r>
        <w:rPr>
          <w:rtl w:val="true"/>
        </w:rPr>
        <w:t xml:space="preserve">, </w:t>
      </w:r>
      <w:r>
        <w:rPr>
          <w:rtl w:val="true"/>
        </w:rPr>
        <w:t>כמות שנאמרו</w:t>
      </w:r>
      <w:r>
        <w:rPr>
          <w:rtl w:val="true"/>
        </w:rPr>
        <w:t xml:space="preserve">, </w:t>
      </w:r>
      <w:r>
        <w:rPr>
          <w:rtl w:val="true"/>
        </w:rPr>
        <w:t>בקולו</w:t>
      </w:r>
      <w:r>
        <w:rPr>
          <w:rtl w:val="true"/>
        </w:rPr>
        <w:t>-</w:t>
      </w:r>
      <w:r>
        <w:rPr>
          <w:rtl w:val="true"/>
        </w:rPr>
        <w:t>שלו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לאחר שעיינתי בגזר הדין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ונתתי דעתי על טענות באי</w:t>
      </w:r>
      <w:r>
        <w:rPr>
          <w:rtl w:val="true"/>
        </w:rPr>
        <w:t>-</w:t>
      </w:r>
      <w:r>
        <w:rPr>
          <w:rtl w:val="true"/>
        </w:rPr>
        <w:t>כוח הצדדים</w:t>
      </w:r>
      <w:r>
        <w:rPr>
          <w:rtl w:val="true"/>
        </w:rPr>
        <w:t xml:space="preserve">, </w:t>
      </w:r>
      <w:r>
        <w:rPr>
          <w:rtl w:val="true"/>
        </w:rPr>
        <w:t>אלו שבכתב ואלו שבעל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מצאתי כי עיקר נסיבותיו האישיות של המערער – נשקלו</w:t>
      </w:r>
      <w:r>
        <w:rPr>
          <w:rtl w:val="true"/>
        </w:rPr>
        <w:t xml:space="preserve">, </w:t>
      </w:r>
      <w:r>
        <w:rPr>
          <w:rtl w:val="true"/>
        </w:rPr>
        <w:t>והעונש שנגזר עליו – איננו סוטה באופן קיצוני ממדיניות הענישה הנהוגה במקרים דומים</w:t>
      </w:r>
      <w:r>
        <w:rPr>
          <w:rtl w:val="true"/>
        </w:rPr>
        <w:t xml:space="preserve">. </w:t>
      </w:r>
      <w:r>
        <w:rPr>
          <w:rtl w:val="true"/>
        </w:rPr>
        <w:t>אף על</w:t>
      </w:r>
      <w:r>
        <w:rPr>
          <w:rtl w:val="true"/>
        </w:rPr>
        <w:t>-</w:t>
      </w:r>
      <w:r>
        <w:rPr>
          <w:rtl w:val="true"/>
        </w:rPr>
        <w:t>פי כן</w:t>
      </w:r>
      <w:r>
        <w:rPr>
          <w:rtl w:val="true"/>
        </w:rPr>
        <w:t xml:space="preserve">, </w:t>
      </w:r>
      <w:r>
        <w:rPr>
          <w:rtl w:val="true"/>
        </w:rPr>
        <w:t>בהינתן שלשהייתו הממושכת של המערער במעצר בפיקוח אלקטרוני לא ניתן משקל בגזר הדין</w:t>
      </w:r>
      <w:r>
        <w:rPr>
          <w:rtl w:val="true"/>
        </w:rPr>
        <w:t xml:space="preserve">, </w:t>
      </w:r>
      <w:r>
        <w:rPr>
          <w:rtl w:val="true"/>
        </w:rPr>
        <w:t>ובפרט נוכח הודאתו המאוחרת ולקיחת האחריות על מעשיו</w:t>
      </w:r>
      <w:r>
        <w:rPr>
          <w:rtl w:val="true"/>
        </w:rPr>
        <w:t xml:space="preserve">, </w:t>
      </w:r>
      <w:r>
        <w:rPr>
          <w:rtl w:val="true"/>
        </w:rPr>
        <w:t>מצאתי כי יש מקום להקלת</w:t>
      </w:r>
      <w:r>
        <w:rPr>
          <w:rtl w:val="true"/>
        </w:rPr>
        <w:t>-</w:t>
      </w:r>
      <w:r>
        <w:rPr>
          <w:rtl w:val="true"/>
        </w:rPr>
        <w:t>מה בעונשו של המערער</w:t>
      </w:r>
      <w:r>
        <w:rPr>
          <w:rtl w:val="true"/>
        </w:rPr>
        <w:t xml:space="preserve">; </w:t>
      </w:r>
      <w:r>
        <w:rPr>
          <w:rtl w:val="true"/>
        </w:rPr>
        <w:t>אסביר להלן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העונש שהוטל על המערער איננו חורג בחומרתו ממדיניות הענישה הנהוגה במקרים של אינוס ומעשי סדום בתוך המשפחה</w:t>
      </w:r>
      <w:r>
        <w:rPr>
          <w:rtl w:val="true"/>
        </w:rPr>
        <w:t xml:space="preserve">, </w:t>
      </w:r>
      <w:r>
        <w:rPr>
          <w:rtl w:val="true"/>
        </w:rPr>
        <w:t xml:space="preserve">כשאלו נעשים באופן תדיר ולאורך זמן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7004/09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32</w:t>
      </w:r>
      <w:r>
        <w:rPr>
          <w:rtl w:val="true"/>
        </w:rPr>
        <w:t xml:space="preserve"> (</w:t>
      </w:r>
      <w:r>
        <w:rPr/>
        <w:t>17.7.2012</w:t>
      </w:r>
      <w:r>
        <w:rPr>
          <w:rtl w:val="true"/>
        </w:rPr>
        <w:t xml:space="preserve">);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6602/13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11.5.2015</w:t>
      </w:r>
      <w:r>
        <w:rPr>
          <w:rtl w:val="true"/>
        </w:rPr>
        <w:t xml:space="preserve">); </w:t>
      </w:r>
      <w:hyperlink r:id="rId2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252/16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21.12.2017</w:t>
      </w:r>
      <w:r>
        <w:rPr>
          <w:rtl w:val="true"/>
        </w:rPr>
        <w:t xml:space="preserve">);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1647/17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62</w:t>
      </w:r>
      <w:r>
        <w:rPr>
          <w:rtl w:val="true"/>
        </w:rPr>
        <w:t xml:space="preserve"> (</w:t>
      </w:r>
      <w:r>
        <w:rPr/>
        <w:t>9.1.2019</w:t>
      </w:r>
      <w:r>
        <w:rPr>
          <w:rtl w:val="true"/>
        </w:rPr>
        <w:t xml:space="preserve">)). </w:t>
      </w:r>
      <w:r>
        <w:rPr>
          <w:rtl w:val="true"/>
        </w:rPr>
        <w:t>במישור זה</w:t>
      </w:r>
      <w:r>
        <w:rPr>
          <w:rtl w:val="true"/>
        </w:rPr>
        <w:t xml:space="preserve">, </w:t>
      </w:r>
      <w:r>
        <w:rPr>
          <w:rtl w:val="true"/>
        </w:rPr>
        <w:t>הפסיקה שהגיש המערער לתמיכה בטענותיו</w:t>
      </w:r>
      <w:r>
        <w:rPr>
          <w:rtl w:val="true"/>
        </w:rPr>
        <w:t xml:space="preserve">, </w:t>
      </w:r>
      <w:r>
        <w:rPr>
          <w:rtl w:val="true"/>
        </w:rPr>
        <w:t>אין בה כדי לשנות ממסקנה זו</w:t>
      </w:r>
      <w:r>
        <w:rPr>
          <w:rtl w:val="true"/>
        </w:rPr>
        <w:t xml:space="preserve">. </w:t>
      </w:r>
      <w:r>
        <w:rPr>
          <w:rtl w:val="true"/>
        </w:rPr>
        <w:t xml:space="preserve">בחלקה נדונו מעשים פחותים בחומרתם ממעשיו של המערער </w:t>
      </w:r>
      <w:r>
        <w:rPr>
          <w:rtl w:val="true"/>
        </w:rPr>
        <w:t>(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3541/17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13.6.2019</w:t>
      </w:r>
      <w:r>
        <w:rPr>
          <w:rtl w:val="true"/>
        </w:rPr>
        <w:t xml:space="preserve">);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7433/15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17.5.2016</w:t>
      </w:r>
      <w:r>
        <w:rPr>
          <w:rtl w:val="true"/>
        </w:rPr>
        <w:t xml:space="preserve">)); </w:t>
      </w:r>
      <w:r>
        <w:rPr>
          <w:rtl w:val="true"/>
        </w:rPr>
        <w:t xml:space="preserve">בחלקה האחר התחשב בית המשפט בנסיבותיו האישיות החריגות של הנאשם </w:t>
      </w:r>
      <w:r>
        <w:rPr>
          <w:rtl w:val="true"/>
        </w:rPr>
        <w:t>(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7453/09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16.3.2011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אשר לנסיבותיו האישיות של המערער</w:t>
      </w:r>
      <w:r>
        <w:rPr>
          <w:rtl w:val="true"/>
        </w:rPr>
        <w:t xml:space="preserve">. </w:t>
      </w:r>
      <w:r>
        <w:rPr>
          <w:rtl w:val="true"/>
        </w:rPr>
        <w:t>עיון בגזר הדין מעלה כי מבין מכלול השיקולים</w:t>
      </w:r>
      <w:r>
        <w:rPr>
          <w:rtl w:val="true"/>
        </w:rPr>
        <w:t xml:space="preserve">, </w:t>
      </w:r>
      <w:r>
        <w:rPr>
          <w:rtl w:val="true"/>
        </w:rPr>
        <w:t>העיקריים שבהם – נשקלו</w:t>
      </w:r>
      <w:r>
        <w:rPr>
          <w:rtl w:val="true"/>
        </w:rPr>
        <w:t xml:space="preserve">, </w:t>
      </w:r>
      <w:r>
        <w:rPr>
          <w:rtl w:val="true"/>
        </w:rPr>
        <w:t>והמשקל שניתן להם – ראוי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אכן לא צוינה בגזר הדין שהייתו של המערער במעצר בפיקוח אלקטרוני</w:t>
      </w:r>
      <w:r>
        <w:rPr>
          <w:rtl w:val="true"/>
        </w:rPr>
        <w:t xml:space="preserve">, </w:t>
      </w:r>
      <w:r>
        <w:rPr>
          <w:rtl w:val="true"/>
        </w:rPr>
        <w:t>במשך למעלה משנתיים</w:t>
      </w:r>
      <w:r>
        <w:rPr>
          <w:rtl w:val="true"/>
        </w:rPr>
        <w:t>-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עובדה זו יש בה</w:t>
      </w:r>
      <w:r>
        <w:rPr>
          <w:rtl w:val="true"/>
        </w:rPr>
        <w:t xml:space="preserve">, </w:t>
      </w:r>
      <w:r>
        <w:rPr>
          <w:rtl w:val="true"/>
        </w:rPr>
        <w:t>בכפוף לנסיבות</w:t>
      </w:r>
      <w:r>
        <w:rPr>
          <w:rtl w:val="true"/>
        </w:rPr>
        <w:t xml:space="preserve">, </w:t>
      </w:r>
      <w:r>
        <w:rPr>
          <w:rtl w:val="true"/>
        </w:rPr>
        <w:t xml:space="preserve">משום שיקול לקולא בקביעת העונש </w:t>
      </w:r>
      <w:r>
        <w:rPr>
          <w:rtl w:val="true"/>
        </w:rPr>
        <w:t>(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7768/15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33</w:t>
      </w:r>
      <w:r>
        <w:rPr>
          <w:rtl w:val="true"/>
        </w:rPr>
        <w:t xml:space="preserve"> (</w:t>
      </w:r>
      <w:r>
        <w:rPr/>
        <w:t>20.4.2016</w:t>
      </w:r>
      <w:r>
        <w:rPr>
          <w:rtl w:val="true"/>
        </w:rPr>
        <w:t xml:space="preserve">);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8283/17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עבאסי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(</w:t>
      </w:r>
      <w:r>
        <w:rPr/>
        <w:t>10.6.2018</w:t>
      </w:r>
      <w:r>
        <w:rPr>
          <w:rtl w:val="true"/>
        </w:rPr>
        <w:t xml:space="preserve">)). </w:t>
      </w:r>
      <w:r>
        <w:rPr>
          <w:rtl w:val="true"/>
        </w:rPr>
        <w:t>סבורני אפוא</w:t>
      </w:r>
      <w:r>
        <w:rPr>
          <w:rtl w:val="true"/>
        </w:rPr>
        <w:t xml:space="preserve">, </w:t>
      </w:r>
      <w:r>
        <w:rPr>
          <w:rtl w:val="true"/>
        </w:rPr>
        <w:t>כי הגם שגזר הדין ברובו מבוסס ומנומק</w:t>
      </w:r>
      <w:r>
        <w:rPr>
          <w:rtl w:val="true"/>
        </w:rPr>
        <w:t xml:space="preserve">, </w:t>
      </w:r>
      <w:r>
        <w:rPr>
          <w:rtl w:val="true"/>
        </w:rPr>
        <w:t>יש בנסיבות הצדקה להתערבות מסוימת</w:t>
      </w:r>
      <w:r>
        <w:rPr>
          <w:rtl w:val="true"/>
        </w:rPr>
        <w:t xml:space="preserve">, </w:t>
      </w:r>
      <w:r>
        <w:rPr>
          <w:rtl w:val="true"/>
        </w:rPr>
        <w:t>מתונה</w:t>
      </w:r>
      <w:r>
        <w:rPr>
          <w:rtl w:val="true"/>
        </w:rPr>
        <w:t xml:space="preserve">, </w:t>
      </w:r>
      <w:r>
        <w:rPr>
          <w:rtl w:val="true"/>
        </w:rPr>
        <w:t>בעונש שנגזר על המערער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לבד מכך – וכאן העיקר – סבורני כי יש להתחשב בהודאתו של המערער בתום הדיון שהתקיים לפנינו</w:t>
      </w:r>
      <w:r>
        <w:rPr>
          <w:rtl w:val="true"/>
        </w:rPr>
        <w:t xml:space="preserve">, </w:t>
      </w:r>
      <w:r>
        <w:rPr>
          <w:rtl w:val="true"/>
        </w:rPr>
        <w:t>ובלקיחת האחריות בפומבי על הנזק שגרם לנפגעות</w:t>
      </w:r>
      <w:r>
        <w:rPr>
          <w:rtl w:val="true"/>
        </w:rPr>
        <w:t xml:space="preserve">. </w:t>
      </w:r>
      <w:r>
        <w:rPr>
          <w:rtl w:val="true"/>
        </w:rPr>
        <w:t>אין זה דבר של מה בכך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הודאה במעשים בשלב דיוני כה מאוחר</w:t>
      </w:r>
      <w:r>
        <w:rPr>
          <w:rtl w:val="true"/>
        </w:rPr>
        <w:t xml:space="preserve">, </w:t>
      </w:r>
      <w:r>
        <w:rPr>
          <w:rtl w:val="true"/>
        </w:rPr>
        <w:t>ולאחר שמיעת הערותיו של בית המשפט שלערעור</w:t>
      </w:r>
      <w:r>
        <w:rPr>
          <w:rtl w:val="true"/>
        </w:rPr>
        <w:t xml:space="preserve">, </w:t>
      </w:r>
      <w:r>
        <w:rPr>
          <w:rtl w:val="true"/>
        </w:rPr>
        <w:t>איננה שקולה כלל וכלל למסירת הודאה בשלבים מוקדמים של ההליך</w:t>
      </w:r>
      <w:r>
        <w:rPr>
          <w:rtl w:val="true"/>
        </w:rPr>
        <w:t xml:space="preserve">. </w:t>
      </w:r>
      <w:r>
        <w:rPr>
          <w:rtl w:val="true"/>
        </w:rPr>
        <w:t>במצב אחרון זה</w:t>
      </w:r>
      <w:r>
        <w:rPr>
          <w:rtl w:val="true"/>
        </w:rPr>
        <w:t xml:space="preserve">, </w:t>
      </w:r>
      <w:r>
        <w:rPr>
          <w:rtl w:val="true"/>
        </w:rPr>
        <w:t>נחסך מהצדדים הליך ארוך</w:t>
      </w:r>
      <w:r>
        <w:rPr>
          <w:rtl w:val="true"/>
        </w:rPr>
        <w:t xml:space="preserve">, </w:t>
      </w:r>
      <w:r>
        <w:rPr>
          <w:rtl w:val="true"/>
        </w:rPr>
        <w:t>מעיק</w:t>
      </w:r>
      <w:r>
        <w:rPr>
          <w:rtl w:val="true"/>
        </w:rPr>
        <w:t xml:space="preserve">, </w:t>
      </w:r>
      <w:r>
        <w:rPr>
          <w:rtl w:val="true"/>
        </w:rPr>
        <w:t xml:space="preserve">יקר ומייגע </w:t>
      </w:r>
      <w:r>
        <w:rPr>
          <w:rtl w:val="true"/>
        </w:rPr>
        <w:t>(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2021/17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מצגר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 xml:space="preserve">לחוות דעתי </w:t>
      </w:r>
      <w:r>
        <w:rPr>
          <w:rtl w:val="true"/>
        </w:rPr>
        <w:t>(</w:t>
      </w:r>
      <w:r>
        <w:rPr/>
        <w:t>30.4.2017</w:t>
      </w:r>
      <w:r>
        <w:rPr>
          <w:rtl w:val="true"/>
        </w:rPr>
        <w:t xml:space="preserve">)); </w:t>
      </w:r>
      <w:r>
        <w:rPr>
          <w:rtl w:val="true"/>
        </w:rPr>
        <w:t>וכאשר בעבירות</w:t>
      </w:r>
      <w:r>
        <w:rPr>
          <w:rtl w:val="true"/>
        </w:rPr>
        <w:t>-</w:t>
      </w:r>
      <w:r>
        <w:rPr>
          <w:rtl w:val="true"/>
        </w:rPr>
        <w:t>מין עסקינן – נחסכת מן הנפגעות פגיעה נוספת</w:t>
      </w:r>
      <w:r>
        <w:rPr>
          <w:rtl w:val="true"/>
        </w:rPr>
        <w:t xml:space="preserve">, </w:t>
      </w:r>
      <w:r>
        <w:rPr>
          <w:rtl w:val="true"/>
        </w:rPr>
        <w:t>קשה וכואבת</w:t>
      </w:r>
      <w:r>
        <w:rPr>
          <w:rtl w:val="true"/>
        </w:rPr>
        <w:t xml:space="preserve">, </w:t>
      </w:r>
      <w:r>
        <w:rPr>
          <w:rtl w:val="true"/>
        </w:rPr>
        <w:t xml:space="preserve">הכרוכה במעמד מתן העדות בבית המשפט </w:t>
      </w:r>
      <w:r>
        <w:rPr>
          <w:rtl w:val="true"/>
        </w:rPr>
        <w:t>(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5877/99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יאנוס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נט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97</w:t>
      </w:r>
      <w:r>
        <w:rPr>
          <w:rtl w:val="true"/>
        </w:rPr>
        <w:t xml:space="preserve">, </w:t>
      </w:r>
      <w:r>
        <w:rPr/>
        <w:t>118-117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 xml:space="preserve">)). </w:t>
      </w:r>
      <w:r>
        <w:rPr>
          <w:rtl w:val="true"/>
        </w:rPr>
        <w:t>לא די בפגיעה הנוראה שחוו</w:t>
      </w:r>
      <w:r>
        <w:rPr>
          <w:rtl w:val="true"/>
        </w:rPr>
        <w:t xml:space="preserve">, </w:t>
      </w:r>
      <w:r>
        <w:rPr>
          <w:rtl w:val="true"/>
        </w:rPr>
        <w:t>הן צריכות לשוב לשחזר</w:t>
      </w:r>
      <w:r>
        <w:rPr>
          <w:rtl w:val="true"/>
        </w:rPr>
        <w:t xml:space="preserve">, </w:t>
      </w:r>
      <w:r>
        <w:rPr>
          <w:rtl w:val="true"/>
        </w:rPr>
        <w:t>לפרט</w:t>
      </w:r>
      <w:r>
        <w:rPr>
          <w:rtl w:val="true"/>
        </w:rPr>
        <w:t>, '</w:t>
      </w:r>
      <w:r>
        <w:rPr>
          <w:rtl w:val="true"/>
        </w:rPr>
        <w:t>לחוות</w:t>
      </w:r>
      <w:r>
        <w:rPr>
          <w:rtl w:val="true"/>
        </w:rPr>
        <w:t xml:space="preserve">' </w:t>
      </w:r>
      <w:r>
        <w:rPr>
          <w:rtl w:val="true"/>
        </w:rPr>
        <w:t>מחדש</w:t>
      </w:r>
      <w:r>
        <w:rPr>
          <w:rtl w:val="true"/>
        </w:rPr>
        <w:t xml:space="preserve">, </w:t>
      </w:r>
      <w:r>
        <w:rPr>
          <w:rtl w:val="true"/>
        </w:rPr>
        <w:t>ולהתמודד בחזית נוספת עם הטלת ספק במהימנותן</w:t>
      </w:r>
      <w:r>
        <w:rPr>
          <w:rtl w:val="true"/>
        </w:rPr>
        <w:t xml:space="preserve">; </w:t>
      </w:r>
      <w:r>
        <w:rPr>
          <w:rtl w:val="true"/>
        </w:rPr>
        <w:t>שמא בדו מליבן</w:t>
      </w:r>
      <w:r>
        <w:rPr>
          <w:rtl w:val="true"/>
        </w:rPr>
        <w:t xml:space="preserve">, </w:t>
      </w:r>
      <w:r>
        <w:rPr>
          <w:rtl w:val="true"/>
        </w:rPr>
        <w:t>שמא העלילו</w:t>
      </w:r>
      <w:r>
        <w:rPr>
          <w:rtl w:val="true"/>
        </w:rPr>
        <w:t xml:space="preserve">, </w:t>
      </w:r>
      <w:r>
        <w:rPr>
          <w:rtl w:val="true"/>
        </w:rPr>
        <w:t>שמא חפצו בקשר המיני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אין לבטל לחלוטין את הערך שבלקיחת אחריות מאוחרת על המעשים</w:t>
      </w:r>
      <w:r>
        <w:rPr>
          <w:rtl w:val="true"/>
        </w:rPr>
        <w:t xml:space="preserve">, </w:t>
      </w:r>
      <w:r>
        <w:rPr>
          <w:rtl w:val="true"/>
        </w:rPr>
        <w:t>מצדו של הפוגע</w:t>
      </w:r>
      <w:r>
        <w:rPr>
          <w:rtl w:val="true"/>
        </w:rPr>
        <w:t xml:space="preserve">, </w:t>
      </w:r>
      <w:r>
        <w:rPr>
          <w:rtl w:val="true"/>
        </w:rPr>
        <w:t>גם אם זו באה בשלב מאוחר</w:t>
      </w:r>
      <w:r>
        <w:rPr>
          <w:rtl w:val="true"/>
        </w:rPr>
        <w:t xml:space="preserve">. </w:t>
      </w:r>
      <w:r>
        <w:rPr>
          <w:rtl w:val="true"/>
        </w:rPr>
        <w:t>כפי שמלמדנו 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ושבח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גדול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שיתוודה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ברבים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ויודיע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פשעיו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ומגלה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חבירו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המתגאה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מודיע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פשעיו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תשובתו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גמורה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שנאמר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: 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פשעיו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יצליח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 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)"</w:t>
      </w:r>
      <w:r>
        <w:rPr>
          <w:rtl w:val="true"/>
        </w:rPr>
        <w:t xml:space="preserve"> 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תורה</w:t>
      </w:r>
      <w:r>
        <w:rPr>
          <w:rtl w:val="true"/>
        </w:rPr>
        <w:t xml:space="preserve">, </w:t>
      </w:r>
      <w:r>
        <w:rPr>
          <w:rtl w:val="true"/>
        </w:rPr>
        <w:t>הלכות תשובה ב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 xml:space="preserve">). </w:t>
      </w:r>
      <w:r>
        <w:rPr>
          <w:rtl w:val="true"/>
        </w:rPr>
        <w:t>ההודאה</w:t>
      </w:r>
      <w:r>
        <w:rPr>
          <w:rtl w:val="true"/>
        </w:rPr>
        <w:t xml:space="preserve">, </w:t>
      </w:r>
      <w:r>
        <w:rPr>
          <w:rtl w:val="true"/>
        </w:rPr>
        <w:t>גם בדיעבד</w:t>
      </w:r>
      <w:r>
        <w:rPr>
          <w:rtl w:val="true"/>
        </w:rPr>
        <w:t xml:space="preserve">, </w:t>
      </w:r>
      <w:r>
        <w:rPr>
          <w:rtl w:val="true"/>
        </w:rPr>
        <w:t>גם לאחר הכרעת הדין</w:t>
      </w:r>
      <w:r>
        <w:rPr>
          <w:rtl w:val="true"/>
        </w:rPr>
        <w:t xml:space="preserve">, </w:t>
      </w:r>
      <w:r>
        <w:rPr>
          <w:rtl w:val="true"/>
        </w:rPr>
        <w:t xml:space="preserve">כאשר היא נעשית במפורש ובכנות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הלכות ב ו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ג</w:t>
      </w:r>
      <w:r>
        <w:rPr>
          <w:rtl w:val="true"/>
        </w:rPr>
        <w:t xml:space="preserve">), </w:t>
      </w:r>
      <w:r>
        <w:rPr>
          <w:rtl w:val="true"/>
        </w:rPr>
        <w:t>הריהי שלב ראשון בתהליך של התשובה</w:t>
      </w:r>
      <w:r>
        <w:rPr>
          <w:rtl w:val="true"/>
        </w:rPr>
        <w:t xml:space="preserve">; </w:t>
      </w:r>
      <w:r>
        <w:rPr>
          <w:rtl w:val="true"/>
        </w:rPr>
        <w:t xml:space="preserve">עליה נאמר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שבקלות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ומצד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שבקשות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 xml:space="preserve">הרב אברהם יצחק הכהן קוק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התשובה</w:t>
      </w:r>
      <w:r>
        <w:rPr>
          <w:rtl w:val="true"/>
        </w:rPr>
        <w:t xml:space="preserve">, </w:t>
      </w:r>
      <w:r>
        <w:rPr>
          <w:rtl w:val="true"/>
        </w:rPr>
        <w:t>פתיחה לספר</w:t>
      </w:r>
      <w:r>
        <w:rPr>
          <w:rtl w:val="true"/>
        </w:rPr>
        <w:t xml:space="preserve">). </w:t>
      </w:r>
      <w:r>
        <w:rPr>
          <w:rtl w:val="true"/>
        </w:rPr>
        <w:t>בגמר הדיון</w:t>
      </w:r>
      <w:r>
        <w:rPr>
          <w:rtl w:val="true"/>
        </w:rPr>
        <w:t xml:space="preserve">, </w:t>
      </w:r>
      <w:r>
        <w:rPr>
          <w:rtl w:val="true"/>
        </w:rPr>
        <w:t>בעינינו ראינו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. </w:t>
      </w:r>
      <w:r>
        <w:rPr>
          <w:rtl w:val="true"/>
        </w:rPr>
        <w:t xml:space="preserve">לצד הכרחיות ההודאה לתהליך התשובה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החוטא</w:t>
      </w:r>
      <w:r>
        <w:rPr>
          <w:rtl w:val="true"/>
        </w:rPr>
        <w:t xml:space="preserve">, </w:t>
      </w:r>
      <w:r>
        <w:rPr>
          <w:rtl w:val="true"/>
        </w:rPr>
        <w:t>הרי שההכרה באחריות לנזק שגרם</w:t>
      </w:r>
      <w:r>
        <w:rPr>
          <w:rtl w:val="true"/>
        </w:rPr>
        <w:t xml:space="preserve">, </w:t>
      </w:r>
      <w:r>
        <w:rPr>
          <w:rtl w:val="true"/>
        </w:rPr>
        <w:t xml:space="preserve">נושאת עמה חשיבות רבה גם לתהליך שיקומו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הנפגע</w:t>
      </w:r>
      <w:r>
        <w:rPr>
          <w:rtl w:val="true"/>
        </w:rPr>
        <w:t xml:space="preserve">. </w:t>
      </w:r>
      <w:r>
        <w:rPr>
          <w:rtl w:val="true"/>
        </w:rPr>
        <w:t>כך בכלל</w:t>
      </w:r>
      <w:r>
        <w:rPr>
          <w:rtl w:val="true"/>
        </w:rPr>
        <w:t xml:space="preserve">, </w:t>
      </w:r>
      <w:r>
        <w:rPr>
          <w:rtl w:val="true"/>
        </w:rPr>
        <w:t>וכך כאשר בעבירות</w:t>
      </w:r>
      <w:r>
        <w:rPr>
          <w:rtl w:val="true"/>
        </w:rPr>
        <w:t>-</w:t>
      </w:r>
      <w:r>
        <w:rPr>
          <w:rtl w:val="true"/>
        </w:rPr>
        <w:t>מין עסקינן בפרט</w:t>
      </w:r>
      <w:r>
        <w:rPr>
          <w:rtl w:val="true"/>
        </w:rPr>
        <w:t xml:space="preserve">, </w:t>
      </w:r>
      <w:r>
        <w:rPr>
          <w:rtl w:val="true"/>
        </w:rPr>
        <w:t>כשלא פעם עומדת מהימנותו של זה מול מהימנותה של זו</w:t>
      </w:r>
      <w:r>
        <w:rPr>
          <w:rtl w:val="true"/>
        </w:rPr>
        <w:t xml:space="preserve">. </w:t>
      </w:r>
      <w:r>
        <w:rPr>
          <w:rtl w:val="true"/>
        </w:rPr>
        <w:t>בכגון דא</w:t>
      </w:r>
      <w:r>
        <w:rPr>
          <w:rtl w:val="true"/>
        </w:rPr>
        <w:t xml:space="preserve">, </w:t>
      </w:r>
      <w:r>
        <w:rPr>
          <w:rtl w:val="true"/>
        </w:rPr>
        <w:t>אף אם כבר הורשע הנאשם</w:t>
      </w:r>
      <w:r>
        <w:rPr>
          <w:rtl w:val="true"/>
        </w:rPr>
        <w:t xml:space="preserve">, </w:t>
      </w:r>
      <w:r>
        <w:rPr>
          <w:rtl w:val="true"/>
        </w:rPr>
        <w:t>חרף הכחשתו את המיוחס לו</w:t>
      </w:r>
      <w:r>
        <w:rPr>
          <w:rtl w:val="true"/>
        </w:rPr>
        <w:t xml:space="preserve">, </w:t>
      </w:r>
      <w:r>
        <w:rPr>
          <w:rtl w:val="true"/>
        </w:rPr>
        <w:t>אין להקל ראש בהצהרה מאוחרת מצדו</w:t>
      </w:r>
      <w:r>
        <w:rPr>
          <w:rtl w:val="true"/>
        </w:rPr>
        <w:t xml:space="preserve">, </w:t>
      </w:r>
      <w:r>
        <w:rPr>
          <w:rtl w:val="true"/>
        </w:rPr>
        <w:t>קבל עם ועדה</w:t>
      </w:r>
      <w:r>
        <w:rPr>
          <w:rtl w:val="true"/>
        </w:rPr>
        <w:t xml:space="preserve">, </w:t>
      </w:r>
      <w:r>
        <w:rPr>
          <w:rtl w:val="true"/>
        </w:rPr>
        <w:t>כי מלכתחילה היו דבריה של המתלוננת – אמת</w:t>
      </w:r>
      <w:r>
        <w:rPr>
          <w:rtl w:val="true"/>
        </w:rPr>
        <w:t xml:space="preserve">; </w:t>
      </w:r>
      <w:r>
        <w:rPr>
          <w:rtl w:val="true"/>
        </w:rPr>
        <w:t>כי לא העלילה עלילות</w:t>
      </w:r>
      <w:r>
        <w:rPr>
          <w:rtl w:val="true"/>
        </w:rPr>
        <w:t xml:space="preserve">, </w:t>
      </w:r>
      <w:r>
        <w:rPr>
          <w:rtl w:val="true"/>
        </w:rPr>
        <w:t>לא בדתה בדיות</w:t>
      </w:r>
      <w:r>
        <w:rPr>
          <w:rtl w:val="true"/>
        </w:rPr>
        <w:t xml:space="preserve">, </w:t>
      </w:r>
      <w:r>
        <w:rPr>
          <w:rtl w:val="true"/>
        </w:rPr>
        <w:t>ומעשיו שלו הם שהביאו בדין להרשעתו</w:t>
      </w:r>
      <w:r>
        <w:rPr>
          <w:rtl w:val="true"/>
        </w:rPr>
        <w:t xml:space="preserve">. </w:t>
      </w:r>
      <w:r>
        <w:rPr>
          <w:rtl w:val="true"/>
        </w:rPr>
        <w:t>אנחת רווחה</w:t>
      </w:r>
      <w:r>
        <w:rPr>
          <w:rtl w:val="true"/>
        </w:rPr>
        <w:t xml:space="preserve">, </w:t>
      </w:r>
      <w:r>
        <w:rPr>
          <w:rtl w:val="true"/>
        </w:rPr>
        <w:t>גם אם מדודה ומתוחמת</w:t>
      </w:r>
      <w:r>
        <w:rPr>
          <w:rtl w:val="true"/>
        </w:rPr>
        <w:t xml:space="preserve">, </w:t>
      </w:r>
      <w:r>
        <w:rPr>
          <w:rtl w:val="true"/>
        </w:rPr>
        <w:t>יוצאת אז מלבה של נפגעת עבירת</w:t>
      </w:r>
      <w:r>
        <w:rPr>
          <w:rtl w:val="true"/>
        </w:rPr>
        <w:t>-</w:t>
      </w:r>
      <w:r>
        <w:rPr>
          <w:rtl w:val="true"/>
        </w:rPr>
        <w:t>המין</w:t>
      </w:r>
      <w:r>
        <w:rPr>
          <w:rtl w:val="true"/>
        </w:rPr>
        <w:t xml:space="preserve">, </w:t>
      </w:r>
      <w:r>
        <w:rPr>
          <w:rtl w:val="true"/>
        </w:rPr>
        <w:t>כשהפוגע אינו מכחיש עוד</w:t>
      </w:r>
      <w:r>
        <w:rPr>
          <w:rtl w:val="true"/>
        </w:rPr>
        <w:t xml:space="preserve">, </w:t>
      </w:r>
      <w:r>
        <w:rPr>
          <w:rtl w:val="true"/>
        </w:rPr>
        <w:t>מודה בפה מלא</w:t>
      </w:r>
      <w:r>
        <w:rPr>
          <w:rtl w:val="true"/>
        </w:rPr>
        <w:t xml:space="preserve">. </w:t>
      </w:r>
      <w:r>
        <w:rPr>
          <w:rtl w:val="true"/>
        </w:rPr>
        <w:t xml:space="preserve">הנפגעת משתחררת מן העול הכבד המוטל עליה כביכול </w:t>
      </w:r>
      <w:r>
        <w:rPr>
          <w:rtl w:val="true"/>
        </w:rPr>
        <w:t>'</w:t>
      </w:r>
      <w:r>
        <w:rPr>
          <w:rtl w:val="true"/>
        </w:rPr>
        <w:t>להוכיח</w:t>
      </w:r>
      <w:r>
        <w:rPr>
          <w:rtl w:val="true"/>
        </w:rPr>
        <w:t xml:space="preserve">' </w:t>
      </w:r>
      <w:r>
        <w:rPr>
          <w:rtl w:val="true"/>
        </w:rPr>
        <w:t>לסביבתה</w:t>
      </w:r>
      <w:r>
        <w:rPr>
          <w:rtl w:val="true"/>
        </w:rPr>
        <w:t xml:space="preserve">, </w:t>
      </w:r>
      <w:r>
        <w:rPr>
          <w:rtl w:val="true"/>
        </w:rPr>
        <w:t>כי אמת דיברה</w:t>
      </w:r>
      <w:r>
        <w:rPr>
          <w:rtl w:val="true"/>
        </w:rPr>
        <w:t xml:space="preserve">, </w:t>
      </w:r>
      <w:r>
        <w:rPr>
          <w:rtl w:val="true"/>
        </w:rPr>
        <w:t>ויכולה להפנות את כוחותיה ואת שאריות המרץ שנותרו בה</w:t>
      </w:r>
      <w:r>
        <w:rPr>
          <w:rtl w:val="true"/>
        </w:rPr>
        <w:t xml:space="preserve">, </w:t>
      </w:r>
      <w:r>
        <w:rPr>
          <w:rtl w:val="true"/>
        </w:rPr>
        <w:t>לעיקר</w:t>
      </w:r>
      <w:r>
        <w:rPr>
          <w:rtl w:val="true"/>
        </w:rPr>
        <w:t xml:space="preserve">, </w:t>
      </w:r>
      <w:r>
        <w:rPr>
          <w:rtl w:val="true"/>
        </w:rPr>
        <w:t>לשיקום חייה בעקבות המעשים הנוראיים שנעשו בה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בהינתן שבגזירת העונש לא הובאה בחשבון עובדת שהייתו של המערער במעצר בפיקוח אלקטרוני</w:t>
      </w:r>
      <w:r>
        <w:rPr>
          <w:rtl w:val="true"/>
        </w:rPr>
        <w:t xml:space="preserve">, </w:t>
      </w:r>
      <w:r>
        <w:rPr>
          <w:rtl w:val="true"/>
        </w:rPr>
        <w:t>ונוכח התמורות שחלו בעמדת המערער בעקבות הדיון שהתקיים לפנינו</w:t>
      </w:r>
      <w:r>
        <w:rPr>
          <w:rtl w:val="true"/>
        </w:rPr>
        <w:t xml:space="preserve">, </w:t>
      </w:r>
      <w:r>
        <w:rPr>
          <w:rtl w:val="true"/>
        </w:rPr>
        <w:t>כמו גם הכרתו לראשונה באחריות על נזקיהן של קרבנות העבירות שביצע</w:t>
      </w:r>
      <w:r>
        <w:rPr>
          <w:rtl w:val="true"/>
        </w:rPr>
        <w:t xml:space="preserve">, </w:t>
      </w:r>
      <w:r>
        <w:rPr>
          <w:rtl w:val="true"/>
        </w:rPr>
        <w:t xml:space="preserve">ועל הפגיעה בהן – באתי לכלל מסקנה כי נכון יהיה להפחית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מעונשו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ודוק</w:t>
      </w:r>
      <w:r>
        <w:rPr>
          <w:rtl w:val="true"/>
        </w:rPr>
        <w:t xml:space="preserve">: </w:t>
      </w:r>
      <w:r>
        <w:rPr>
          <w:rtl w:val="true"/>
        </w:rPr>
        <w:t>אין בתוצאה שאליה הגעתי</w:t>
      </w:r>
      <w:r>
        <w:rPr>
          <w:rtl w:val="true"/>
        </w:rPr>
        <w:t xml:space="preserve">, </w:t>
      </w:r>
      <w:r>
        <w:rPr>
          <w:rtl w:val="true"/>
        </w:rPr>
        <w:t>כדי להפחית כהוא זה מהחומרה היתרה שבמעשיו המחרידים של המערער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tl w:val="true"/>
        </w:rPr>
        <w:t>-</w:t>
      </w:r>
      <w:r>
        <w:rPr>
          <w:rtl w:val="true"/>
        </w:rPr>
        <w:t>המין הן מהחמורות שבספר העונשין</w:t>
      </w:r>
      <w:r>
        <w:rPr>
          <w:rtl w:val="true"/>
        </w:rPr>
        <w:t xml:space="preserve">. </w:t>
      </w:r>
      <w:r>
        <w:rPr>
          <w:rtl w:val="true"/>
        </w:rPr>
        <w:t>כאשר הן נעשות בתוך המשפחה – הן חמורות כפליים</w:t>
      </w:r>
      <w:r>
        <w:rPr>
          <w:rtl w:val="true"/>
        </w:rPr>
        <w:t xml:space="preserve">; </w:t>
      </w:r>
      <w:r>
        <w:rPr>
          <w:rtl w:val="true"/>
        </w:rPr>
        <w:t>וכאשר הן נעשות בקטינות רכות בשנים – חמורות הן שבעתיים</w:t>
      </w:r>
      <w:r>
        <w:rPr>
          <w:rtl w:val="true"/>
        </w:rPr>
        <w:t xml:space="preserve">. </w:t>
      </w:r>
      <w:r>
        <w:rPr>
          <w:rtl w:val="true"/>
        </w:rPr>
        <w:t>חילול הגוף וחירוב הנפש של ילדה רכה בשנים הוא מחריד ומזעזע</w:t>
      </w:r>
      <w:r>
        <w:rPr>
          <w:rtl w:val="true"/>
        </w:rPr>
        <w:t xml:space="preserve">; </w:t>
      </w:r>
      <w:r>
        <w:rPr>
          <w:rtl w:val="true"/>
        </w:rPr>
        <w:t>ניצול האמון</w:t>
      </w:r>
      <w:r>
        <w:rPr>
          <w:rtl w:val="true"/>
        </w:rPr>
        <w:t xml:space="preserve">, </w:t>
      </w:r>
      <w:r>
        <w:rPr>
          <w:rtl w:val="true"/>
        </w:rPr>
        <w:t xml:space="preserve">והמעילה בתפקיד </w:t>
      </w:r>
      <w:r>
        <w:rPr>
          <w:rtl w:val="true"/>
        </w:rPr>
        <w:t>'</w:t>
      </w:r>
      <w:r>
        <w:rPr>
          <w:rtl w:val="true"/>
        </w:rPr>
        <w:t>המבוגר האחראי</w:t>
      </w:r>
      <w:r>
        <w:rPr>
          <w:rtl w:val="true"/>
        </w:rPr>
        <w:t xml:space="preserve">', </w:t>
      </w:r>
      <w:r>
        <w:rPr>
          <w:rtl w:val="true"/>
        </w:rPr>
        <w:t>כאשר הדבר נעשה בתוך המשפחה – קשים מנשוא</w:t>
      </w:r>
      <w:r>
        <w:rPr>
          <w:rtl w:val="true"/>
        </w:rPr>
        <w:t xml:space="preserve">. </w:t>
      </w:r>
      <w:r>
        <w:rPr>
          <w:rtl w:val="true"/>
        </w:rPr>
        <w:t>מדיניות הענישה בכגון דא</w:t>
      </w:r>
      <w:r>
        <w:rPr>
          <w:rtl w:val="true"/>
        </w:rPr>
        <w:t xml:space="preserve">, </w:t>
      </w:r>
      <w:r>
        <w:rPr>
          <w:rtl w:val="true"/>
        </w:rPr>
        <w:t>צריכה להיות בהתאם</w:t>
      </w:r>
      <w:r>
        <w:rPr>
          <w:rtl w:val="true"/>
        </w:rPr>
        <w:t xml:space="preserve">, </w:t>
      </w:r>
      <w:r>
        <w:rPr>
          <w:rtl w:val="true"/>
        </w:rPr>
        <w:t xml:space="preserve">ולפיכך חשוב שנקפיד לא </w:t>
      </w:r>
      <w:r>
        <w:rPr>
          <w:rtl w:val="true"/>
        </w:rPr>
        <w:t>'</w:t>
      </w:r>
      <w:r>
        <w:rPr>
          <w:rtl w:val="true"/>
        </w:rPr>
        <w:t>להפר יראה</w:t>
      </w:r>
      <w:r>
        <w:rPr>
          <w:rtl w:val="true"/>
        </w:rPr>
        <w:t>' (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5597/19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97</w:t>
      </w:r>
      <w:r>
        <w:rPr>
          <w:rtl w:val="true"/>
        </w:rPr>
        <w:t xml:space="preserve"> (</w:t>
      </w:r>
      <w:r>
        <w:rPr/>
        <w:t>25.11.2020</w:t>
      </w:r>
      <w:r>
        <w:rPr>
          <w:rtl w:val="true"/>
        </w:rPr>
        <w:t xml:space="preserve">)).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הגם שנפחית ממאסרו של המערער</w:t>
      </w:r>
      <w:r>
        <w:rPr>
          <w:rtl w:val="true"/>
        </w:rPr>
        <w:t xml:space="preserve">, </w:t>
      </w:r>
      <w:r>
        <w:rPr>
          <w:rtl w:val="true"/>
        </w:rPr>
        <w:t>יהא זה במידה</w:t>
      </w:r>
      <w:r>
        <w:rPr>
          <w:rtl w:val="true"/>
        </w:rPr>
        <w:t xml:space="preserve">; </w:t>
      </w:r>
      <w:r>
        <w:rPr>
          <w:rtl w:val="true"/>
        </w:rPr>
        <w:t>עונשו – עודנו חמור ומרתיע</w:t>
      </w:r>
      <w:r>
        <w:rPr>
          <w:rtl w:val="true"/>
        </w:rPr>
        <w:t xml:space="preserve">, </w:t>
      </w:r>
      <w:r>
        <w:rPr>
          <w:rtl w:val="true"/>
        </w:rPr>
        <w:t>וכך ראוי שיהיה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הכרעת הדין המרשיעה תעמוד בעינה</w:t>
      </w:r>
      <w:r>
        <w:rPr>
          <w:rtl w:val="true"/>
        </w:rPr>
        <w:t xml:space="preserve">. </w:t>
      </w:r>
      <w:r>
        <w:rPr>
          <w:rtl w:val="true"/>
        </w:rPr>
        <w:t>לגבי גזר הדין</w:t>
      </w:r>
      <w:r>
        <w:rPr>
          <w:rtl w:val="true"/>
        </w:rPr>
        <w:t xml:space="preserve">, </w:t>
      </w:r>
      <w:r>
        <w:rPr>
          <w:rtl w:val="true"/>
        </w:rPr>
        <w:t>אציע לחברַי לקבל את הערעור</w:t>
      </w:r>
      <w:r>
        <w:rPr>
          <w:rtl w:val="true"/>
        </w:rPr>
        <w:t xml:space="preserve">, </w:t>
      </w:r>
      <w:r>
        <w:rPr>
          <w:rtl w:val="true"/>
        </w:rPr>
        <w:t>במובן זה שנפחית שנה וחצי מעונש המאסר בפועל שנגזר על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כך שיעמוד על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וחצי שנות מאסר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מזוז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קרא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szCs w:val="24"/>
          <w:rtl w:val="true"/>
        </w:rPr>
        <w:t>נעם</w:t>
      </w:r>
      <w:r>
        <w:rPr>
          <w:rFonts w:ascii="Century" w:hAnsi="Century" w:eastAsia="Century" w:cs="Century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szCs w:val="24"/>
          <w:rtl w:val="true"/>
        </w:rPr>
        <w:t>סולברג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/>
        <w:t>5.1.2021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פרסומו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לפרסום</w:t>
      </w:r>
      <w:r>
        <w:rPr>
          <w:rtl w:val="true"/>
        </w:rPr>
        <w:t xml:space="preserve">,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6.1.2021</w:t>
      </w:r>
      <w:r>
        <w:rPr>
          <w:rtl w:val="true"/>
        </w:rPr>
        <w:t xml:space="preserve">), </w:t>
      </w:r>
      <w:r>
        <w:rPr>
          <w:rtl w:val="true"/>
        </w:rPr>
        <w:t>בכפוף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משפחתן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שמותיהן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, </w:t>
      </w:r>
      <w:r>
        <w:rPr>
          <w:rtl w:val="true"/>
        </w:rPr>
        <w:t>ומקום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מגוריהן</w:t>
      </w:r>
      <w:r>
        <w:rPr>
          <w:rtl w:val="true"/>
        </w:rPr>
        <w:t>.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Fonts w:eastAsia="FrankRuehl" w:ascii="FrankRuehl" w:hAnsi="FrankRuehl"/>
          <w:rtl w:val="true"/>
        </w:rPr>
        <w:t>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Fonts w:eastAsia="FrankRuehl" w:ascii="FrankRuehl" w:hAnsi="FrankRuehl"/>
          <w:rtl w:val="true"/>
        </w:rPr>
        <w:t>‏</w:t>
      </w:r>
      <w:r>
        <w:rPr/>
        <w:t>29.12.2020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2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הותר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לפרסום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6.1.2021</w:t>
      </w:r>
      <w:r>
        <w:rPr>
          <w:rtl w:val="true"/>
        </w:rPr>
        <w:t xml:space="preserve">). </w:t>
      </w:r>
      <w:bookmarkEnd w:id="12"/>
    </w:p>
    <w:tbl>
      <w:tblPr>
        <w:bidiVisual w:val="true"/>
        <w:tblW w:w="831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70"/>
        <w:gridCol w:w="2771"/>
        <w:gridCol w:w="2771"/>
      </w:tblGrid>
      <w:tr>
        <w:trPr/>
        <w:tc>
          <w:tcPr>
            <w:tcW w:w="2770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color w:val="FFFFFF"/>
                <w:sz w:val="2"/>
                <w:szCs w:val="2"/>
              </w:rPr>
              <w:t>54678313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  <w:tc>
          <w:tcPr>
            <w:tcW w:w="2771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  <w:tc>
          <w:tcPr>
            <w:tcW w:w="2771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18040950</w:t>
      </w:r>
      <w:r>
        <w:rPr>
          <w:sz w:val="16"/>
          <w:rtl w:val="true"/>
        </w:rPr>
        <w:t>_</w:t>
      </w:r>
      <w:r>
        <w:rPr>
          <w:sz w:val="16"/>
        </w:rPr>
        <w:t>O31.docx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של</w:t>
      </w:r>
      <w:r>
        <w:rPr>
          <w:rtl w:val="true"/>
        </w:rPr>
        <w:t>+</w:t>
      </w:r>
      <w:r>
        <w:rPr>
          <w:rtl w:val="true"/>
        </w:rPr>
        <w:t>שצ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8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54678313-4095/18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0"/>
      <w:footerReference w:type="default" r:id="rId4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4095/18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</w:rPr>
      <w:t>27219-03-16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textAlignment w:val="auto"/>
    </w:pPr>
    <w:rPr>
      <w:rFonts w:ascii="Garamond" w:hAnsi="Garamond" w:cs="Garamond"/>
      <w:sz w:val="24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025992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45.a.3" TargetMode="External"/><Relationship Id="rId5" Type="http://schemas.openxmlformats.org/officeDocument/2006/relationships/hyperlink" Target="http://www.nevo.co.il/law/70301/345.a.4" TargetMode="External"/><Relationship Id="rId6" Type="http://schemas.openxmlformats.org/officeDocument/2006/relationships/hyperlink" Target="http://www.nevo.co.il/law/70301/345.b.1" TargetMode="External"/><Relationship Id="rId7" Type="http://schemas.openxmlformats.org/officeDocument/2006/relationships/hyperlink" Target="http://www.nevo.co.il/law/70301/347.b" TargetMode="External"/><Relationship Id="rId8" Type="http://schemas.openxmlformats.org/officeDocument/2006/relationships/hyperlink" Target="http://www.nevo.co.il/law/70301/348.b" TargetMode="External"/><Relationship Id="rId9" Type="http://schemas.openxmlformats.org/officeDocument/2006/relationships/hyperlink" Target="http://www.nevo.co.il/law/70301/351.a" TargetMode="External"/><Relationship Id="rId10" Type="http://schemas.openxmlformats.org/officeDocument/2006/relationships/hyperlink" Target="http://www.nevo.co.il/law/70301/351.c.2" TargetMode="External"/><Relationship Id="rId11" Type="http://schemas.openxmlformats.org/officeDocument/2006/relationships/hyperlink" Target="http://www.nevo.co.il/case/21025992" TargetMode="External"/><Relationship Id="rId12" Type="http://schemas.openxmlformats.org/officeDocument/2006/relationships/hyperlink" Target="http://www.nevo.co.il/law/70301/351.a" TargetMode="External"/><Relationship Id="rId13" Type="http://schemas.openxmlformats.org/officeDocument/2006/relationships/hyperlink" Target="http://www.nevo.co.il/law/70301/345.a.3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351.a" TargetMode="External"/><Relationship Id="rId16" Type="http://schemas.openxmlformats.org/officeDocument/2006/relationships/hyperlink" Target="http://www.nevo.co.il/law/70301/347.b" TargetMode="External"/><Relationship Id="rId17" Type="http://schemas.openxmlformats.org/officeDocument/2006/relationships/hyperlink" Target="http://www.nevo.co.il/law/70301/345.a.3" TargetMode="External"/><Relationship Id="rId18" Type="http://schemas.openxmlformats.org/officeDocument/2006/relationships/hyperlink" Target="http://www.nevo.co.il/law/70301/351.c.2" TargetMode="External"/><Relationship Id="rId19" Type="http://schemas.openxmlformats.org/officeDocument/2006/relationships/hyperlink" Target="http://www.nevo.co.il/law/70301/348.b" TargetMode="External"/><Relationship Id="rId20" Type="http://schemas.openxmlformats.org/officeDocument/2006/relationships/hyperlink" Target="http://www.nevo.co.il/law/70301/345.b.1" TargetMode="External"/><Relationship Id="rId21" Type="http://schemas.openxmlformats.org/officeDocument/2006/relationships/hyperlink" Target="http://www.nevo.co.il/law/70301/345.a.4" TargetMode="External"/><Relationship Id="rId22" Type="http://schemas.openxmlformats.org/officeDocument/2006/relationships/hyperlink" Target="http://www.nevo.co.il/law/70301/351.c.2" TargetMode="External"/><Relationship Id="rId23" Type="http://schemas.openxmlformats.org/officeDocument/2006/relationships/hyperlink" Target="http://www.nevo.co.il/law/70301/348.b" TargetMode="External"/><Relationship Id="rId24" Type="http://schemas.openxmlformats.org/officeDocument/2006/relationships/hyperlink" Target="http://www.nevo.co.il/law/70301/345.b.1" TargetMode="External"/><Relationship Id="rId25" Type="http://schemas.openxmlformats.org/officeDocument/2006/relationships/hyperlink" Target="http://www.nevo.co.il/law/70301/345.a.4" TargetMode="External"/><Relationship Id="rId26" Type="http://schemas.openxmlformats.org/officeDocument/2006/relationships/hyperlink" Target="http://www.nevo.co.il/case/5899262" TargetMode="External"/><Relationship Id="rId27" Type="http://schemas.openxmlformats.org/officeDocument/2006/relationships/hyperlink" Target="http://www.nevo.co.il/case/8245433" TargetMode="External"/><Relationship Id="rId28" Type="http://schemas.openxmlformats.org/officeDocument/2006/relationships/hyperlink" Target="http://www.nevo.co.il/case/20923878" TargetMode="External"/><Relationship Id="rId29" Type="http://schemas.openxmlformats.org/officeDocument/2006/relationships/hyperlink" Target="http://www.nevo.co.il/case/22261453" TargetMode="External"/><Relationship Id="rId30" Type="http://schemas.openxmlformats.org/officeDocument/2006/relationships/hyperlink" Target="http://www.nevo.co.il/case/23398421" TargetMode="External"/><Relationship Id="rId31" Type="http://schemas.openxmlformats.org/officeDocument/2006/relationships/hyperlink" Target="http://www.nevo.co.il/case/20687417" TargetMode="External"/><Relationship Id="rId32" Type="http://schemas.openxmlformats.org/officeDocument/2006/relationships/hyperlink" Target="http://www.nevo.co.il/case/6247807" TargetMode="External"/><Relationship Id="rId33" Type="http://schemas.openxmlformats.org/officeDocument/2006/relationships/hyperlink" Target="http://www.nevo.co.il/case/20832660" TargetMode="External"/><Relationship Id="rId34" Type="http://schemas.openxmlformats.org/officeDocument/2006/relationships/hyperlink" Target="http://www.nevo.co.il/case/23237993" TargetMode="External"/><Relationship Id="rId35" Type="http://schemas.openxmlformats.org/officeDocument/2006/relationships/hyperlink" Target="http://www.nevo.co.il/case/22294063" TargetMode="External"/><Relationship Id="rId36" Type="http://schemas.openxmlformats.org/officeDocument/2006/relationships/hyperlink" Target="http://www.nevo.co.il/case/24157972" TargetMode="External"/><Relationship Id="rId37" Type="http://schemas.openxmlformats.org/officeDocument/2006/relationships/hyperlink" Target="http://www.nevo.co.il/case/25992443" TargetMode="External"/><Relationship Id="rId38" Type="http://schemas.openxmlformats.org/officeDocument/2006/relationships/hyperlink" Target="http://supreme.court.gov.il/" TargetMode="External"/><Relationship Id="rId39" Type="http://schemas.openxmlformats.org/officeDocument/2006/relationships/hyperlink" Target="http://www.nevo.co.il/advertisements/nevo-100.doc" TargetMode="Externa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2021-01-07T10:15:00Z</dcterms:created>
  <dc:creator>h4</dc:creator>
  <dc:description/>
  <cp:keywords/>
  <dc:language>en-IL</dc:language>
  <cp:lastModifiedBy>orly</cp:lastModifiedBy>
  <cp:lastPrinted>2021-01-06T15:08:00Z</cp:lastPrinted>
  <dcterms:modified xsi:type="dcterms:W3CDTF">2021-01-07T10:15:00Z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ישראל;המתלוננת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21025992:2;5899262;8245433;20923878;22261453;23398421;20687417;6247807;20832660;23237993;22294063;24157972;25992443</vt:lpwstr>
  </property>
  <property fmtid="{D5CDD505-2E9C-101B-9397-08002B2CF9AE}" pid="9" name="CITY">
    <vt:lpwstr/>
  </property>
  <property fmtid="{D5CDD505-2E9C-101B-9397-08002B2CF9AE}" pid="10" name="DATE">
    <vt:lpwstr>20210106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סולברג;מ' מזוז;ג' קרא</vt:lpwstr>
  </property>
  <property fmtid="{D5CDD505-2E9C-101B-9397-08002B2CF9AE}" pid="14" name="LAWLISTTMP1">
    <vt:lpwstr>70301/351.a:2;345.a.3:2;347.b;351.c.2:2;348.b:2;345.b.1:2;345.a.4:2</vt:lpwstr>
  </property>
  <property fmtid="{D5CDD505-2E9C-101B-9397-08002B2CF9AE}" pid="15" name="LAWYER">
    <vt:lpwstr>אפרת גולדשטיין רוזן;תמי קלנברג לוי;ששי גז;שחר ליס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דיון פלילי</vt:lpwstr>
  </property>
  <property fmtid="{D5CDD505-2E9C-101B-9397-08002B2CF9AE}" pid="30" name="NOSE14">
    <vt:lpwstr>עונשין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77;77;18;77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הודאה</vt:lpwstr>
  </property>
  <property fmtid="{D5CDD505-2E9C-101B-9397-08002B2CF9AE}" pid="41" name="NOSE24">
    <vt:lpwstr>ענישה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1446;1446;456;1446</vt:lpwstr>
  </property>
  <property fmtid="{D5CDD505-2E9C-101B-9397-08002B2CF9AE}" pid="48" name="NOSE31">
    <vt:lpwstr>מדיניות ענישה: עבירות מין במשפחה</vt:lpwstr>
  </property>
  <property fmtid="{D5CDD505-2E9C-101B-9397-08002B2CF9AE}" pid="49" name="NOSE310">
    <vt:lpwstr/>
  </property>
  <property fmtid="{D5CDD505-2E9C-101B-9397-08002B2CF9AE}" pid="50" name="NOSE32">
    <vt:lpwstr>מדיניות ענישה: עבירות מין בקטינים</vt:lpwstr>
  </property>
  <property fmtid="{D5CDD505-2E9C-101B-9397-08002B2CF9AE}" pid="51" name="NOSE33">
    <vt:lpwstr>בשלב הערעור</vt:lpwstr>
  </property>
  <property fmtid="{D5CDD505-2E9C-101B-9397-08002B2CF9AE}" pid="52" name="NOSE34">
    <vt:lpwstr>מדיניות ענישה: שיקולים לקולה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16241;16970;;8996</vt:lpwstr>
  </property>
  <property fmtid="{D5CDD505-2E9C-101B-9397-08002B2CF9AE}" pid="59" name="PADIDATE">
    <vt:lpwstr>20210107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4095</vt:lpwstr>
  </property>
  <property fmtid="{D5CDD505-2E9C-101B-9397-08002B2CF9AE}" pid="65" name="PROCYEAR">
    <vt:lpwstr>18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410120210106</vt:lpwstr>
  </property>
  <property fmtid="{D5CDD505-2E9C-101B-9397-08002B2CF9AE}" pid="69" name="TYPE_N_DATE">
    <vt:lpwstr>41020210106</vt:lpwstr>
  </property>
  <property fmtid="{D5CDD505-2E9C-101B-9397-08002B2CF9AE}" pid="70" name="VOLUME">
    <vt:lpwstr/>
  </property>
  <property fmtid="{D5CDD505-2E9C-101B-9397-08002B2CF9AE}" pid="71" name="WORDNUMPAGES">
    <vt:lpwstr>9</vt:lpwstr>
  </property>
</Properties>
</file>