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4124/21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4133/21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רימוני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61910-06-20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מנדלבאום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2.5.2022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4124/21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העליון החמיר בעונשו של אדם שהורשע בעבירות מין ואלימות בקטינה בת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ישנה במיטתה ובעבירות רכוש של כניסה והתפרצות למקום מגורים ופריצה לרכב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בשל הכלל ולפיו ערכאת הערעור אינה ממצה את הדין בבואה להחמיר עם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כי חלף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יהיה עליו לרצות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שני ערעורים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לפיו הושתו על המשיב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4124/21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בצירוף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בעבירות מין ואלימות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בקטינה בת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 ישנה במיטתה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כניסה והתפרצות למקום מגורים ופריצה לרכב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מערערת על קולת העונש והמשיב על חומרתו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ערעור המשיב וקיבל את ערעור המדינה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נסיבותיו הקשות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מהמקרים המצדיקים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שהעונש שנגזר על המשיב סוטה לקולה ואינו מבטא באופן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 בשל הכלל ולפיו ערכאת הערעור אינה ממצה את הדין בבואה להחמיר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חלף עונש מאסר בפועל בן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שהושת על המשיב בפסק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יהיה עליו לרצות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יוותרו ללא שינוי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עובדות כתב האישום הן מן הקשות שניתן להעלות על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תקף ללא רחם קטינה בת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במיטתה לאחר שפרץ לביתה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גרם לה לנזקים בגוף ובנפש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ובמעשים מזוויעים אלו שינה את מסלול 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שמקרים מסוג זה הם שעמדו לנגד עיני המחוקק עת שקבע את עונשי המקסימום הקבועים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 עמד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פעמים 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החומרה שיש לראות בעבירות מין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ובעבירות מין בקטינים בפרט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בעבירות מין צריכה להיות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ולבטא הן את האינטרס הציבורי בהרתעתם של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את הנזקים המשמעותיים הנגרמים לגופם ולנפשם של נפגעי עבירות 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לבטא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הסלידה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הרבה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ראוי להטיל עונש מרבי בגין עבירה מסוימת רק בנסיבות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אכן כאלו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ולכל הפחות יש בהם כדי להצדיק ענישה המתקרבת עד מאוד לרף הענישה הגבוה ביותר הקבוע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מסכים עם 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ראוי להבחין בין עבירות הרכוש שהמשיב ביצע לעבירות המין והאלימות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ולראותן כשני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הרי שאין מניעה כי הרף העליון של מתחם העונש ההולם יעלה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יוצא 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בנוסף לעבירות המין בהן המשיב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להשית עליו ענישה הולמת בשל עבירות הרכוש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העונש המרבי הקבוע בחוק בגינן הוא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עבור עבירת הכניסה והתפרצות למקום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בגין הפריצה לרכב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אם נתמקד בכך שעונשו של המשיב מוקם בחלקו התחתון של מתחם העונש ההולם שנקבע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ובין אם נבחן את גבולות מתחם העונש ההולם שנקבעו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נגיע למסקנה כי התוצאה העונשית הסופית שהתקבלה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 ככל שתהא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מקלה עם המשיב יתר על המידה במקרה מזוויע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גם בהתחשב בבחירת המשיב להודות במעשיו שלא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לחסוך את עדות הקטינה ומשפחתה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החמרת העונש שהוטל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בנסיבותיו הפרטניות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 בקנה אחד גם עם 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לזכור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ממילא מדיניות הענישה אינה אלא אחד מבין הפרמטרים 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נדרש לשקלל לצרכי קביעת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לנסיבותיו האישיות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חייו אינן 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כה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כה 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הנזק שנגרם לקטינה ולמשפחתה כבד כל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המשקל שיש להקנות לנסיבותיו האישיות של המשיב מצטמצם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אפוא 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מקומו של המשיב מאחורי סורג ובריח למשך שנים ארוכות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ארוכות אף יותר מכפי שגזר עליו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bookmarkStart w:id="15" w:name="Start_Write"/>
      <w:bookmarkEnd w:id="15"/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שני ערעורים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מנדלבום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61910-06-20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26.4.2021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ערעור המדינה על קולת העונש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4124/21</w:t>
      </w:r>
      <w:r>
        <w:rPr>
          <w:rtl w:val="true"/>
        </w:rPr>
        <w:t xml:space="preserve">) </w:t>
      </w:r>
      <w:r>
        <w:rPr>
          <w:rtl w:val="true"/>
        </w:rPr>
        <w:t xml:space="preserve">ומנגד ערעור על חומרתו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4133/21</w:t>
      </w:r>
      <w:r>
        <w:rPr>
          <w:rtl w:val="true"/>
        </w:rPr>
        <w:t xml:space="preserve">). </w:t>
      </w:r>
      <w:r>
        <w:rPr>
          <w:rtl w:val="true"/>
        </w:rPr>
        <w:t>על המשיב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4124/21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 xml:space="preserve">הושתו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 בצירוף ענישה נלווית</w:t>
      </w:r>
      <w:r>
        <w:rPr>
          <w:rtl w:val="true"/>
        </w:rPr>
        <w:t xml:space="preserve">, </w:t>
      </w:r>
      <w:r>
        <w:rPr>
          <w:rtl w:val="true"/>
        </w:rPr>
        <w:t>בגין הרשעתו בעבירות מין ואלימות</w:t>
      </w:r>
      <w:r>
        <w:rPr>
          <w:rtl w:val="true"/>
        </w:rPr>
        <w:t xml:space="preserve">, </w:t>
      </w:r>
      <w:r>
        <w:rPr>
          <w:rtl w:val="true"/>
        </w:rPr>
        <w:t>כניסה והתפרצות למקום מגורים ופריצה לרכב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6.6.2020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הגיע המשיב לבניין בחיפה במטרה לפגוש ידידה המתגוררת בו הנוהגת לשבת בפינת ישיבה משותפת שבחצר הבניין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הבחין בכך שחלון סלון הדירה בה מתגוררת משפחת הקטינה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), </w:t>
      </w:r>
      <w:r>
        <w:rPr>
          <w:rtl w:val="true"/>
        </w:rPr>
        <w:t>נותר פתוח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החליט לפרוץ לדירה על מנת לבצע גניבה</w:t>
      </w:r>
      <w:r>
        <w:rPr>
          <w:rtl w:val="true"/>
        </w:rPr>
        <w:t xml:space="preserve">. </w:t>
      </w:r>
      <w:r>
        <w:rPr>
          <w:rtl w:val="true"/>
        </w:rPr>
        <w:t>הוא הרים והסיר את הרשת המורכבת בחלון</w:t>
      </w:r>
      <w:r>
        <w:rPr>
          <w:rtl w:val="true"/>
        </w:rPr>
        <w:t xml:space="preserve">, </w:t>
      </w:r>
      <w:r>
        <w:rPr>
          <w:rtl w:val="true"/>
        </w:rPr>
        <w:t>ונכנס דרכו לדירה</w:t>
      </w:r>
      <w:r>
        <w:rPr>
          <w:rtl w:val="true"/>
        </w:rPr>
        <w:t xml:space="preserve">. </w:t>
      </w:r>
      <w:r>
        <w:rPr>
          <w:rtl w:val="true"/>
        </w:rPr>
        <w:t>תחילה ניגש למטבח ונטל סכין מאחת המגירות על מנת לפתוח באמצעותה ארונות נעולים</w:t>
      </w:r>
      <w:r>
        <w:rPr>
          <w:rtl w:val="true"/>
        </w:rPr>
        <w:t xml:space="preserve">. </w:t>
      </w:r>
      <w:r>
        <w:rPr>
          <w:rtl w:val="true"/>
        </w:rPr>
        <w:t>הוא ירד למפלס התחתון של הדירה וחיפש בארונות דבר מה לגנוב</w:t>
      </w:r>
      <w:r>
        <w:rPr>
          <w:rtl w:val="true"/>
        </w:rPr>
        <w:t xml:space="preserve">, </w:t>
      </w:r>
      <w:r>
        <w:rPr>
          <w:rtl w:val="true"/>
        </w:rPr>
        <w:t>אך לא מצא</w:t>
      </w:r>
      <w:r>
        <w:rPr>
          <w:rtl w:val="true"/>
        </w:rPr>
        <w:t xml:space="preserve">. </w:t>
      </w:r>
      <w:r>
        <w:rPr>
          <w:rtl w:val="true"/>
        </w:rPr>
        <w:t>מששב לסלון הדירה הבחין בצרור מפתחות ובו מפתחות לרכב</w:t>
      </w:r>
      <w:r>
        <w:rPr>
          <w:rtl w:val="true"/>
        </w:rPr>
        <w:t xml:space="preserve">, </w:t>
      </w:r>
      <w:r>
        <w:rPr>
          <w:rtl w:val="true"/>
        </w:rPr>
        <w:t>והחליט לנסות ולגנוב אותו</w:t>
      </w:r>
      <w:r>
        <w:rPr>
          <w:rtl w:val="true"/>
        </w:rPr>
        <w:t xml:space="preserve">. </w:t>
      </w:r>
      <w:r>
        <w:rPr>
          <w:rtl w:val="true"/>
        </w:rPr>
        <w:t>הוא יצא מהדירה לרחוב</w:t>
      </w:r>
      <w:r>
        <w:rPr>
          <w:rtl w:val="true"/>
        </w:rPr>
        <w:t xml:space="preserve">, </w:t>
      </w:r>
      <w:r>
        <w:rPr>
          <w:rtl w:val="true"/>
        </w:rPr>
        <w:t xml:space="preserve">איתר רכב </w:t>
      </w:r>
      <w:r>
        <w:rPr>
          <w:rtl w:val="true"/>
        </w:rPr>
        <w:t xml:space="preserve">[...] </w:t>
      </w:r>
      <w:r>
        <w:rPr>
          <w:rtl w:val="true"/>
        </w:rPr>
        <w:t>השייך להורי הקטינה ונכנס אליו באמצעות המפתח</w:t>
      </w:r>
      <w:r>
        <w:rPr>
          <w:rtl w:val="true"/>
        </w:rPr>
        <w:t xml:space="preserve">. </w:t>
      </w:r>
      <w:r>
        <w:rPr>
          <w:rtl w:val="true"/>
        </w:rPr>
        <w:t>משהבחין כי ברכב יש קודן</w:t>
      </w:r>
      <w:r>
        <w:rPr>
          <w:rtl w:val="true"/>
        </w:rPr>
        <w:t xml:space="preserve">, </w:t>
      </w:r>
      <w:r>
        <w:rPr>
          <w:rtl w:val="true"/>
        </w:rPr>
        <w:t>חשש כי הנעתו תפעיל אזעקה</w:t>
      </w:r>
      <w:r>
        <w:rPr>
          <w:rtl w:val="true"/>
        </w:rPr>
        <w:t xml:space="preserve">, </w:t>
      </w:r>
      <w:r>
        <w:rPr>
          <w:rtl w:val="true"/>
        </w:rPr>
        <w:t>החליט להימנע מלגנוב את הרכב ושב לדירה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[...]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הורשע בעובדות כתב האישום על יסוד הודאתו</w:t>
      </w:r>
      <w:r>
        <w:rPr>
          <w:rtl w:val="true"/>
        </w:rPr>
        <w:t xml:space="preserve">. </w:t>
      </w:r>
      <w:r>
        <w:rPr>
          <w:rtl w:val="true"/>
        </w:rPr>
        <w:t>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מפי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tl w:val="true"/>
        </w:rPr>
        <w:t>הודגשה החומרה הרבה שבעבירה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העובדה כי מדובר בקטינה בת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אשר הותקפה באכזריות רבה במיטתה באופן שגרם לה לפגיעות קשות</w:t>
      </w:r>
      <w:r>
        <w:rPr>
          <w:rtl w:val="true"/>
        </w:rPr>
        <w:t xml:space="preserve">, </w:t>
      </w:r>
      <w:r>
        <w:rPr>
          <w:rtl w:val="true"/>
        </w:rPr>
        <w:t>כאשר המשיב אינו מרפה ממנה חרף התנגדותה ואף גרם לה לחשוש לחייה</w:t>
      </w:r>
      <w:r>
        <w:rPr>
          <w:rtl w:val="true"/>
        </w:rPr>
        <w:t xml:space="preserve">. </w:t>
      </w:r>
      <w:r>
        <w:rPr>
          <w:rtl w:val="true"/>
        </w:rPr>
        <w:t>עוד קבע</w:t>
      </w:r>
      <w:r>
        <w:rPr>
          <w:rtl w:val="true"/>
        </w:rPr>
        <w:t xml:space="preserve">, </w:t>
      </w:r>
      <w:r>
        <w:rPr>
          <w:rtl w:val="true"/>
        </w:rPr>
        <w:t>כי יש להבחין בין עבירות הרכוש אותן המשיב ביצע לבין עבירות המין והאלימות שבהן הורשע</w:t>
      </w:r>
      <w:r>
        <w:rPr>
          <w:rtl w:val="true"/>
        </w:rPr>
        <w:t xml:space="preserve">, </w:t>
      </w:r>
      <w:r>
        <w:rPr>
          <w:rtl w:val="true"/>
        </w:rPr>
        <w:t>כך שאין מניעה כי הרף העליון של מתחם הענישה יחרוג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הגם שיש לקבוע מתחם ענישה אחד בגין האירוע כולו ביחס לכלל העבירות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ובחן את מדיניות הענישה הנוהגת והדגיש כי לרשות המשיב עמדו </w:t>
      </w:r>
      <w:r>
        <w:rPr>
          <w:rtl w:val="true"/>
        </w:rPr>
        <w:t>"</w:t>
      </w:r>
      <w:r>
        <w:rPr>
          <w:rtl w:val="true"/>
        </w:rPr>
        <w:t>נקודות יציאה</w:t>
      </w:r>
      <w:r>
        <w:rPr>
          <w:rtl w:val="true"/>
        </w:rPr>
        <w:t xml:space="preserve">" </w:t>
      </w:r>
      <w:r>
        <w:rPr>
          <w:rtl w:val="true"/>
        </w:rPr>
        <w:t>רבות בהן יכול היה לסגת מהדירה טרם גרימת נזק</w:t>
      </w:r>
      <w:r>
        <w:rPr>
          <w:rtl w:val="true"/>
        </w:rPr>
        <w:t xml:space="preserve">, </w:t>
      </w:r>
      <w:r>
        <w:rPr>
          <w:rtl w:val="true"/>
        </w:rPr>
        <w:t>ואולם הוא בחר להזיק קשות לקטינה ומשפחתה באופן שיוסיף וילווה אותם שנים רבות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 בערכים החברתיים המוגנים שנפגעו</w:t>
      </w:r>
      <w:r>
        <w:rPr>
          <w:rtl w:val="true"/>
        </w:rPr>
        <w:t xml:space="preserve">, </w:t>
      </w:r>
      <w:r>
        <w:rPr>
          <w:rtl w:val="true"/>
        </w:rPr>
        <w:t>מידת הפגיעה הגבוהה בהם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והנסיבות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הנע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כי אין מקום לסטות ממתחם זה</w:t>
      </w:r>
      <w:r>
        <w:rPr>
          <w:rtl w:val="true"/>
        </w:rPr>
        <w:t xml:space="preserve">, </w:t>
      </w:r>
      <w:r>
        <w:rPr>
          <w:rtl w:val="true"/>
        </w:rPr>
        <w:t>לקולה או לחומרה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לקביעת עונשו של המשיב בגדרי המתחם </w:t>
      </w:r>
      <w:r>
        <w:rPr>
          <w:rtl w:val="true"/>
        </w:rPr>
        <w:t>–</w:t>
      </w:r>
      <w:r>
        <w:rPr>
          <w:rtl w:val="true"/>
        </w:rPr>
        <w:t xml:space="preserve"> לחומרה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התחשב בכך שבתקופה שקדמה לאירוע המשיב צרך סמים ואלכוהול וחיפש </w:t>
      </w:r>
      <w:r>
        <w:rPr>
          <w:rtl w:val="true"/>
        </w:rPr>
        <w:t>"</w:t>
      </w:r>
      <w:r>
        <w:rPr>
          <w:rtl w:val="true"/>
        </w:rPr>
        <w:t>ריגושים</w:t>
      </w:r>
      <w:r>
        <w:rPr>
          <w:rtl w:val="true"/>
        </w:rPr>
        <w:t xml:space="preserve">" </w:t>
      </w:r>
      <w:r>
        <w:rPr>
          <w:rtl w:val="true"/>
        </w:rPr>
        <w:t>בדמות התפרצויות</w:t>
      </w:r>
      <w:r>
        <w:rPr>
          <w:rtl w:val="true"/>
        </w:rPr>
        <w:t xml:space="preserve">, </w:t>
      </w:r>
      <w:r>
        <w:rPr>
          <w:rtl w:val="true"/>
        </w:rPr>
        <w:t xml:space="preserve">כך שעצם ביצוע עבירה מצדו </w:t>
      </w:r>
      <w:r>
        <w:rPr>
          <w:rtl w:val="true"/>
        </w:rPr>
        <w:t>"</w:t>
      </w:r>
      <w:r>
        <w:rPr>
          <w:rtl w:val="true"/>
        </w:rPr>
        <w:t>רחוק מלהפתיע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הגם שעברו הפלילי של המשיב אינו מכביד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הערכת המסוכנות המינית של המשיב מצביעה על רמת מסוכנות גבוהה</w:t>
      </w:r>
      <w:r>
        <w:rPr>
          <w:rtl w:val="true"/>
        </w:rPr>
        <w:t xml:space="preserve">, </w:t>
      </w:r>
      <w:r>
        <w:rPr>
          <w:rtl w:val="true"/>
        </w:rPr>
        <w:t>ומתסקיר שירות המבחן בעניינו עולה כי התקשה לערוך התבוננות פנימית ולגלות אמפתיה להשלכות מעשיו על הקטינה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לנתונים האישיים של המשיב</w:t>
      </w:r>
      <w:r>
        <w:rPr>
          <w:rtl w:val="true"/>
        </w:rPr>
        <w:t xml:space="preserve">, </w:t>
      </w:r>
      <w:r>
        <w:rPr>
          <w:rtl w:val="true"/>
        </w:rPr>
        <w:t>ובכלל זה לגילו הצעיר</w:t>
      </w:r>
      <w:r>
        <w:rPr>
          <w:rtl w:val="true"/>
        </w:rPr>
        <w:t xml:space="preserve">, </w:t>
      </w:r>
      <w:r>
        <w:rPr>
          <w:rtl w:val="true"/>
        </w:rPr>
        <w:t>ולכך שמתסקיר שירות המבחן</w:t>
      </w:r>
      <w:r>
        <w:rPr>
          <w:rtl w:val="true"/>
        </w:rPr>
        <w:t xml:space="preserve">, </w:t>
      </w:r>
      <w:r>
        <w:rPr>
          <w:rtl w:val="true"/>
        </w:rPr>
        <w:t>הערכת המסוכנות ומסמכים נוספים שהוגשו</w:t>
      </w:r>
      <w:r>
        <w:rPr>
          <w:rtl w:val="true"/>
        </w:rPr>
        <w:t xml:space="preserve">, </w:t>
      </w:r>
      <w:r>
        <w:rPr>
          <w:rtl w:val="true"/>
        </w:rPr>
        <w:t xml:space="preserve">עולה </w:t>
      </w:r>
      <w:r>
        <w:rPr>
          <w:rtl w:val="true"/>
        </w:rPr>
        <w:t>"</w:t>
      </w:r>
      <w:r>
        <w:rPr>
          <w:rtl w:val="true"/>
        </w:rPr>
        <w:t>תמונה לא קלה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המשיב אומץ עם אחותו התאומה בהיותו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והוא סובל מבעיות שונות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 לנוכח חומרת המעשים משקלם של אלו יהיה מוגבל</w:t>
      </w:r>
      <w:r>
        <w:rPr>
          <w:rtl w:val="true"/>
        </w:rPr>
        <w:t xml:space="preserve">. </w:t>
      </w:r>
      <w:r>
        <w:rPr>
          <w:rtl w:val="true"/>
        </w:rPr>
        <w:t>כן שקל בית המשפט המחוזי את הודאת המשיב בשלב מוקדם של ההליך</w:t>
      </w:r>
      <w:r>
        <w:rPr>
          <w:rtl w:val="true"/>
        </w:rPr>
        <w:t xml:space="preserve">, </w:t>
      </w:r>
      <w:r>
        <w:rPr>
          <w:rtl w:val="true"/>
        </w:rPr>
        <w:t>שלא במסגרת הסדר טיעון</w:t>
      </w:r>
      <w:r>
        <w:rPr>
          <w:rtl w:val="true"/>
        </w:rPr>
        <w:t xml:space="preserve">, </w:t>
      </w:r>
      <w:r>
        <w:rPr>
          <w:rtl w:val="true"/>
        </w:rPr>
        <w:t>וזאת באופן שחסך את עדות הקטינה ומשפחתה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המשיב והוריו הפקידו ללא תנאי סכום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כפיצוי לקטינה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ציגלר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המשיב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מין או אלימות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מין או אלימות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למשך שנתיים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רכוש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 שנתיים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בגובה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לטובת הקטינה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חומרתן היתרה של העבירות</w:t>
      </w:r>
      <w:r>
        <w:rPr>
          <w:rtl w:val="true"/>
        </w:rPr>
        <w:t xml:space="preserve">, </w:t>
      </w:r>
      <w:r>
        <w:rPr>
          <w:rtl w:val="true"/>
        </w:rPr>
        <w:t>המסוכנות הרבה הנשקפת מהמשיב והפגיעה הקשה בקטינה ומשפחתה</w:t>
      </w:r>
      <w:r>
        <w:rPr>
          <w:rtl w:val="true"/>
        </w:rPr>
        <w:t xml:space="preserve">, </w:t>
      </w:r>
      <w:r>
        <w:rPr>
          <w:rtl w:val="true"/>
        </w:rPr>
        <w:t>מצדיקים החמרה בענישה שהושתה על המשיב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נטען כי אמנם היה מקום לקביעת עונש כולל לכלל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ואולם האירוע מורכב משני מעשים נפרדים </w:t>
      </w:r>
      <w:r>
        <w:rPr>
          <w:rtl w:val="true"/>
        </w:rPr>
        <w:t>–</w:t>
      </w:r>
      <w:r>
        <w:rPr>
          <w:rtl w:val="true"/>
        </w:rPr>
        <w:t xml:space="preserve"> עבירות המין והאלימות ועבירות הרכוש</w:t>
      </w:r>
      <w:r>
        <w:rPr>
          <w:rtl w:val="true"/>
        </w:rPr>
        <w:t xml:space="preserve">, </w:t>
      </w:r>
      <w:r>
        <w:rPr>
          <w:rtl w:val="true"/>
        </w:rPr>
        <w:t>אשר היה מקום לתת לכל אחד מהם ביטוי עונשי מוחשי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גם ביחס לעבירות המין והאלימות בהן המשיב הורשע</w:t>
      </w:r>
      <w:r>
        <w:rPr>
          <w:rtl w:val="true"/>
        </w:rPr>
        <w:t xml:space="preserve">, </w:t>
      </w:r>
      <w:r>
        <w:rPr>
          <w:rtl w:val="true"/>
        </w:rPr>
        <w:t>נדרש היה לתת משקל משמעותי לעובדה כי המעשה מכיל מספר עבירות</w:t>
      </w:r>
      <w:r>
        <w:rPr>
          <w:rtl w:val="true"/>
        </w:rPr>
        <w:t xml:space="preserve">. </w:t>
      </w:r>
      <w:r>
        <w:rPr>
          <w:rtl w:val="true"/>
        </w:rPr>
        <w:t>כמו כן הודגשה החומרה היתרה בכך שהפגיעה בקטינה נעשתה עת ישנה במיטתה</w:t>
      </w:r>
      <w:r>
        <w:rPr>
          <w:rtl w:val="true"/>
        </w:rPr>
        <w:t xml:space="preserve">, </w:t>
      </w:r>
      <w:r>
        <w:rPr>
          <w:rtl w:val="true"/>
        </w:rPr>
        <w:t>באופן שפגע פגיעה אנושה בתחושת הביטחון הבסיסי שלה ושל משפחתה</w:t>
      </w:r>
      <w:r>
        <w:rPr>
          <w:rtl w:val="true"/>
        </w:rPr>
        <w:t xml:space="preserve">. </w:t>
      </w:r>
      <w:r>
        <w:rPr>
          <w:rtl w:val="true"/>
        </w:rPr>
        <w:t>המדינה עמדה על המסוכנות הגבוהה הנשקפת מהמשיב</w:t>
      </w:r>
      <w:r>
        <w:rPr>
          <w:rtl w:val="true"/>
        </w:rPr>
        <w:t xml:space="preserve">, </w:t>
      </w:r>
      <w:r>
        <w:rPr>
          <w:rtl w:val="true"/>
        </w:rPr>
        <w:t>כעולה ממעשיו</w:t>
      </w:r>
      <w:r>
        <w:rPr>
          <w:rtl w:val="true"/>
        </w:rPr>
        <w:t xml:space="preserve">, </w:t>
      </w:r>
      <w:r>
        <w:rPr>
          <w:rtl w:val="true"/>
        </w:rPr>
        <w:t>מתסקיר שירות המבחן ומחוות דעתו של המרכז להערכת מסוכנות</w:t>
      </w:r>
      <w:r>
        <w:rPr>
          <w:rtl w:val="true"/>
        </w:rPr>
        <w:t xml:space="preserve">, </w:t>
      </w:r>
      <w:r>
        <w:rPr>
          <w:rtl w:val="true"/>
        </w:rPr>
        <w:t>המצדיקה הרחקתו לתקופה ארוכה ככל שניתן מהציבור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בערעור על עונש המאסר בפועל שנגזר עליו</w:t>
      </w:r>
      <w:r>
        <w:rPr>
          <w:rtl w:val="true"/>
        </w:rPr>
        <w:t xml:space="preserve">, </w:t>
      </w:r>
      <w:r>
        <w:rPr>
          <w:rtl w:val="true"/>
        </w:rPr>
        <w:t>טען כי עונשו חמור יתר על המידה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שלא היה מקום לקבוע כי מדובר באירוע הכולל שני מעשים שבגינו ניתן להטיל עונש מאסר הגבוה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מחמת שבית המשפט לא נתן דעתו למדיניות הענישה הנוהגת במקרים דומים</w:t>
      </w:r>
      <w:r>
        <w:rPr>
          <w:rtl w:val="true"/>
        </w:rPr>
        <w:t xml:space="preserve">; </w:t>
      </w:r>
      <w:r>
        <w:rPr>
          <w:rtl w:val="true"/>
        </w:rPr>
        <w:t>משמתחם הענישה שנקבע בפסק דינו של בית המשפט המחוזי חמור יתר על המידה</w:t>
      </w:r>
      <w:r>
        <w:rPr>
          <w:rtl w:val="true"/>
        </w:rPr>
        <w:t xml:space="preserve">; </w:t>
      </w:r>
      <w:r>
        <w:rPr>
          <w:rtl w:val="true"/>
        </w:rPr>
        <w:t>ומשבית המשפט המחוזי לא שקלל כראוי את כלל נסיבותיו של המשיב ונתוניו האישיים</w:t>
      </w:r>
      <w:r>
        <w:rPr>
          <w:rtl w:val="true"/>
        </w:rPr>
        <w:t xml:space="preserve">. </w:t>
      </w:r>
      <w:r>
        <w:rPr>
          <w:rtl w:val="true"/>
        </w:rPr>
        <w:t>עוד משיג המשיב וטוען</w:t>
      </w:r>
      <w:r>
        <w:rPr>
          <w:rtl w:val="true"/>
        </w:rPr>
        <w:t xml:space="preserve">, </w:t>
      </w:r>
      <w:r>
        <w:rPr>
          <w:rtl w:val="true"/>
        </w:rPr>
        <w:t>כי לא ניתן משקל מספק להתנהלותו ה</w:t>
      </w:r>
      <w:r>
        <w:rPr>
          <w:rtl w:val="true"/>
        </w:rPr>
        <w:t>"</w:t>
      </w:r>
      <w:r>
        <w:rPr>
          <w:rtl w:val="true"/>
        </w:rPr>
        <w:t>חיובית</w:t>
      </w:r>
      <w:r>
        <w:rPr>
          <w:rtl w:val="true"/>
        </w:rPr>
        <w:t xml:space="preserve">" </w:t>
      </w:r>
      <w:r>
        <w:rPr>
          <w:rtl w:val="true"/>
        </w:rPr>
        <w:t>לאחר הגשת 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 התקבלה הערכת מסוכנות עדכנית בעניינו של המשיב</w:t>
      </w:r>
      <w:r>
        <w:rPr>
          <w:rtl w:val="true"/>
        </w:rPr>
        <w:t xml:space="preserve">, </w:t>
      </w:r>
      <w:r>
        <w:rPr>
          <w:rtl w:val="true"/>
        </w:rPr>
        <w:t>אשר בסיכומה נכתב כי רמת המסוכנות המינית הנשקפת מהמשיב היא גבוהה</w:t>
      </w:r>
      <w:r>
        <w:rPr>
          <w:rtl w:val="true"/>
        </w:rPr>
        <w:t xml:space="preserve">. </w:t>
      </w:r>
      <w:r>
        <w:rPr>
          <w:rtl w:val="true"/>
        </w:rPr>
        <w:t>כן הוגש תסקיר שירות מבחן עדכני</w:t>
      </w:r>
      <w:r>
        <w:rPr>
          <w:rtl w:val="true"/>
        </w:rPr>
        <w:t xml:space="preserve">, </w:t>
      </w:r>
      <w:r>
        <w:rPr>
          <w:rtl w:val="true"/>
        </w:rPr>
        <w:t>ממנו עולה כי למשיב אין הפרות משמעת במהלך מאסרו וכי הביע רצון ומוטיבציה להשתלב בטיפול בתחום ההתמכרויות</w:t>
      </w:r>
      <w:r>
        <w:rPr>
          <w:rtl w:val="true"/>
        </w:rPr>
        <w:t xml:space="preserve">, </w:t>
      </w:r>
      <w:r>
        <w:rPr>
          <w:rtl w:val="true"/>
        </w:rPr>
        <w:t>שולב במחלקה טיפולית ולקראת תום התוכנית הטיפולית הנוכחית ייבחן שילובו בתוכנית טיפולית ייעודית לעברייני 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 המדינה התמקדה בנסיבותיו החמורות של המקרה</w:t>
      </w:r>
      <w:r>
        <w:rPr>
          <w:rtl w:val="true"/>
        </w:rPr>
        <w:t xml:space="preserve">, </w:t>
      </w:r>
      <w:r>
        <w:rPr>
          <w:rtl w:val="true"/>
        </w:rPr>
        <w:t>הצורך בהרתעה וכן המסוכנות הנשקפת מהמשיב</w:t>
      </w:r>
      <w:r>
        <w:rPr>
          <w:rtl w:val="true"/>
        </w:rPr>
        <w:t xml:space="preserve">. </w:t>
      </w:r>
      <w:r>
        <w:rPr>
          <w:rtl w:val="true"/>
        </w:rPr>
        <w:t>אל מול זאת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בטיעון סדור ומכבד</w:t>
      </w:r>
      <w:r>
        <w:rPr>
          <w:rtl w:val="true"/>
        </w:rPr>
        <w:t xml:space="preserve">, </w:t>
      </w:r>
      <w:r>
        <w:rPr>
          <w:rtl w:val="true"/>
        </w:rPr>
        <w:t>ביקש להדגיש פעם נוספת את הודאתו של המשיב בכתב האישום ככתבו וכלשונו ואת הפקדת הפיצוי הכספי לקטינה עוד בטרם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עוד הפנה</w:t>
      </w:r>
      <w:r>
        <w:rPr>
          <w:rtl w:val="true"/>
        </w:rPr>
        <w:t xml:space="preserve">, </w:t>
      </w:r>
      <w:r>
        <w:rPr>
          <w:rtl w:val="true"/>
        </w:rPr>
        <w:t>לנסיבותיו האישיות של המשיב והרחיב על אודות מדיניות הענישה הנוהגת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זו מדרכה של ערכאת הערעור למצות את הדין</w:t>
      </w:r>
      <w:r>
        <w:rPr>
          <w:rtl w:val="true"/>
        </w:rPr>
        <w:t xml:space="preserve">, </w:t>
      </w:r>
      <w:r>
        <w:rPr>
          <w:rtl w:val="true"/>
        </w:rPr>
        <w:t>ובית המשפט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3677/21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שללאשוילי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Arial TUR;Arial"/>
          <w:sz w:val="22"/>
          <w:szCs w:val="22"/>
        </w:rPr>
      </w:pPr>
      <w:r>
        <w:rPr>
          <w:rFonts w:cs="Arial TUR;Arial"/>
          <w:sz w:val="22"/>
          <w:szCs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Times New Roman"/>
          <w:sz w:val="27"/>
          <w:szCs w:val="27"/>
        </w:rPr>
      </w:pPr>
      <w:r>
        <w:rPr>
          <w:rtl w:val="true"/>
        </w:rPr>
        <w:tab/>
      </w:r>
      <w:r>
        <w:rPr>
          <w:rtl w:val="true"/>
        </w:rPr>
        <w:t>המקרה דנן</w:t>
      </w:r>
      <w:r>
        <w:rPr>
          <w:rtl w:val="true"/>
        </w:rPr>
        <w:t xml:space="preserve">, </w:t>
      </w:r>
      <w:r>
        <w:rPr>
          <w:rtl w:val="true"/>
        </w:rPr>
        <w:t>על נסיבותיו הקשות עד מאוד</w:t>
      </w:r>
      <w:r>
        <w:rPr>
          <w:rtl w:val="true"/>
        </w:rPr>
        <w:t xml:space="preserve">, </w:t>
      </w:r>
      <w:r>
        <w:rPr>
          <w:rtl w:val="true"/>
        </w:rPr>
        <w:t>הוא מהמקרים המצדיקים את התערבות ערכאת הערעור</w:t>
      </w:r>
      <w:r>
        <w:rPr>
          <w:rtl w:val="true"/>
        </w:rPr>
        <w:t xml:space="preserve">, </w:t>
      </w:r>
      <w:r>
        <w:rPr>
          <w:rtl w:val="true"/>
        </w:rPr>
        <w:t>היות שהעונש שנגזר על המשיב סוטה לקולה ואינו מבטא באופן הולם את חומרת מעשיו</w:t>
      </w:r>
      <w:r>
        <w:rPr>
          <w:rtl w:val="true"/>
        </w:rPr>
        <w:t>.</w:t>
      </w:r>
      <w:r>
        <w:rPr>
          <w:rFonts w:cs="Times New Roman"/>
          <w:sz w:val="27"/>
          <w:szCs w:val="27"/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אציע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נקבל</w:t>
      </w:r>
      <w:r>
        <w:rPr>
          <w:rtl w:val="true"/>
        </w:rPr>
        <w:t xml:space="preserve"> את ערעור המדינה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ונדחה</w:t>
      </w:r>
      <w:r>
        <w:rPr>
          <w:rtl w:val="true"/>
        </w:rPr>
        <w:t xml:space="preserve"> את ערעור המשיב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מילים מחווירות אל מול חומרת המקרה שלפנינו</w:t>
      </w:r>
      <w:r>
        <w:rPr>
          <w:rtl w:val="true"/>
        </w:rPr>
        <w:t xml:space="preserve">. </w:t>
      </w:r>
      <w:r>
        <w:rPr>
          <w:rtl w:val="true"/>
        </w:rPr>
        <w:t>עובדות כתב האישום הן מן הקשות שניתן להעלות על הדעת</w:t>
      </w:r>
      <w:r>
        <w:rPr>
          <w:rtl w:val="true"/>
        </w:rPr>
        <w:t xml:space="preserve">. </w:t>
      </w:r>
      <w:r>
        <w:rPr>
          <w:rtl w:val="true"/>
        </w:rPr>
        <w:t xml:space="preserve">המשיב תקף ללא רחם קטינה בת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במיטתה לאחר שפרץ לביתה</w:t>
      </w:r>
      <w:r>
        <w:rPr>
          <w:rtl w:val="true"/>
        </w:rPr>
        <w:t xml:space="preserve">. [...]. </w:t>
      </w:r>
      <w:r>
        <w:rPr>
          <w:rtl w:val="true"/>
        </w:rPr>
        <w:t>הוא גרם לה לנזקים בגוף ובנפש</w:t>
      </w:r>
      <w:r>
        <w:rPr>
          <w:rtl w:val="true"/>
        </w:rPr>
        <w:t xml:space="preserve">, </w:t>
      </w:r>
      <w:r>
        <w:rPr>
          <w:rtl w:val="true"/>
        </w:rPr>
        <w:t>ובמעשים מזוויעים אלו שינה את מסלול חייה</w:t>
      </w:r>
      <w:r>
        <w:rPr>
          <w:rtl w:val="true"/>
        </w:rPr>
        <w:t xml:space="preserve">. </w:t>
      </w:r>
      <w:r>
        <w:rPr>
          <w:rtl w:val="true"/>
        </w:rPr>
        <w:t xml:space="preserve">דומה שמקרים מסוג זה הם שעמדו לנגד עיני המחוקק עת שקבע את עונשי המקסימום הקבועים בדין </w:t>
      </w:r>
      <w:r>
        <w:rPr>
          <w:rtl w:val="true"/>
        </w:rPr>
        <w:t xml:space="preserve">[...].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עבירות מין כבר נכתב כי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לא רק פגיעה פיסית גלומה בהן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 גם פגיעה נפשית ורמיסת כבודה של הקורבן כאדם</w:t>
      </w:r>
      <w:r>
        <w:rPr>
          <w:color w:val="000000"/>
          <w:rtl w:val="true"/>
        </w:rPr>
        <w:t>" 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4.7.2007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בית משפט זה עמד </w:t>
      </w:r>
      <w:r>
        <w:rPr>
          <w:rtl w:val="true"/>
        </w:rPr>
        <w:t>פעמים רבות</w:t>
      </w:r>
      <w:r>
        <w:rPr>
          <w:rtl w:val="true"/>
        </w:rPr>
        <w:t xml:space="preserve"> על החומרה שיש לראות בעבירות מין בכלל</w:t>
      </w:r>
      <w:r>
        <w:rPr>
          <w:rtl w:val="true"/>
        </w:rPr>
        <w:t xml:space="preserve">, </w:t>
      </w:r>
      <w:r>
        <w:rPr>
          <w:rtl w:val="true"/>
        </w:rPr>
        <w:t>ובעבירות מין בקטינים בפרט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מדיניות הענישה בעבירות מין צריכה להיות מחמירה</w:t>
      </w:r>
      <w:r>
        <w:rPr>
          <w:rtl w:val="true"/>
        </w:rPr>
        <w:t xml:space="preserve">, </w:t>
      </w:r>
      <w:r>
        <w:rPr>
          <w:rtl w:val="true"/>
        </w:rPr>
        <w:t>ולבטא הן את האינטרס הציבורי בהרתעתם של עברייני מין פוטנציאליים</w:t>
      </w:r>
      <w:r>
        <w:rPr>
          <w:rtl w:val="true"/>
        </w:rPr>
        <w:t xml:space="preserve">, </w:t>
      </w:r>
      <w:r>
        <w:rPr>
          <w:rtl w:val="true"/>
        </w:rPr>
        <w:t>והן את הנזקים המשמעותיים הנגרמים לגופם ולנפשם של נפגעי עבירות אלו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5795/16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הפגיעה בנפשו של קטין בשלב זה של חייו</w:t>
      </w:r>
      <w:r>
        <w:rPr>
          <w:rtl w:val="true"/>
        </w:rPr>
        <w:t xml:space="preserve">, </w:t>
      </w:r>
      <w:r>
        <w:rPr>
          <w:rtl w:val="true"/>
        </w:rPr>
        <w:t>טרם התגבשה אישיותו באופן מלא</w:t>
      </w:r>
      <w:r>
        <w:rPr>
          <w:rtl w:val="true"/>
        </w:rPr>
        <w:t xml:space="preserve">, </w:t>
      </w:r>
      <w:r>
        <w:rPr>
          <w:rtl w:val="true"/>
        </w:rPr>
        <w:t xml:space="preserve">מותירה בו פעמים רבות צלקות עמוקות ומתמשכות </w:t>
      </w:r>
      <w:r>
        <w:rPr>
          <w:rtl w:val="true"/>
        </w:rPr>
        <w:t xml:space="preserve">ומצדיקה השתת </w:t>
      </w:r>
      <w:r>
        <w:rPr>
          <w:rtl w:val="true"/>
        </w:rPr>
        <w:t>עונשים משמעותיים ומרתיעים על המבצעים של עבירות אלה</w:t>
      </w:r>
      <w:r>
        <w:rPr>
          <w:rtl w:val="true"/>
        </w:rPr>
        <w:t xml:space="preserve">, </w:t>
      </w:r>
      <w:r>
        <w:rPr>
          <w:rtl w:val="true"/>
        </w:rPr>
        <w:t>באופן שיגן על שלמות גופם</w:t>
      </w:r>
      <w:r>
        <w:rPr>
          <w:rtl w:val="true"/>
        </w:rPr>
        <w:t xml:space="preserve">, </w:t>
      </w:r>
      <w:r>
        <w:rPr>
          <w:rtl w:val="true"/>
        </w:rPr>
        <w:t>נפשם וב</w:t>
      </w:r>
      <w:r>
        <w:rPr>
          <w:rtl w:val="true"/>
        </w:rPr>
        <w:t>י</w:t>
      </w:r>
      <w:r>
        <w:rPr>
          <w:rtl w:val="true"/>
        </w:rPr>
        <w:t>טחונם של קטינים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</w:t>
      </w:r>
      <w:r>
        <w:rPr>
          <w:rtl w:val="true"/>
        </w:rPr>
        <w:t xml:space="preserve">על העונש המושת על מי שהורשע בביצוע עבירות מין בקטינים לבטא </w:t>
      </w:r>
      <w:r>
        <w:rPr>
          <w:rtl w:val="true"/>
        </w:rPr>
        <w:t xml:space="preserve">גם </w:t>
      </w:r>
      <w:r>
        <w:rPr>
          <w:rtl w:val="true"/>
        </w:rPr>
        <w:t xml:space="preserve">את הסלידה </w:t>
      </w:r>
      <w:r>
        <w:rPr>
          <w:rtl w:val="true"/>
        </w:rPr>
        <w:t xml:space="preserve">הרבה </w:t>
      </w:r>
      <w:r>
        <w:rPr>
          <w:rtl w:val="true"/>
        </w:rPr>
        <w:t>ממעשים אלו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24.7.2018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במקרה אחר ציין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המרבי שנקבע על ידי המחוקק </w:t>
      </w:r>
      <w:r>
        <w:rPr>
          <w:rtl w:val="true"/>
        </w:rPr>
        <w:t>"</w:t>
      </w:r>
      <w:r>
        <w:rPr>
          <w:rtl w:val="true"/>
        </w:rPr>
        <w:t xml:space="preserve">... </w:t>
      </w:r>
      <w:r>
        <w:rPr>
          <w:rtl w:val="true"/>
        </w:rPr>
        <w:t>איננו בא לסמן רק את גבולה העליון של סמכות הענישה הנתונה בידי בתי המשפט</w:t>
      </w:r>
      <w:r>
        <w:rPr>
          <w:rtl w:val="true"/>
        </w:rPr>
        <w:t xml:space="preserve">. </w:t>
      </w:r>
      <w:r>
        <w:rPr>
          <w:rtl w:val="true"/>
        </w:rPr>
        <w:t>מדובר בעמדתו הערכית של המחוקק ביחס לחומרת העבירה</w:t>
      </w:r>
      <w:r>
        <w:rPr>
          <w:rtl w:val="true"/>
        </w:rPr>
        <w:t xml:space="preserve">, </w:t>
      </w:r>
      <w:r>
        <w:rPr>
          <w:rtl w:val="true"/>
        </w:rPr>
        <w:t>ועלינו לקיים את דברו</w:t>
      </w:r>
      <w:r>
        <w:rPr>
          <w:rtl w:val="true"/>
        </w:rPr>
        <w:t>"</w:t>
      </w:r>
      <w:r>
        <w:rPr>
          <w:color w:val="000000"/>
          <w:sz w:val="27"/>
          <w:szCs w:val="27"/>
          <w:rtl w:val="true"/>
        </w:rPr>
        <w:t xml:space="preserve"> (</w:t>
      </w:r>
      <w:hyperlink r:id="rId13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3124/18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14.8.2019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ראו גם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16.8.2019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נקודת המוצא היא כי ראוי להטיל עונש מרבי בגין עבירה מסוימת רק בנסיבות חמורות ביותר</w:t>
      </w:r>
      <w:r>
        <w:rPr>
          <w:rtl w:val="true"/>
        </w:rPr>
        <w:t xml:space="preserve">. </w:t>
      </w:r>
      <w:r>
        <w:rPr>
          <w:rtl w:val="true"/>
        </w:rPr>
        <w:t>מעשיו של המשיב</w:t>
      </w:r>
      <w:r>
        <w:rPr>
          <w:rtl w:val="true"/>
        </w:rPr>
        <w:t xml:space="preserve">, </w:t>
      </w:r>
      <w:r>
        <w:rPr>
          <w:rtl w:val="true"/>
        </w:rPr>
        <w:t>ונסיבות העניין</w:t>
      </w:r>
      <w:r>
        <w:rPr>
          <w:rtl w:val="true"/>
        </w:rPr>
        <w:t xml:space="preserve">, </w:t>
      </w:r>
      <w:r>
        <w:rPr>
          <w:rtl w:val="true"/>
        </w:rPr>
        <w:t>הם אכן כאלו</w:t>
      </w:r>
      <w:r>
        <w:rPr>
          <w:rtl w:val="true"/>
        </w:rPr>
        <w:t xml:space="preserve">, </w:t>
      </w:r>
      <w:r>
        <w:rPr>
          <w:rtl w:val="true"/>
        </w:rPr>
        <w:t>ולכל הפחות יש בהם כדי להצדיק ענישה המתקרבת עד מאוד לרף הענישה הגבוה ביותר הקבוע בחוק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משמקובלת עליי קביעת בית המשפט המחוזי כי ראוי להבחין בין עבירות הרכוש שהמשיב ביצע לעבירות המין והאלימות</w:t>
      </w:r>
      <w:r>
        <w:rPr>
          <w:rtl w:val="true"/>
        </w:rPr>
        <w:t xml:space="preserve">, </w:t>
      </w:r>
      <w:r>
        <w:rPr>
          <w:rtl w:val="true"/>
        </w:rPr>
        <w:t xml:space="preserve">ולראותן כשני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tl w:val="true"/>
        </w:rPr>
        <w:t xml:space="preserve">" </w:t>
      </w:r>
      <w:r>
        <w:rPr>
          <w:rtl w:val="true"/>
        </w:rPr>
        <w:t xml:space="preserve">נפרדים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), </w:t>
      </w:r>
      <w:r>
        <w:rPr>
          <w:rtl w:val="true"/>
        </w:rPr>
        <w:t xml:space="preserve">הרי שאין מניעה כי הרף העליון של מתחם העונש ההולם יעלה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כפי שבית המשפט המחוזי קבע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בנוסף לעבירות המין בהן המשיב הורשע</w:t>
      </w:r>
      <w:r>
        <w:rPr>
          <w:rtl w:val="true"/>
        </w:rPr>
        <w:t xml:space="preserve">, </w:t>
      </w:r>
      <w:r>
        <w:rPr>
          <w:rtl w:val="true"/>
        </w:rPr>
        <w:t>יש להשית עליו ענישה הולמת בשל עבירות הרכוש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בחוק בגינן 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עבור עבירת הכניסה והתפרצות למקום מגורים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בגין הפריצה לרכב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בין אם נתמקד בכך שעונשו של המשיב מוקם בחלקו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tl w:val="true"/>
        </w:rPr>
        <w:t xml:space="preserve"> של מתחם העונש ההולם שנקבע על ידי בית המשפט המחוזי</w:t>
      </w:r>
      <w:r>
        <w:rPr>
          <w:rtl w:val="true"/>
        </w:rPr>
        <w:t xml:space="preserve">; </w:t>
      </w:r>
      <w:r>
        <w:rPr>
          <w:rtl w:val="true"/>
        </w:rPr>
        <w:t xml:space="preserve">ובין אם נבחן את גבולות מתחם העונש ההולם שנקבעו </w:t>
      </w:r>
      <w:r>
        <w:rPr>
          <w:rtl w:val="true"/>
        </w:rPr>
        <w:t>–</w:t>
      </w:r>
      <w:r>
        <w:rPr>
          <w:rtl w:val="true"/>
        </w:rPr>
        <w:t xml:space="preserve"> נגיע לכדי מסקנה כי התוצאה העונשית הסופית שהתקבלה</w:t>
      </w:r>
      <w:r>
        <w:rPr>
          <w:rtl w:val="true"/>
        </w:rPr>
        <w:t xml:space="preserve">, </w:t>
      </w:r>
      <w:r>
        <w:rPr>
          <w:rtl w:val="true"/>
        </w:rPr>
        <w:t>חמורה ככל שתהא</w:t>
      </w:r>
      <w:r>
        <w:rPr>
          <w:rtl w:val="true"/>
        </w:rPr>
        <w:t xml:space="preserve">, </w:t>
      </w:r>
      <w:r>
        <w:rPr>
          <w:rtl w:val="true"/>
        </w:rPr>
        <w:t>מקלה עם המשיב יתר על המידה במקרה מזוויע זה</w:t>
      </w:r>
      <w:r>
        <w:rPr>
          <w:rtl w:val="true"/>
        </w:rPr>
        <w:t xml:space="preserve">. </w:t>
      </w:r>
      <w:r>
        <w:rPr>
          <w:rtl w:val="true"/>
        </w:rPr>
        <w:t>זאת גם בהתחשב בבחירת המשיב להודות במעשיו שלא במסגרת הסדר טיעון</w:t>
      </w:r>
      <w:r>
        <w:rPr>
          <w:rtl w:val="true"/>
        </w:rPr>
        <w:t xml:space="preserve">, </w:t>
      </w:r>
      <w:r>
        <w:rPr>
          <w:rtl w:val="true"/>
        </w:rPr>
        <w:t>ובכך לחסוך את עדות הקטינה ומשפחתה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הצדדים טענו לפנינו על מדיניות הענישה הנוהגת בגין עבירות דומות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 xml:space="preserve">ביחס להשוואה בין נסיבות מקרה זה לענישה שהושתה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לצד נקודות דמיון בין המקרים</w:t>
      </w:r>
      <w:r>
        <w:rPr>
          <w:rtl w:val="true"/>
        </w:rPr>
        <w:t xml:space="preserve">, </w:t>
      </w:r>
      <w:r>
        <w:rPr>
          <w:rtl w:val="true"/>
        </w:rPr>
        <w:t>ישנן הבחנות בולטות</w:t>
      </w:r>
      <w:r>
        <w:rPr>
          <w:color w:val="000000"/>
          <w:sz w:val="28"/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נגזרו לבסוף על אותו נאשם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ועל חומרת העונש הוגש ערעור אשר נדחה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בהינתן הענישה שהושתה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ומקרים חמורים אחרים </w:t>
      </w:r>
      <w:r>
        <w:rPr>
          <w:rtl w:val="true"/>
        </w:rPr>
        <w:t>(</w:t>
      </w:r>
      <w:r>
        <w:rPr>
          <w:rtl w:val="true"/>
        </w:rPr>
        <w:t>ראו בין היתר</w:t>
      </w:r>
      <w:r>
        <w:rPr>
          <w:rtl w:val="true"/>
        </w:rPr>
        <w:t xml:space="preserve">: 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1301/92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749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2.3.2011</w:t>
      </w:r>
      <w:r>
        <w:rPr>
          <w:rtl w:val="true"/>
        </w:rPr>
        <w:t>)</w:t>
      </w:r>
      <w:r>
        <w:rPr>
          <w:rtl w:val="true"/>
        </w:rPr>
        <w:t xml:space="preserve">) – </w:t>
      </w:r>
      <w:r>
        <w:rPr>
          <w:rtl w:val="true"/>
        </w:rPr>
        <w:t>אני סבור כי החמרת העונש שהוטל על המשיב</w:t>
      </w:r>
      <w:r>
        <w:rPr>
          <w:rtl w:val="true"/>
        </w:rPr>
        <w:t xml:space="preserve">, </w:t>
      </w:r>
      <w:r>
        <w:rPr>
          <w:rtl w:val="true"/>
        </w:rPr>
        <w:t>בהתחשב בנסיבותיו הפרטניות של המקרה שלפנינו</w:t>
      </w:r>
      <w:r>
        <w:rPr>
          <w:rtl w:val="true"/>
        </w:rPr>
        <w:t xml:space="preserve">, </w:t>
      </w:r>
      <w:r>
        <w:rPr>
          <w:rtl w:val="true"/>
        </w:rPr>
        <w:t>עולה בקנה אחד גם עם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 xml:space="preserve">כי ממילא מדיניות הענישה אינה אלא אחד מבין הפרמטרים אשר בית המשפט נדרש לשקלל לצרכי קביעת מתחם העונש ההולם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לנסיבותיו האישיות של המשיב </w:t>
      </w:r>
      <w:r>
        <w:rPr>
          <w:rtl w:val="true"/>
        </w:rPr>
        <w:t>–</w:t>
      </w:r>
      <w:r>
        <w:rPr>
          <w:rtl w:val="true"/>
        </w:rPr>
        <w:t xml:space="preserve"> עיינתי היטב בטיעוני הצדדים ובתסקיר שירות המבחן בעניינו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נסיבות חייו אינן קלות ודומה שהוא חווה קשיים מסוימים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הפניתי מבטי פעם נוספת לתסקיר קורבן העבירה שהוגש לבית המשפט המחוזי </w:t>
      </w:r>
      <w:r>
        <w:rPr>
          <w:rtl w:val="true"/>
        </w:rPr>
        <w:t>–</w:t>
      </w:r>
      <w:r>
        <w:rPr>
          <w:rtl w:val="true"/>
        </w:rPr>
        <w:t xml:space="preserve"> והוא שהשיבני לתלם</w:t>
      </w:r>
      <w:r>
        <w:rPr>
          <w:rtl w:val="true"/>
        </w:rPr>
        <w:t xml:space="preserve">. </w:t>
      </w:r>
      <w:r>
        <w:rPr>
          <w:rtl w:val="true"/>
        </w:rPr>
        <w:t>אך לאחרונה ציינתי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חייהן</w:t>
      </w:r>
      <w:r>
        <w:rPr>
          <w:rtl w:val="true"/>
        </w:rPr>
        <w:t xml:space="preserve">.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, </w:t>
      </w:r>
      <w:r>
        <w:rPr>
          <w:rtl w:val="true"/>
        </w:rPr>
        <w:t>המותיר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המסך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סיומו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תאלצנה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חייהן</w:t>
      </w:r>
      <w:r>
        <w:rPr>
          <w:rtl w:val="true"/>
        </w:rPr>
        <w:t xml:space="preserve">, </w:t>
      </w:r>
      <w:r>
        <w:rPr>
          <w:rtl w:val="true"/>
        </w:rPr>
        <w:t>בערותן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ובשנתן</w:t>
      </w:r>
      <w:r>
        <w:rPr>
          <w:rtl w:val="true"/>
        </w:rPr>
        <w:t>" 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אלהיגא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10.4.2022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>‏‏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כה חמור</w:t>
      </w:r>
      <w:r>
        <w:rPr>
          <w:rtl w:val="true"/>
        </w:rPr>
        <w:t xml:space="preserve">, </w:t>
      </w:r>
      <w:r>
        <w:rPr>
          <w:rtl w:val="true"/>
        </w:rPr>
        <w:t>בנסיבות כה קשות</w:t>
      </w:r>
      <w:r>
        <w:rPr>
          <w:rtl w:val="true"/>
        </w:rPr>
        <w:t xml:space="preserve">, </w:t>
      </w:r>
      <w:r>
        <w:rPr>
          <w:rtl w:val="true"/>
        </w:rPr>
        <w:t>כאשר הנזק שנגרם לקטינה ולמשפחתה כבד כל כך</w:t>
      </w:r>
      <w:r>
        <w:rPr>
          <w:rtl w:val="true"/>
        </w:rPr>
        <w:t xml:space="preserve">, </w:t>
      </w:r>
      <w:r>
        <w:rPr>
          <w:rtl w:val="true"/>
        </w:rPr>
        <w:t>המשקל שעלינו להקנות לנסיבותיו האישיות של המשיב מצטמצם עד מאוד</w:t>
      </w:r>
      <w:r>
        <w:rPr>
          <w:rtl w:val="true"/>
        </w:rPr>
        <w:t xml:space="preserve">. </w:t>
      </w:r>
      <w:r>
        <w:rPr>
          <w:rtl w:val="true"/>
        </w:rPr>
        <w:t>אין אפוא ספק</w:t>
      </w:r>
      <w:r>
        <w:rPr>
          <w:rtl w:val="true"/>
        </w:rPr>
        <w:t xml:space="preserve">, </w:t>
      </w:r>
      <w:r>
        <w:rPr>
          <w:rtl w:val="true"/>
        </w:rPr>
        <w:t>כי מקומו של המשיב מאחורי סורג ובריח למשך שנים ארוכות</w:t>
      </w:r>
      <w:r>
        <w:rPr>
          <w:rtl w:val="true"/>
        </w:rPr>
        <w:t xml:space="preserve">, </w:t>
      </w:r>
      <w:r>
        <w:rPr>
          <w:rtl w:val="true"/>
        </w:rPr>
        <w:t xml:space="preserve">ולטעמי </w:t>
      </w:r>
      <w:r>
        <w:rPr>
          <w:rtl w:val="true"/>
        </w:rPr>
        <w:t>–</w:t>
      </w:r>
      <w:r>
        <w:rPr>
          <w:rtl w:val="true"/>
        </w:rPr>
        <w:t xml:space="preserve"> ארוכות אף יותר מכפי שגזר עליו בית המשפט המחוזי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המשיב פגע קשות </w:t>
      </w:r>
      <w:r>
        <w:rPr>
          <w:rtl w:val="true"/>
        </w:rPr>
        <w:t>–</w:t>
      </w:r>
      <w:r>
        <w:rPr>
          <w:rtl w:val="true"/>
        </w:rPr>
        <w:t xml:space="preserve"> נפשית וגופנית</w:t>
      </w:r>
      <w:r>
        <w:rPr>
          <w:rtl w:val="true"/>
        </w:rPr>
        <w:t xml:space="preserve">, </w:t>
      </w:r>
      <w:r>
        <w:rPr>
          <w:rtl w:val="true"/>
        </w:rPr>
        <w:t>בילדה רכה בשנים</w:t>
      </w:r>
      <w:r>
        <w:rPr>
          <w:rtl w:val="true"/>
        </w:rPr>
        <w:t xml:space="preserve">, </w:t>
      </w:r>
      <w:r>
        <w:rPr>
          <w:rtl w:val="true"/>
        </w:rPr>
        <w:t xml:space="preserve">בת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בעוד היא ישנה בביתה אשר אמור היה להיות מבצרה</w:t>
      </w:r>
      <w:r>
        <w:rPr>
          <w:rtl w:val="true"/>
        </w:rPr>
        <w:t xml:space="preserve">. </w:t>
      </w:r>
      <w:r>
        <w:rPr>
          <w:rtl w:val="true"/>
        </w:rPr>
        <w:t>לא ניתן להפריז בתחושת האימה והבעתה האוחזת בה בשעת לילה מאוחרת כאשר היא מתעוררת לנוכחות אדם זר</w:t>
      </w:r>
      <w:r>
        <w:rPr>
          <w:rtl w:val="true"/>
        </w:rPr>
        <w:t xml:space="preserve">, </w:t>
      </w:r>
      <w:r>
        <w:rPr>
          <w:rtl w:val="true"/>
        </w:rPr>
        <w:t>בו נאבקה בכל כוחה על מנת להודפו מעליה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מתוך פחד עצמה את עיניה ועשתה עצמה כישנה מתוך תקווה כי הלה יניח לה לנפשה ויעזוב את חדרה</w:t>
      </w:r>
      <w:r>
        <w:rPr>
          <w:rtl w:val="true"/>
        </w:rPr>
        <w:t xml:space="preserve">, </w:t>
      </w:r>
      <w:r>
        <w:rPr>
          <w:rtl w:val="true"/>
        </w:rPr>
        <w:t>ואולם הלה המשיך ללא רחם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הלב יוצא אל הילדה ודומה כי אין מילות נחמה אשר יכולות לבטא באופן ממצה את הרצון לחזקה ולחזק את הוריה בהתמודדותם עם תוצאות הפגיעה בה</w:t>
      </w:r>
      <w:r>
        <w:rPr>
          <w:rtl w:val="true"/>
        </w:rPr>
        <w:t xml:space="preserve">, </w:t>
      </w:r>
      <w:r>
        <w:rPr>
          <w:rtl w:val="true"/>
        </w:rPr>
        <w:t>אשר לבטח תיתנה את אותותיהן עוד שנים רבות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זאת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 וחברתי כאמור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לדחות</w:t>
      </w:r>
      <w:r>
        <w:rPr>
          <w:rtl w:val="true"/>
        </w:rPr>
        <w:t xml:space="preserve"> את ערעור המשיב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ולקבל</w:t>
      </w:r>
      <w:r>
        <w:rPr>
          <w:rtl w:val="true"/>
        </w:rPr>
        <w:t xml:space="preserve"> את ערעור המדינה</w:t>
      </w:r>
      <w:r>
        <w:rPr>
          <w:rtl w:val="true"/>
        </w:rPr>
        <w:t xml:space="preserve">, </w:t>
      </w:r>
      <w:r>
        <w:rPr>
          <w:rtl w:val="true"/>
        </w:rPr>
        <w:t>וכי רק בשל הכלל ולפיו ערכאת הערעור אינה ממצה את הדין בבואה להחמיר עם הנאשם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חלף עונש מאסר בפועל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 שהושת על המשיב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יהיה עליו לרצות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יתר רכיבי גזר דינו של בית המשפט המחוזי יוותרו ללא שינוי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[...]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  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1.6.2022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21041240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54678313-4124/21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4124/21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שחר רימוני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7905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case/26790576" TargetMode="External"/><Relationship Id="rId6" Type="http://schemas.openxmlformats.org/officeDocument/2006/relationships/hyperlink" Target="http://www.nevo.co.il/case/17954460" TargetMode="External"/><Relationship Id="rId7" Type="http://schemas.openxmlformats.org/officeDocument/2006/relationships/hyperlink" Target="http://www.nevo.co.il/case/27652842" TargetMode="External"/><Relationship Id="rId8" Type="http://schemas.openxmlformats.org/officeDocument/2006/relationships/hyperlink" Target="http://www.nevo.co.il/case/28250215" TargetMode="External"/><Relationship Id="rId9" Type="http://schemas.openxmlformats.org/officeDocument/2006/relationships/hyperlink" Target="http://www.nevo.co.il/case/6194147" TargetMode="External"/><Relationship Id="rId10" Type="http://schemas.openxmlformats.org/officeDocument/2006/relationships/hyperlink" Target="http://www.nevo.co.il/case/21478626" TargetMode="External"/><Relationship Id="rId11" Type="http://schemas.openxmlformats.org/officeDocument/2006/relationships/hyperlink" Target="http://www.nevo.co.il/case/25041571" TargetMode="External"/><Relationship Id="rId12" Type="http://schemas.openxmlformats.org/officeDocument/2006/relationships/hyperlink" Target="http://www.nevo.co.il/case/22899443" TargetMode="External"/><Relationship Id="rId13" Type="http://schemas.openxmlformats.org/officeDocument/2006/relationships/hyperlink" Target="http://www.nevo.co.il/case/24140670" TargetMode="External"/><Relationship Id="rId14" Type="http://schemas.openxmlformats.org/officeDocument/2006/relationships/hyperlink" Target="http://www.nevo.co.il/case/24269594" TargetMode="External"/><Relationship Id="rId15" Type="http://schemas.openxmlformats.org/officeDocument/2006/relationships/hyperlink" Target="http://www.nevo.co.il/case/5729559" TargetMode="External"/><Relationship Id="rId16" Type="http://schemas.openxmlformats.org/officeDocument/2006/relationships/hyperlink" Target="http://www.nevo.co.il/case/6244202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case/27000398" TargetMode="External"/><Relationship Id="rId19" Type="http://schemas.openxmlformats.org/officeDocument/2006/relationships/hyperlink" Target="http://www.nevo.co.il/case/27330872" TargetMode="External"/><Relationship Id="rId20" Type="http://schemas.openxmlformats.org/officeDocument/2006/relationships/hyperlink" Target="https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2022-06-02T09:26:00Z</dcterms:created>
  <dc:creator>h4</dc:creator>
  <dc:description/>
  <cp:keywords/>
  <dc:language>en-IL</dc:language>
  <cp:lastModifiedBy>orly</cp:lastModifiedBy>
  <cp:lastPrinted>2022-06-01T14:00:00Z</cp:lastPrinted>
  <dcterms:modified xsi:type="dcterms:W3CDTF">2022-06-02T09:26:00Z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שחר רימוני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26790576:2;17954460;27652842;28250215;6194147;21478626;25041571;22899443;24140670;24269594;5729559;6244202;27000398;27330872</vt:lpwstr>
  </property>
  <property fmtid="{D5CDD505-2E9C-101B-9397-08002B2CF9AE}" pid="9" name="CITY">
    <vt:lpwstr/>
  </property>
  <property fmtid="{D5CDD505-2E9C-101B-9397-08002B2CF9AE}" pid="10" name="DATE">
    <vt:lpwstr>20220601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שטיין;ג' כנפי שטייניץ</vt:lpwstr>
  </property>
  <property fmtid="{D5CDD505-2E9C-101B-9397-08002B2CF9AE}" pid="14" name="LAWLISTTMP1">
    <vt:lpwstr>70301/040c.a</vt:lpwstr>
  </property>
  <property fmtid="{D5CDD505-2E9C-101B-9397-08002B2CF9AE}" pid="15" name="LAWYER">
    <vt:lpwstr>עידית פרג'ון;אלי סבן;שיר שמעון;יעל טוב-אל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16970;8995;8982</vt:lpwstr>
  </property>
  <property fmtid="{D5CDD505-2E9C-101B-9397-08002B2CF9AE}" pid="59" name="PADIDATE">
    <vt:lpwstr>20220602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4124;4133</vt:lpwstr>
  </property>
  <property fmtid="{D5CDD505-2E9C-101B-9397-08002B2CF9AE}" pid="65" name="PROCYEAR">
    <vt:lpwstr>21;21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410120220601</vt:lpwstr>
  </property>
  <property fmtid="{D5CDD505-2E9C-101B-9397-08002B2CF9AE}" pid="69" name="TYPE_N_DATE">
    <vt:lpwstr>41020220601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