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4143/18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10143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 xml:space="preserve"> –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09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 xml:space="preserve"> –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10.10.2018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נוואתב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ז –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יבחרו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שפשטה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וגווניה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יבחרו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ובאכזריות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גולגולתיות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שהשפיעו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פרופורציונלית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ונזקיהם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המגשימה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ערעור על גזר הדין של בית המשפט המחוזי בירושלים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ר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כרמל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10143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cs="Century" w:ascii="Century" w:hAnsi="Century"/>
            <w:color w:val="0000FF"/>
            <w:u w:val="single"/>
          </w:rPr>
          <w:t>09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15.4.2018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בגדרו נגזר על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פרוק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עונש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ומאסר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חויב המערער בתשלום פיצויים למתלונן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  <w:sz w:val="18"/>
          <w:szCs w:val="24"/>
        </w:rPr>
      </w:pP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המתוקן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הורשע על – 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שניתנה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בחבלה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ז – 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– פי עובדות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9.7.2013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פגע רכבו של עבדאללה ברקה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עבדאללה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ברכבו של פרוק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התאונה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התפתח עימות אלים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במהלכו הצמיד פרוק את עבדאללה למעקה הבטיחות בכביש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וחנק אותו עד שנפל ארצה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שהנוכחים במקום הפרידו בין הניצים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עבדאללה לרכבו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 ממנו חפץ מתכתי ארוך ודק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והיכה באמצעותו את פרוק בראשו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 פרוק מרכבו מטף לכיבוי 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והיכה באמצעותו את עבדאללה בראשו מספר פעמים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עבדאללה נפל ארצה כתוצאה מהמכות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ופרוק נמלט מהמקום ברכבו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מהאירועים נגרמו לעבדאללה חתכים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נתפרו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שבר בגולגולת שנותח וקובע באמצעות פלטה וברגים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עמד תחילה על החומרה הרבה הגלומה במעשיו האלימים של פרוק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והדגיש את החומרה היתרה הנודעת לסכסוכים אלימים הפורצים על רקע נסיעה בדרכים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פנה בית המשפט המחוזי לבחינת הערכים החברתיים המוגנים שנפגעו כתוצאה מביצוע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כתוצאה מהמעשים נפגעו ערכי שלמות ובריאות גוף האדם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וההגנה על הסדר הציבורי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שמתחם הענישה לעבירה הוא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בחן את 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שגם לעבדאללה היה חלק ממשי בהסלמת האלימות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מעשיו הובילו לפגיעות חמורות אצל פרוק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היתה בהשתלשלות העניינים הצדקה ולא הסבר לרמות האלימות הקיצוניות בהן נקט פרוק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בבחינת נסיבותיו האישיות של פרוק ציין בית המשפט את גילו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תפקודו הנורמטיב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 במהלך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עברו הפלילי הנקי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ציין גם כי לחובתו של פרוק כ –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הרשעות בעבירות תעבורה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קבע כי 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שפגע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ברכבו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מאחור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והאירוע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נוצר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תעבורה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הנאשם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בשקלול הנסיבות נגזר על פרוק עונש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ומאסר על – תנאי של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פרוק בתשלום פיצויים בסך של </w:t>
      </w:r>
      <w:r>
        <w:rPr>
          <w:rFonts w:cs="Century" w:ascii="Century" w:hAnsi="Century"/>
        </w:rPr>
        <w:t>3,000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לעבדאללה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לטענתו של פרוק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לא התחשב בגילו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 הנקי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מצבו הכלכלי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המלצת שירות המבחן להעניש אותו במאסר שירוצה בדרך של עבודות שירות וחרטתו הכנה על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פרוק לפערים בלתי מוצדקים בין העונשים שהוטלו עליו ועל עבדאללה בעקבות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כאשר על האחרון נגזר עונש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 חודשי מאסר שירוצו בדרך של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עותר פרוק להפחתה בעונשו ולהמרתו במאסר בדרך של 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מבקש לדחות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שנגזר על פרוק הולם את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תוצאותיהם והפוטנציאל הקטלני שנשקף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טען גם כי הסדר הטיעון שנחתם עם פרוק מקל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משקף התחשבות באלימות שהופעלה כלפיו ובשיהוי בהגשת כתב האישום 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התחשבות בשיקולים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באה לידי ביטוי גם בענישה המקלה יחסית שאותה השית בית המשפט המחוזי על פרוק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Century" w:hAnsi="Century" w:cs="Century"/>
          <w:sz w:val="18"/>
          <w:szCs w:val="24"/>
        </w:rPr>
      </w:pP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נתנו דעתנו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כ של פרוק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אֵלו שבכתב ואֵלו שבעל – 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טענות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גזר הדין של בית המשפט המחוזי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הגענו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הלכה פסוקה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ערכאת הערעור אינה גוזרת מחדש את עונשו של 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 נוטה להתערב בעונש שנקבע על –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בנסיבות חריגות שבהן נפלה טעות מהותית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ענייננו אינו בא בגדרם של אותם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גזר הדין מדוד ושקול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והתחשב בכל השיקולים שנמנו בערעור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נטען בערעור אלא שהמשקל שניתן לכל שיקול אינו משקל 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די בכך כדי להצדיק את התערבותה של ערכאת הערעור בגזר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עבירות האלימות הן מהחמורות שבעבירות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פגיעתן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מערערות את בטחונם האישי של אזרחי המדינה ותושביה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עמד על כך בית משפט זה בקובעו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להילחם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באלימות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שפשטה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צורותיה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וגווניה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המשפחה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מחוצה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לה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נוער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מבוגרים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נגע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רעה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לבערה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היסוד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ותדע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אישה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יבחרו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ייטו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להשתית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עונשי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משמעותיים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ומרתיעים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ובריח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7555/11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18.7.2012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פרוק תקף את עבדאללה באלימות קשה ובאכזריות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ששיאה בשימוש במטף כבכלי נשק 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פעם ופעמיים הביא פרוק במעשיו האלימים לנפילתו של עבדאללה ארצה בחוסר אונים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מהמעשים נגרמו לעבדאללה פגיעות גולגולתיו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קשות אשר השפיעו עליו למשך תקופה ארוכה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לכחד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לעבדאללה חלק משמעותי באירועים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ואולם אין בדברים משום צידוק לאלימות הקשה והבלתי פרופורציונלית שבה נקט פרוק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הדברים נכונים גם ביחס לפערי הענישה להם טען פרוק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חלקם של פרוק ושל עבדאללה במסכת האירועים הכללית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תוצאות המעשים ונזקיהם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שונים בתכלית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לעקרון אחידות הענישה חשיבות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כפי שקבע בית משפט זה </w:t>
      </w:r>
      <w:r>
        <w:rPr>
          <w:rFonts w:cs="Century" w:ascii="Century" w:hAnsi="Century"/>
          <w:sz w:val="18"/>
          <w:szCs w:val="24"/>
          <w:rtl w:val="true"/>
        </w:rPr>
        <w:t>"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חזות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הכל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השיקול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לשקול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לתוצאת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מאוזנת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המגשימה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והפרט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cs="Century" w:ascii="Century" w:hAnsi="Century"/>
          <w:sz w:val="18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7350/12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14.1.2013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משעמדנו על כך שהעונש שנגזר על פרוק סביר ואינו מצדיק את התערבות ערכת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די בטיעון על אחידות הענישה כדי לשנות ממסקנה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תסקירי שירות המבחן אינם מצביעים על נכונות של ממש וניסיון להשתלב בהליך 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ההמלצה להשית על פרוק עונש מאסר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נעדרה מתסקיר שירות המבחן המעודכן שהוגש לקראת הדיון היום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זה המקרה לסטות מהענישה המקובלת בגין שיקולי שיקום וטיפול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מוצאים מקום להתערב בקביעותיו ובגזר דינו של 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 נדחה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27.10.2018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הרוסים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/>
        <w:t>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/>
        <w:t>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10.10.2018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18041430</w:t>
      </w:r>
      <w:r>
        <w:rPr>
          <w:sz w:val="16"/>
          <w:rtl w:val="true"/>
        </w:rPr>
        <w:t>_</w:t>
      </w:r>
      <w:r>
        <w:rPr>
          <w:sz w:val="16"/>
        </w:rPr>
        <w:t>O06.doc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–</w:t>
      </w:r>
      <w:r>
        <w:rPr>
          <w:rtl w:val="true"/>
        </w:rPr>
        <w:t xml:space="preserve"> </w:t>
      </w:r>
      <w:r>
        <w:rPr/>
        <w:t>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/>
      </w:pPr>
      <w:r>
        <w:rPr>
          <w:rFonts w:ascii="David;David" w:hAnsi="David;David"/>
          <w:color w:val="000000"/>
          <w:szCs w:val="22"/>
          <w:rtl w:val="true"/>
        </w:rPr>
        <w:t>נ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סולברג </w:t>
      </w:r>
      <w:r>
        <w:rPr>
          <w:rFonts w:cs="David;David" w:ascii="David;David" w:hAnsi="David;David"/>
          <w:color w:val="000000"/>
          <w:szCs w:val="22"/>
        </w:rPr>
        <w:t>54678313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 – </w:t>
      </w:r>
      <w:r>
        <w:rPr>
          <w:rFonts w:cs="David;David" w:ascii="David;David" w:hAnsi="David;David"/>
          <w:color w:val="000000"/>
          <w:szCs w:val="22"/>
        </w:rPr>
        <w:t>4143/18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4143/18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פרוק גית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596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case/21659633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247882" TargetMode="External"/><Relationship Id="rId9" Type="http://schemas.openxmlformats.org/officeDocument/2006/relationships/hyperlink" Target="http://www.nevo.co.il/case/6247752" TargetMode="External"/><Relationship Id="rId10" Type="http://schemas.openxmlformats.org/officeDocument/2006/relationships/hyperlink" Target="https://supreme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2018-10-14T10:19:00Z</dcterms:created>
  <dc:creator> </dc:creator>
  <dc:description/>
  <cp:keywords/>
  <dc:language>en-IL</dc:language>
  <cp:lastModifiedBy>orly</cp:lastModifiedBy>
  <cp:lastPrinted>2018-10-10T16:56:00Z</cp:lastPrinted>
  <dcterms:modified xsi:type="dcterms:W3CDTF">2018-10-14T10:19:00Z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פרוק גית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21659633:2;6247882;6247752</vt:lpwstr>
  </property>
  <property fmtid="{D5CDD505-2E9C-101B-9397-08002B2CF9AE}" pid="9" name="CITY">
    <vt:lpwstr/>
  </property>
  <property fmtid="{D5CDD505-2E9C-101B-9397-08002B2CF9AE}" pid="10" name="DATE">
    <vt:lpwstr>20181010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וילנר</vt:lpwstr>
  </property>
  <property fmtid="{D5CDD505-2E9C-101B-9397-08002B2CF9AE}" pid="14" name="LAWLISTTMP1">
    <vt:lpwstr>70301/333</vt:lpwstr>
  </property>
  <property fmtid="{D5CDD505-2E9C-101B-9397-08002B2CF9AE}" pid="15" name="LAWYER">
    <vt:lpwstr>אופיר טישלר;מוחמד פווזי נוואתב;רותי עדן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אחדות הענישה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8984;12547;17039</vt:lpwstr>
  </property>
  <property fmtid="{D5CDD505-2E9C-101B-9397-08002B2CF9AE}" pid="59" name="PADIDATE">
    <vt:lpwstr>20181014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4143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410120181010</vt:lpwstr>
  </property>
  <property fmtid="{D5CDD505-2E9C-101B-9397-08002B2CF9AE}" pid="69" name="TYPE_N_DATE">
    <vt:lpwstr>41020181010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