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4161/17</w:t>
            </w:r>
          </w:p>
        </w:tc>
      </w:tr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6919/17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הנדל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ברון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וילנר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3" w:name="FirstAppellant"/>
            <w:bookmarkEnd w:id="3"/>
            <w:r>
              <w:rPr>
                <w:rtl w:val="true"/>
              </w:rPr>
              <w:t>המערער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4161/17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פלוני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4161/17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והמערערת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6919/17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המשיב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6919/17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פלוני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לנוער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בירושלים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01.03.2017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15634-02-16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השופטת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ר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פרידמן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פלדמן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וכן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 </w:t>
            </w: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לנוער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בירושלים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5.7.2017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3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15472-02-16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טפרבר</w:t>
            </w:r>
            <w:r>
              <w:rPr>
                <w:sz w:val="26"/>
                <w:sz w:val="26"/>
                <w:szCs w:val="26"/>
                <w:rtl w:val="true"/>
              </w:rPr>
              <w:t>ג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35" w:type="dxa"/>
        <w:jc w:val="start"/>
        <w:tblInd w:w="-3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2301"/>
        <w:gridCol w:w="2977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30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י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ג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בטבת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ח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97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31.12.2017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4161/17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עופר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אשכנזי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4161/17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והמערערת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6919/17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>'</w:t>
            </w:r>
            <w:r>
              <w:rPr>
                <w:rtl w:val="true"/>
              </w:rPr>
              <w:t>ואי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אש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6919/17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ורד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בירגר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שירות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מבחן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לנוער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גב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טלי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סמואל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bookmarkStart w:id="5" w:name="ABSTRACT_START"/>
      <w:bookmarkEnd w:id="5"/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התופעה של יידוי אבנים על כלי רכב חמורה היא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ככלל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התופעה החברתית הרחבה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הצורך להרתיע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הסכנה הכרוכה במקרה הבודד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כל אלה מצדיקים החמרה בגישה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גם כלפי קטינים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הן בסוגיית ההרשעה והן בסוגיית הענישה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אם זאת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ייתכנו מקרים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כך לגבי בגיר וכך ביתר שאת לגבי קטין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בהם יימצא לסטות מכלל זה ולהימנע מהרשעה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בנסיבות לא נמצא להתערב בהרשעת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בע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פ </w:t>
      </w:r>
      <w:r>
        <w:rPr>
          <w:rFonts w:cs="Times New Roman" w:ascii="Times New Roman" w:hAnsi="Times New Roman"/>
          <w:spacing w:val="0"/>
          <w:sz w:val="24"/>
          <w:szCs w:val="26"/>
        </w:rPr>
        <w:t>4161/17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ובהימנעות מהרשעת המשיב בע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פ </w:t>
      </w:r>
      <w:r>
        <w:rPr>
          <w:rFonts w:cs="Times New Roman" w:ascii="Times New Roman" w:hAnsi="Times New Roman"/>
          <w:spacing w:val="0"/>
          <w:sz w:val="24"/>
          <w:szCs w:val="26"/>
        </w:rPr>
        <w:t>6919/17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יידוי אבנים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דיון פלילי – הרשעה – הימנעות מהרשעה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נוער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שני ערעורים שאוחדו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הנסובים סביב שני גזרי דין שונים שניתנו ביחס לאירוע אחד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–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יידוי אבנים מגובה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לעבר כביש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בשבת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במטרה לפגוע בכלי הרכב שבו נטלו חלק שלושה קטינים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המנהלים אורח חיים דתי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חרדי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בהם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בע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פ </w:t>
      </w:r>
      <w:r>
        <w:rPr>
          <w:rFonts w:cs="Times New Roman" w:ascii="Times New Roman" w:hAnsi="Times New Roman"/>
          <w:spacing w:val="0"/>
          <w:sz w:val="24"/>
          <w:szCs w:val="26"/>
        </w:rPr>
        <w:t>4161/17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והמשיב בע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פ </w:t>
      </w:r>
      <w:r>
        <w:rPr>
          <w:rFonts w:cs="Times New Roman" w:ascii="Times New Roman" w:hAnsi="Times New Roman"/>
          <w:spacing w:val="0"/>
          <w:sz w:val="24"/>
          <w:szCs w:val="26"/>
        </w:rPr>
        <w:t>6919/17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להלן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 והמשיב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בעת המעשה המערער היה כבן </w:t>
      </w:r>
      <w:r>
        <w:rPr>
          <w:rFonts w:cs="Times New Roman" w:ascii="Times New Roman" w:hAnsi="Times New Roman"/>
          <w:spacing w:val="0"/>
          <w:sz w:val="24"/>
          <w:szCs w:val="26"/>
        </w:rPr>
        <w:t>16.5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והמשיב היה כבן </w:t>
      </w:r>
      <w:r>
        <w:rPr>
          <w:rFonts w:cs="Times New Roman" w:ascii="Times New Roman" w:hAnsi="Times New Roman"/>
          <w:spacing w:val="0"/>
          <w:sz w:val="24"/>
          <w:szCs w:val="26"/>
        </w:rPr>
        <w:t>14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וחודש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הקטין הנוסף היה בן </w:t>
      </w:r>
      <w:r>
        <w:rPr>
          <w:rFonts w:cs="Times New Roman" w:ascii="Times New Roman" w:hAnsi="Times New Roman"/>
          <w:spacing w:val="0"/>
          <w:sz w:val="24"/>
          <w:szCs w:val="26"/>
        </w:rPr>
        <w:t>12.5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בגזר הדין הוטלו על המערער מאסר מותנה בן </w:t>
      </w:r>
      <w:r>
        <w:rPr>
          <w:rFonts w:cs="Times New Roman" w:ascii="Times New Roman" w:hAnsi="Times New Roman"/>
          <w:spacing w:val="0"/>
          <w:sz w:val="24"/>
          <w:szCs w:val="26"/>
        </w:rPr>
        <w:t>3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חודשים למשך </w:t>
      </w:r>
      <w:r>
        <w:rPr>
          <w:rFonts w:cs="Times New Roman" w:ascii="Times New Roman" w:hAnsi="Times New Roman"/>
          <w:spacing w:val="0"/>
          <w:sz w:val="24"/>
          <w:szCs w:val="26"/>
        </w:rPr>
        <w:t>3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ביצוע של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צ ופיצוי בסך </w:t>
      </w:r>
      <w:r>
        <w:rPr>
          <w:rFonts w:cs="Times New Roman" w:ascii="Times New Roman" w:hAnsi="Times New Roman"/>
          <w:spacing w:val="0"/>
          <w:sz w:val="24"/>
          <w:szCs w:val="26"/>
        </w:rPr>
        <w:t>4,000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₪;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ואילו על המשיב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שנמצא כי אין להרשיעו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הוטלו ביצוע של </w:t>
      </w:r>
      <w:r>
        <w:rPr>
          <w:rFonts w:cs="Times New Roman" w:ascii="Times New Roman" w:hAnsi="Times New Roman"/>
          <w:spacing w:val="0"/>
          <w:sz w:val="24"/>
          <w:szCs w:val="26"/>
        </w:rPr>
        <w:t>200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שעות של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צ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חתימה על התחייבות ופיצוי בסך </w:t>
      </w:r>
      <w:r>
        <w:rPr>
          <w:rFonts w:cs="Times New Roman" w:ascii="Times New Roman" w:hAnsi="Times New Roman"/>
          <w:spacing w:val="0"/>
          <w:sz w:val="24"/>
          <w:szCs w:val="26"/>
        </w:rPr>
        <w:t>1,500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ערעור אחד הוגש מטעם המערער כנגד הרשעתו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ואילו הערעור השני הוגש מטעם המדינה כנגד אי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הרשעת המשיב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 העליון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מפי השופט נ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הנדל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בהסכמת השופטות 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ברון וי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וילנר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דחה את הערעורים מהטעמים הבאים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התופעה של יידוי אבנים על כלי רכב חמורה היא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בשנים האחרונות עבירה זו הפכה לפנים החדשות והמכוערות של מכה אזורית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אף אם אין מדובר בענייננו בזריקה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אידיאולוגית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המכוונת נגד אדם בשל מוצאו או אורח חייו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ואף כי אכן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צודקים הסנגורים כי יעד השיקום מרכזי בתיקים פליליים נגד קטינים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הרי שככלל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התופעה החברתית הרחבה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הצורך להרתיע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הסכנה הכרוכה במקרה הבודד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כל אלה מצדיקים החמרה בגישה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גם כלפי קטינים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הן בסוגיית ההרשעה והן בסוגיית הענישה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אך זאת יש לזכור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מצויים אנו בשיטת הענישה הישראלית ובגישה האינדיבידואלית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כך לגבי בגיר וכך ביתר שאת לגבי קטין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לכן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אף אם יש מעין כלל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יש מקום לסטות ממנו בשל נסיבות העושה והמעשה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אשר למערער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גילו עמד על </w:t>
      </w:r>
      <w:r>
        <w:rPr>
          <w:rFonts w:cs="Times New Roman" w:ascii="Times New Roman" w:hAnsi="Times New Roman"/>
          <w:spacing w:val="0"/>
          <w:sz w:val="24"/>
          <w:szCs w:val="26"/>
        </w:rPr>
        <w:t>16.5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שנים בעת ביצוע העבירה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הוא היה המבוגר מבין שלושת המעורבים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 פי עובדות כתב האישום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האבנים נזרקו ממקום גבוה על כלי רכב שנוסעים במהירות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הסכנה הקונקרטית שנוצרה ברורה ומדאיגה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אכן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לזכות המערער ניתן למנות מספר נקודות לחיוב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אך דומה כי אין הצדקה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 רקע התופעה הכללית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להימנע מהרשעתו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יש לזכור כי העונש אינו חמור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והוא משקלל את הנתונים לחיוב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לרבות התסקיר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אשר לרצון לשרת בצה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ברור כי מדובר ביעד חיובי שעשוי לשרת את המדינה ואת המערער כאחד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ואולם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 זה מדויק כי הרשעה כשלעצמה שוללת את שירותו הצבאי של אדם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בנוסף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מתן משקל יתר לשיקול זה בכל מקרה עלול להוביל להפיכת היוצרות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כך במובן שעל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לבצע את מלאכתו תוך התחשבות בשיקולים הרלוונטיים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וחזקה על צה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 שיבדוק כל מקרה על פי נסיבותיו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אשר למשיב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נראה כי מדובר במקרה שמתאים ליוצא מן הכלל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בהקשר זה הודגש כי המשיב היה כבן </w:t>
      </w:r>
      <w:r>
        <w:rPr>
          <w:rFonts w:cs="Times New Roman" w:ascii="Times New Roman" w:hAnsi="Times New Roman"/>
          <w:spacing w:val="0"/>
          <w:sz w:val="24"/>
          <w:szCs w:val="26"/>
        </w:rPr>
        <w:t>14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וחודש במועד ביצוע העבירה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וכי הוא עבר הליכי שיקום משמעותיים במשך שנתיים ושלושה חודשים ממועד ביצוע העבירה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דהיינו יש חיבור בין גיל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חלוף זמן וניצול הזמן בצורה מיטבית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כמו כן יש להביא בחשבון כי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מתבקש להתערב בהכרעת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המחוזי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שהחליט שלא להרשיע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ואף לשיקול זה משקל מסוים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לפיכך הוחלט לדחות את שני הערעורים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/>
          <w:spacing w:val="0"/>
          <w:sz w:val="24"/>
          <w:szCs w:val="26"/>
          <w:rtl w:val="true"/>
        </w:rPr>
      </w:r>
      <w:bookmarkStart w:id="6" w:name="ABSTRACT_END"/>
      <w:bookmarkStart w:id="7" w:name="ABSTRACT_END"/>
      <w:bookmarkEnd w:id="7"/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8" w:name="PsakDin"/>
            <w:bookmarkStart w:id="9" w:name="BeginProtocol"/>
            <w:bookmarkStart w:id="10" w:name="secretary"/>
            <w:bookmarkEnd w:id="8"/>
            <w:bookmarkEnd w:id="9"/>
            <w:bookmarkEnd w:id="10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1" w:name="Writer_Name"/>
      <w:bookmarkEnd w:id="11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נ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הנדל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2" w:name="Start_Write"/>
      <w:bookmarkStart w:id="13" w:name="Start_Write"/>
      <w:bookmarkEnd w:id="13"/>
    </w:p>
    <w:p>
      <w:pPr>
        <w:pStyle w:val="Ruller4"/>
        <w:ind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מונחים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שאוחדו</w:t>
      </w:r>
      <w:r>
        <w:rPr>
          <w:rtl w:val="true"/>
        </w:rPr>
        <w:t xml:space="preserve">, </w:t>
      </w:r>
      <w:r>
        <w:rPr>
          <w:rtl w:val="true"/>
        </w:rPr>
        <w:t>הנסובים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שניתנו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/>
        <w:t>4161/17</w:t>
      </w:r>
      <w:r>
        <w:rPr>
          <w:rtl w:val="true"/>
        </w:rPr>
        <w:t xml:space="preserve"> </w:t>
      </w:r>
      <w:r>
        <w:rPr>
          <w:rtl w:val="true"/>
        </w:rPr>
        <w:t>והמשיב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/>
        <w:t>6919/17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Style w:val="CharChar"/>
          <w:rFonts w:ascii="Cambria" w:hAnsi="Cambria" w:cs="Miriam"/>
          <w:b w:val="false"/>
          <w:b w:val="false"/>
          <w:bCs w:val="false"/>
          <w:kern w:val="0"/>
          <w:sz w:val="28"/>
          <w:sz w:val="28"/>
          <w:szCs w:val="24"/>
          <w:rtl w:val="true"/>
        </w:rPr>
        <w:t>המערער</w:t>
      </w:r>
      <w:r>
        <w:rPr>
          <w:rStyle w:val="CharChar"/>
          <w:rFonts w:ascii="Cambria" w:hAnsi="Cambria" w:eastAsia="Cambria" w:cs="Cambria"/>
          <w:b w:val="false"/>
          <w:b w:val="false"/>
          <w:bCs w:val="false"/>
          <w:kern w:val="0"/>
          <w:sz w:val="28"/>
          <w:sz w:val="28"/>
          <w:szCs w:val="24"/>
          <w:rtl w:val="true"/>
        </w:rPr>
        <w:t xml:space="preserve"> </w:t>
      </w:r>
      <w:r>
        <w:rPr>
          <w:rtl w:val="true"/>
        </w:rPr>
        <w:t>ו</w:t>
      </w:r>
      <w:r>
        <w:rPr>
          <w:rStyle w:val="CharChar"/>
          <w:rFonts w:ascii="Cambria" w:hAnsi="Cambria" w:cs="Miriam"/>
          <w:b w:val="false"/>
          <w:b w:val="false"/>
          <w:bCs w:val="false"/>
          <w:kern w:val="0"/>
          <w:sz w:val="28"/>
          <w:sz w:val="28"/>
          <w:szCs w:val="24"/>
          <w:rtl w:val="true"/>
        </w:rPr>
        <w:t>המשיב</w:t>
      </w:r>
      <w:r>
        <w:rPr>
          <w:rtl w:val="true"/>
        </w:rPr>
        <w:t xml:space="preserve">). </w:t>
      </w:r>
      <w:r>
        <w:rPr>
          <w:rtl w:val="true"/>
        </w:rPr>
        <w:t>נקודה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משותפת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נסובים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</w:t>
      </w:r>
      <w:r>
        <w:rPr>
          <w:rtl w:val="true"/>
        </w:rPr>
        <w:t>-</w:t>
      </w:r>
      <w:r>
        <w:rPr>
          <w:rtl w:val="true"/>
        </w:rPr>
        <w:t>הרשעת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והמשיב</w:t>
      </w:r>
      <w:r>
        <w:rPr>
          <w:rtl w:val="true"/>
        </w:rPr>
        <w:t xml:space="preserve">. </w:t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הרשעתו</w:t>
      </w:r>
      <w:r>
        <w:rPr>
          <w:rtl w:val="true"/>
        </w:rPr>
        <w:t xml:space="preserve">, </w:t>
      </w:r>
      <w:r>
        <w:rPr>
          <w:rtl w:val="true"/>
        </w:rPr>
        <w:t>ואילו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</w:t>
      </w:r>
      <w:r>
        <w:rPr>
          <w:rtl w:val="true"/>
        </w:rPr>
        <w:t>-</w:t>
      </w:r>
      <w:r>
        <w:rPr>
          <w:rtl w:val="true"/>
        </w:rPr>
        <w:t>הרשעת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והמשיב</w:t>
      </w:r>
      <w:r>
        <w:rPr>
          <w:rtl w:val="true"/>
        </w:rPr>
        <w:t xml:space="preserve">: </w:t>
      </w:r>
      <w:r>
        <w:rPr>
          <w:rtl w:val="true"/>
        </w:rPr>
        <w:t>בחודש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ספטמבר</w:t>
      </w:r>
      <w:r>
        <w:rPr>
          <w:rFonts w:eastAsia="Arial TUR;Arial" w:cs="Arial TUR;Arial"/>
          <w:rtl w:val="true"/>
        </w:rPr>
        <w:t xml:space="preserve"> </w:t>
      </w:r>
      <w:r>
        <w:rPr/>
        <w:t>2015</w:t>
      </w:r>
      <w:r>
        <w:rPr>
          <w:rtl w:val="true"/>
        </w:rPr>
        <w:t xml:space="preserve">, </w:t>
      </w:r>
      <w:r>
        <w:rPr>
          <w:rtl w:val="true"/>
        </w:rPr>
        <w:t>בשעות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הצהריים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שבת</w:t>
      </w:r>
      <w:r>
        <w:rPr>
          <w:rtl w:val="true"/>
        </w:rPr>
        <w:t xml:space="preserve">, </w:t>
      </w:r>
      <w:r>
        <w:rPr>
          <w:rtl w:val="true"/>
        </w:rPr>
        <w:t>שהו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וקטין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שלשתם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מנהלים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אורח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דתי</w:t>
      </w:r>
      <w:r>
        <w:rPr>
          <w:rtl w:val="true"/>
        </w:rPr>
        <w:t>-</w:t>
      </w:r>
      <w:r>
        <w:rPr>
          <w:rtl w:val="true"/>
        </w:rPr>
        <w:t>חרדי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ציבורי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מרדכי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בירושלים</w:t>
      </w:r>
      <w:r>
        <w:rPr>
          <w:rtl w:val="true"/>
        </w:rPr>
        <w:t xml:space="preserve">. </w:t>
      </w:r>
      <w:r>
        <w:rPr>
          <w:rtl w:val="true"/>
        </w:rPr>
        <w:t>השלושה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זרקו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כעשר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שמצאו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בגן</w:t>
      </w:r>
      <w:r>
        <w:rPr>
          <w:rtl w:val="true"/>
        </w:rPr>
        <w:t xml:space="preserve">, </w:t>
      </w:r>
      <w:r>
        <w:rPr>
          <w:rtl w:val="true"/>
        </w:rPr>
        <w:t>המצוי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לכביש</w:t>
      </w:r>
      <w:r>
        <w:rPr>
          <w:rtl w:val="true"/>
        </w:rPr>
        <w:t xml:space="preserve">, </w:t>
      </w:r>
      <w:r>
        <w:rPr>
          <w:rtl w:val="true"/>
        </w:rPr>
        <w:t>לעבר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הכביש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שנסעו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גבוהה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האבנים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לפגוע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בנוסעי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בקרבתם</w:t>
      </w:r>
      <w:r>
        <w:rPr>
          <w:rtl w:val="true"/>
        </w:rPr>
        <w:t xml:space="preserve">. </w:t>
      </w:r>
      <w:r>
        <w:rPr>
          <w:rtl w:val="true"/>
        </w:rPr>
        <w:t>האבנים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התפזרו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הכביש</w:t>
      </w:r>
      <w:r>
        <w:rPr>
          <w:rtl w:val="true"/>
        </w:rPr>
        <w:t xml:space="preserve">, </w:t>
      </w:r>
      <w:r>
        <w:rPr>
          <w:rtl w:val="true"/>
        </w:rPr>
        <w:t>גרמו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לרכבים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להאט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נסיעתם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ופגעו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רכב</w:t>
      </w:r>
      <w:r>
        <w:rPr>
          <w:rtl w:val="true"/>
        </w:rPr>
        <w:t xml:space="preserve">. </w:t>
      </w:r>
      <w:r>
        <w:rPr>
          <w:rtl w:val="true"/>
        </w:rPr>
        <w:t>לרכב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השתיי</w:t>
      </w:r>
      <w:r>
        <w:rPr>
          <w:rtl w:val="true"/>
        </w:rPr>
        <w:t>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עשרה</w:t>
      </w:r>
      <w:r>
        <w:rPr>
          <w:rtl w:val="true"/>
        </w:rPr>
        <w:t xml:space="preserve">, </w:t>
      </w:r>
      <w:r>
        <w:rPr>
          <w:rtl w:val="true"/>
        </w:rPr>
        <w:t>נגרמו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נזק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ושריטה</w:t>
      </w:r>
      <w:r>
        <w:rPr>
          <w:rtl w:val="true"/>
        </w:rPr>
        <w:t xml:space="preserve">. </w:t>
      </w:r>
      <w:r>
        <w:rPr>
          <w:rtl w:val="true"/>
        </w:rPr>
        <w:t>האבנים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הקדמי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ובגלגל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 xml:space="preserve">.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וחצי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וחודש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הוטלו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מותנה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;Arial" w:cs="Arial TUR;Arial"/>
          <w:rtl w:val="true"/>
        </w:rPr>
        <w:t xml:space="preserve"> </w:t>
      </w:r>
      <w:r>
        <w:rPr/>
        <w:t>4,000</w:t>
      </w:r>
      <w:r>
        <w:rPr>
          <w:rtl w:val="true"/>
        </w:rPr>
        <w:t xml:space="preserve"> </w:t>
      </w:r>
      <w:r>
        <w:rPr>
          <w:rFonts w:eastAsia="FrankRuehl" w:ascii="FrankRuehl" w:hAnsi="FrankRuehl"/>
          <w:rtl w:val="true"/>
        </w:rPr>
        <w:t>₪</w:t>
      </w:r>
      <w:r>
        <w:rPr>
          <w:rtl w:val="true"/>
        </w:rPr>
        <w:t xml:space="preserve">; </w:t>
      </w:r>
      <w:r>
        <w:rPr>
          <w:rtl w:val="true"/>
        </w:rPr>
        <w:t>ואילו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tl w:val="true"/>
        </w:rPr>
        <w:t xml:space="preserve">, </w:t>
      </w:r>
      <w:r>
        <w:rPr>
          <w:rtl w:val="true"/>
        </w:rPr>
        <w:t>שנמצא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להרשיעו</w:t>
      </w:r>
      <w:r>
        <w:rPr>
          <w:rtl w:val="true"/>
        </w:rPr>
        <w:t xml:space="preserve">, </w:t>
      </w:r>
      <w:r>
        <w:rPr>
          <w:rtl w:val="true"/>
        </w:rPr>
        <w:t>הוטלו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200</w:t>
      </w:r>
      <w:r>
        <w:rPr>
          <w:rtl w:val="true"/>
        </w:rPr>
        <w:t xml:space="preserve"> </w:t>
      </w:r>
      <w:r>
        <w:rPr>
          <w:rtl w:val="true"/>
        </w:rPr>
        <w:t>שעות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tl w:val="true"/>
        </w:rPr>
        <w:t xml:space="preserve">, </w:t>
      </w:r>
      <w:r>
        <w:rPr>
          <w:rtl w:val="true"/>
        </w:rPr>
        <w:t>חתימה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התחייבות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;Arial" w:cs="Arial TUR;Arial"/>
          <w:rtl w:val="true"/>
        </w:rPr>
        <w:t xml:space="preserve"> </w:t>
      </w:r>
      <w:r>
        <w:rPr/>
        <w:t>1,500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</w:t>
      </w:r>
      <w:r>
        <w:rPr>
          <w:rtl w:val="true"/>
        </w:rPr>
        <w:t>-</w:t>
      </w:r>
      <w:r>
        <w:rPr>
          <w:rtl w:val="true"/>
        </w:rPr>
        <w:t>הרשעת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יסודית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ובהירה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הטמונה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בתופעה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זריקת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הכביש</w:t>
      </w:r>
      <w:r>
        <w:rPr>
          <w:rtl w:val="true"/>
        </w:rPr>
        <w:t xml:space="preserve">. </w:t>
      </w:r>
      <w:r>
        <w:rPr>
          <w:rtl w:val="true"/>
        </w:rPr>
        <w:t>נאמר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בשנת</w:t>
      </w:r>
      <w:r>
        <w:rPr>
          <w:rFonts w:eastAsia="Arial TUR;Arial" w:cs="Arial TUR;Arial"/>
          <w:rtl w:val="true"/>
        </w:rPr>
        <w:t xml:space="preserve"> </w:t>
      </w:r>
      <w:r>
        <w:rPr/>
        <w:t>2017</w:t>
      </w:r>
      <w:r>
        <w:rPr>
          <w:rtl w:val="true"/>
        </w:rPr>
        <w:t xml:space="preserve"> </w:t>
      </w:r>
      <w:r>
        <w:rPr>
          <w:rtl w:val="true"/>
        </w:rPr>
        <w:t>כמעט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מכתבי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במחוז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ירושלים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הוגשו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ידויי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אבנים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חודש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200</w:t>
      </w:r>
      <w:r>
        <w:rPr>
          <w:rtl w:val="true"/>
        </w:rPr>
        <w:t xml:space="preserve"> </w:t>
      </w:r>
      <w:r>
        <w:rPr>
          <w:rtl w:val="true"/>
        </w:rPr>
        <w:t>תיקי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ידויי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אבנים</w:t>
      </w:r>
      <w:r>
        <w:rPr>
          <w:rtl w:val="true"/>
        </w:rPr>
        <w:t xml:space="preserve">. </w:t>
      </w:r>
      <w:r>
        <w:rPr>
          <w:rtl w:val="true"/>
        </w:rPr>
        <w:t>בהתאם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להרשיע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ולהותיר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הדגיש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להרשיע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מרשו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חיובי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רצונו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להתגייס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לצבא</w:t>
      </w:r>
      <w:r>
        <w:rPr>
          <w:rtl w:val="true"/>
        </w:rPr>
        <w:t xml:space="preserve">.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תועלת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ציבורית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בהרשעתו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מתפקד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. </w:t>
      </w:r>
      <w:r>
        <w:rPr>
          <w:rtl w:val="true"/>
        </w:rPr>
        <w:t>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</w:t>
      </w:r>
      <w:r>
        <w:rPr>
          <w:rtl w:val="true"/>
        </w:rPr>
        <w:t>-</w:t>
      </w:r>
      <w:r>
        <w:rPr>
          <w:rtl w:val="true"/>
        </w:rPr>
        <w:t>הרשעת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מרשו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התייחסות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לנתוני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והעושה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התופעה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יידוי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 xml:space="preserve">. </w:t>
      </w:r>
      <w:r>
        <w:rPr>
          <w:rtl w:val="true"/>
        </w:rPr>
        <w:t>בשנים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החדשות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והמכוערות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אזורית</w:t>
      </w:r>
      <w:r>
        <w:rPr>
          <w:rtl w:val="true"/>
        </w:rPr>
        <w:t xml:space="preserve">. </w:t>
      </w:r>
      <w:r>
        <w:rPr>
          <w:rtl w:val="true"/>
        </w:rPr>
        <w:t>הנתונים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שהציג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התופעה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מבטאים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תיקוני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החקיקה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שהחמירו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  <w:r>
        <w:rPr>
          <w:rtl w:val="true"/>
        </w:rPr>
        <w:t>כאילו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בדרכים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ובפגיעות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האנושות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מנהיגה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זהירה</w:t>
      </w:r>
      <w:r>
        <w:rPr>
          <w:rtl w:val="true"/>
        </w:rPr>
        <w:t xml:space="preserve">, </w:t>
      </w:r>
      <w:r>
        <w:rPr>
          <w:rtl w:val="true"/>
        </w:rPr>
        <w:t>נכנס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נהג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הרגל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מהסס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לזרוק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ומרחק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שנוסעים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במהירות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הכרוכה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. </w:t>
      </w:r>
      <w:r>
        <w:rPr>
          <w:rtl w:val="true"/>
        </w:rPr>
        <w:t>משנזרקה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הנזק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בשליטת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הזורק</w:t>
      </w:r>
      <w:r>
        <w:rPr>
          <w:rtl w:val="true"/>
        </w:rPr>
        <w:t xml:space="preserve">. </w:t>
      </w:r>
      <w:r>
        <w:rPr>
          <w:rtl w:val="true"/>
        </w:rPr>
        <w:t>התוצאות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עלולות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מאוד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צודקים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הסנגורים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מרכזי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פליליים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קטינים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הסנגורים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בזריקה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אידיאולוגית</w:t>
      </w:r>
      <w:r>
        <w:rPr>
          <w:rtl w:val="true"/>
        </w:rPr>
        <w:t xml:space="preserve">", </w:t>
      </w:r>
      <w:r>
        <w:rPr>
          <w:rtl w:val="true"/>
        </w:rPr>
        <w:t>וביתר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באידיאולוגיה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המכוונת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מוצאו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אורח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.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שדווקא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הפוגעות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בקטינים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חטאם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הנסיעה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בעוצמה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ההרתעה</w:t>
      </w:r>
      <w:r>
        <w:rPr>
          <w:rtl w:val="true"/>
        </w:rPr>
        <w:t xml:space="preserve">. </w:t>
      </w:r>
      <w:r>
        <w:rPr>
          <w:rtl w:val="true"/>
        </w:rPr>
        <w:t>התנהגות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המאפיינת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חיקוי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מתופעה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תרבותית</w:t>
      </w:r>
      <w:r>
        <w:rPr>
          <w:rtl w:val="true"/>
        </w:rPr>
        <w:t xml:space="preserve">. </w:t>
      </w:r>
      <w:r>
        <w:rPr>
          <w:rtl w:val="true"/>
        </w:rPr>
        <w:t>ידוע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</w:t>
      </w:r>
      <w:r>
        <w:rPr>
          <w:rtl w:val="true"/>
        </w:rPr>
        <w:t>-</w:t>
      </w:r>
      <w:r>
        <w:rPr>
          <w:rtl w:val="true"/>
        </w:rPr>
        <w:t>השפעה</w:t>
      </w:r>
      <w:r>
        <w:rPr>
          <w:rtl w:val="true"/>
        </w:rPr>
        <w:t xml:space="preserve">, </w:t>
      </w:r>
      <w:r>
        <w:rPr>
          <w:rtl w:val="true"/>
        </w:rPr>
        <w:t>ובמיוחד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גדול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הפסיכולוגיה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החברתית</w:t>
      </w:r>
      <w:r>
        <w:rPr>
          <w:rtl w:val="true"/>
        </w:rPr>
        <w:t xml:space="preserve">, </w:t>
      </w:r>
      <w:r>
        <w:rPr>
          <w:rtl w:val="true"/>
        </w:rPr>
        <w:t>הגורמת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להימשכות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הטרנד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החדש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מסוכן</w:t>
      </w:r>
      <w:r>
        <w:rPr>
          <w:rtl w:val="true"/>
        </w:rPr>
        <w:t xml:space="preserve">. </w:t>
      </w:r>
      <w:r>
        <w:rPr>
          <w:rtl w:val="true"/>
        </w:rPr>
        <w:t>כמובן</w:t>
      </w:r>
      <w:r>
        <w:rPr>
          <w:rtl w:val="true"/>
        </w:rPr>
        <w:t xml:space="preserve">, </w:t>
      </w:r>
      <w:r>
        <w:rPr>
          <w:rtl w:val="true"/>
        </w:rPr>
        <w:t>רוב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רובם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הקטינים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נכנסים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למעגל</w:t>
      </w:r>
      <w:r>
        <w:rPr>
          <w:rtl w:val="true"/>
        </w:rPr>
        <w:t xml:space="preserve">.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הקבוצה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זניחה</w:t>
      </w:r>
      <w:r>
        <w:rPr>
          <w:rtl w:val="true"/>
        </w:rPr>
        <w:t xml:space="preserve">. </w:t>
      </w:r>
      <w:r>
        <w:rPr>
          <w:rtl w:val="true"/>
        </w:rPr>
        <w:t>לכן</w:t>
      </w:r>
      <w:r>
        <w:rPr>
          <w:rtl w:val="true"/>
        </w:rPr>
        <w:t xml:space="preserve">, </w:t>
      </w:r>
      <w:r>
        <w:rPr>
          <w:rtl w:val="true"/>
        </w:rPr>
        <w:t>משהתחילה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התופעה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זריקת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אידיאולוגית</w:t>
      </w:r>
      <w:r>
        <w:rPr>
          <w:rtl w:val="true"/>
        </w:rPr>
        <w:t xml:space="preserve">", </w:t>
      </w:r>
      <w:r>
        <w:rPr>
          <w:rtl w:val="true"/>
        </w:rPr>
        <w:t>נכנסה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התופעה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הנדונה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בערעורים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אידיאולוגית</w:t>
      </w:r>
      <w:r>
        <w:rPr>
          <w:rtl w:val="true"/>
        </w:rPr>
        <w:t xml:space="preserve">, </w:t>
      </w:r>
      <w:r>
        <w:rPr>
          <w:rtl w:val="true"/>
        </w:rPr>
        <w:t>בגדר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קפיצה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העגלה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הנוסעת</w:t>
      </w:r>
      <w:r>
        <w:rPr>
          <w:rtl w:val="true"/>
        </w:rPr>
        <w:t xml:space="preserve">. </w:t>
      </w:r>
      <w:r>
        <w:rPr>
          <w:rtl w:val="true"/>
        </w:rPr>
        <w:t>ב</w:t>
      </w:r>
      <w:hyperlink r:id="rId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240/16</w:t>
        </w:r>
      </w:hyperlink>
      <w:r>
        <w:rPr>
          <w:rtl w:val="true"/>
        </w:rPr>
        <w:t xml:space="preserve"> </w:t>
      </w:r>
      <w:r>
        <w:rPr>
          <w:rStyle w:val="CharChar"/>
          <w:rFonts w:ascii="Cambria" w:hAnsi="Cambria" w:cs="Miriam"/>
          <w:b w:val="false"/>
          <w:b w:val="false"/>
          <w:bCs w:val="false"/>
          <w:kern w:val="0"/>
          <w:sz w:val="28"/>
          <w:sz w:val="28"/>
          <w:szCs w:val="24"/>
          <w:rtl w:val="true"/>
        </w:rPr>
        <w:t>מדינת</w:t>
      </w:r>
      <w:r>
        <w:rPr>
          <w:rStyle w:val="CharChar"/>
          <w:rFonts w:ascii="Cambria" w:hAnsi="Cambria" w:eastAsia="Cambria" w:cs="Cambria"/>
          <w:b w:val="false"/>
          <w:b w:val="false"/>
          <w:bCs w:val="false"/>
          <w:kern w:val="0"/>
          <w:sz w:val="28"/>
          <w:sz w:val="28"/>
          <w:szCs w:val="24"/>
          <w:rtl w:val="true"/>
        </w:rPr>
        <w:t xml:space="preserve"> </w:t>
      </w:r>
      <w:r>
        <w:rPr>
          <w:rStyle w:val="CharChar"/>
          <w:rFonts w:ascii="Cambria" w:hAnsi="Cambria" w:cs="Miriam"/>
          <w:b w:val="false"/>
          <w:b w:val="false"/>
          <w:bCs w:val="false"/>
          <w:kern w:val="0"/>
          <w:sz w:val="28"/>
          <w:sz w:val="28"/>
          <w:szCs w:val="24"/>
          <w:rtl w:val="true"/>
        </w:rPr>
        <w:t>ישראל</w:t>
      </w:r>
      <w:r>
        <w:rPr>
          <w:rStyle w:val="CharChar"/>
          <w:rFonts w:ascii="Cambria" w:hAnsi="Cambria" w:eastAsia="Cambria" w:cs="Cambria"/>
          <w:b w:val="false"/>
          <w:b w:val="false"/>
          <w:bCs w:val="false"/>
          <w:kern w:val="0"/>
          <w:sz w:val="28"/>
          <w:sz w:val="28"/>
          <w:szCs w:val="24"/>
          <w:rtl w:val="true"/>
        </w:rPr>
        <w:t xml:space="preserve"> </w:t>
      </w:r>
      <w:r>
        <w:rPr>
          <w:rStyle w:val="CharChar"/>
          <w:rFonts w:ascii="Cambria" w:hAnsi="Cambria" w:cs="Miriam"/>
          <w:b w:val="false"/>
          <w:b w:val="false"/>
          <w:bCs w:val="false"/>
          <w:kern w:val="0"/>
          <w:sz w:val="28"/>
          <w:sz w:val="28"/>
          <w:szCs w:val="24"/>
          <w:rtl w:val="true"/>
        </w:rPr>
        <w:t>נ</w:t>
      </w:r>
      <w:r>
        <w:rPr>
          <w:rStyle w:val="CharChar"/>
          <w:rFonts w:cs="Miriam" w:ascii="Cambria" w:hAnsi="Cambria"/>
          <w:b w:val="false"/>
          <w:bCs w:val="false"/>
          <w:kern w:val="0"/>
          <w:sz w:val="28"/>
          <w:szCs w:val="24"/>
          <w:rtl w:val="true"/>
        </w:rPr>
        <w:t xml:space="preserve">' </w:t>
      </w:r>
      <w:r>
        <w:rPr>
          <w:rStyle w:val="CharChar"/>
          <w:rFonts w:ascii="Cambria" w:hAnsi="Cambria" w:cs="Miriam"/>
          <w:b w:val="false"/>
          <w:b w:val="false"/>
          <w:bCs w:val="false"/>
          <w:kern w:val="0"/>
          <w:sz w:val="28"/>
          <w:sz w:val="28"/>
          <w:szCs w:val="24"/>
          <w:rtl w:val="true"/>
        </w:rPr>
        <w:t>פלוני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11.01.2017</w:t>
      </w:r>
      <w:r>
        <w:rPr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נקבע</w:t>
      </w:r>
      <w:r>
        <w:rPr>
          <w:rtl w:val="true"/>
        </w:rPr>
        <w:t xml:space="preserve">: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Style14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למניעת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החקיקה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שהוזכרו</w:t>
      </w:r>
      <w:r>
        <w:rPr>
          <w:rtl w:val="true"/>
        </w:rPr>
        <w:t xml:space="preserve">, </w:t>
      </w:r>
      <w:r>
        <w:rPr>
          <w:rtl w:val="true"/>
        </w:rPr>
        <w:t>השארת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tl w:val="true"/>
        </w:rPr>
        <w:t>-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במאבק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למיגורה</w:t>
      </w:r>
      <w:r>
        <w:rPr>
          <w:rtl w:val="true"/>
        </w:rPr>
        <w:t xml:space="preserve">. </w:t>
      </w:r>
      <w:r>
        <w:rPr>
          <w:rtl w:val="true"/>
        </w:rPr>
        <w:t>כמובן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</w:t>
      </w:r>
      <w:r>
        <w:rPr>
          <w:rtl w:val="true"/>
        </w:rPr>
        <w:t xml:space="preserve">. </w:t>
      </w:r>
      <w:r>
        <w:rPr>
          <w:rtl w:val="true"/>
        </w:rPr>
        <w:t>יתכנו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ביידוי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הולמת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tl w:val="true"/>
        </w:rPr>
        <w:t xml:space="preserve">.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יהא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יהא</w:t>
      </w:r>
      <w:r>
        <w:rPr>
          <w:rtl w:val="true"/>
        </w:rPr>
        <w:t xml:space="preserve">, </w:t>
      </w:r>
      <w:r>
        <w:rPr>
          <w:rtl w:val="true"/>
        </w:rPr>
        <w:t>הזורק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</w:t>
      </w:r>
      <w:r>
        <w:rPr>
          <w:rtl w:val="true"/>
        </w:rPr>
        <w:t>-</w:t>
      </w:r>
      <w:r>
        <w:rPr>
          <w:rtl w:val="true"/>
        </w:rPr>
        <w:t>הרשעה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>".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>לאמור</w:t>
      </w:r>
      <w:r>
        <w:rPr>
          <w:rtl w:val="true"/>
        </w:rPr>
        <w:t xml:space="preserve">, </w:t>
      </w:r>
      <w:r>
        <w:rPr>
          <w:rtl w:val="true"/>
        </w:rPr>
        <w:t>לכל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הכלל</w:t>
      </w:r>
      <w:r>
        <w:rPr>
          <w:rtl w:val="true"/>
        </w:rPr>
        <w:t xml:space="preserve">. </w:t>
      </w:r>
      <w:r>
        <w:rPr>
          <w:rtl w:val="true"/>
        </w:rPr>
        <w:t>התופעה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החברתית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הרחבה</w:t>
      </w:r>
      <w:r>
        <w:rPr>
          <w:rtl w:val="true"/>
        </w:rPr>
        <w:t xml:space="preserve">, </w:t>
      </w:r>
      <w:r>
        <w:rPr>
          <w:rtl w:val="true"/>
        </w:rPr>
        <w:t>הצורך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להרתיע</w:t>
      </w:r>
      <w:r>
        <w:rPr>
          <w:rtl w:val="true"/>
        </w:rPr>
        <w:t xml:space="preserve">, </w:t>
      </w:r>
      <w:r>
        <w:rPr>
          <w:rtl w:val="true"/>
        </w:rPr>
        <w:t>הסכנה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הכרוכה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הבודד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מצדיקים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בגישה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קטינים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בסוגיית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בסוגיית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.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לזכור</w:t>
      </w:r>
      <w:r>
        <w:rPr>
          <w:rtl w:val="true"/>
        </w:rPr>
        <w:t xml:space="preserve">: </w:t>
      </w:r>
      <w:r>
        <w:rPr>
          <w:rtl w:val="true"/>
        </w:rPr>
        <w:t>מצויים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בשיטת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הישראלית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ובגישה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האינדיבידואלית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קטין</w:t>
      </w:r>
      <w:r>
        <w:rPr>
          <w:rtl w:val="true"/>
        </w:rPr>
        <w:t xml:space="preserve">. </w:t>
      </w:r>
      <w:r>
        <w:rPr>
          <w:rtl w:val="true"/>
        </w:rPr>
        <w:t>לכן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לסטות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ממנו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3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ומכאן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למלאכה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הפרטנית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המקרה</w:t>
      </w:r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tl w:val="true"/>
        </w:rPr>
        <w:t xml:space="preserve">, </w:t>
      </w:r>
      <w:r>
        <w:rPr>
          <w:rtl w:val="true"/>
        </w:rPr>
        <w:t>גילו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וחצי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המבוגר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המעורבים</w:t>
      </w:r>
      <w:r>
        <w:rPr>
          <w:rtl w:val="true"/>
        </w:rPr>
        <w:t xml:space="preserve">, </w:t>
      </w:r>
      <w:r>
        <w:rPr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צעירים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בכשנתיים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וחצי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וכארבע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ויוזכר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השלושה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זרקו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האבנים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ביחד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מודעות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לפעולתם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האבנים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נזרקו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גבוה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שנוסעים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במהירות</w:t>
      </w:r>
      <w:r>
        <w:rPr>
          <w:rtl w:val="true"/>
        </w:rPr>
        <w:t xml:space="preserve">. </w:t>
      </w:r>
      <w:r>
        <w:rPr>
          <w:rtl w:val="true"/>
        </w:rPr>
        <w:t>הסכנה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הקונקרטית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שנוצרה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ומדאיגה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לזכות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לחיוב</w:t>
      </w:r>
      <w:r>
        <w:rPr>
          <w:rtl w:val="true"/>
        </w:rPr>
        <w:t xml:space="preserve">;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הצדקה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התופעה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הכללית</w:t>
      </w:r>
      <w:r>
        <w:rPr>
          <w:rtl w:val="true"/>
        </w:rPr>
        <w:t xml:space="preserve">, </w:t>
      </w:r>
      <w:r>
        <w:rPr>
          <w:rtl w:val="true"/>
        </w:rPr>
        <w:t>להימנע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מהרשעתו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לזכור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הנתונים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לחיוב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התסקיר</w:t>
      </w:r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לרצון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ברור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חיובי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שעשוי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כאחד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כשלעצמה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שוללת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הצבאי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. </w:t>
      </w:r>
      <w:r>
        <w:rPr>
          <w:rtl w:val="true"/>
        </w:rPr>
        <w:t>בתיקים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הכללית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מובילה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בהכרח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</w:t>
      </w:r>
      <w:r>
        <w:rPr>
          <w:rtl w:val="true"/>
        </w:rPr>
        <w:t>-</w:t>
      </w:r>
      <w:r>
        <w:rPr>
          <w:rtl w:val="true"/>
        </w:rPr>
        <w:t>גיוס</w:t>
      </w:r>
      <w:r>
        <w:rPr>
          <w:rtl w:val="true"/>
        </w:rPr>
        <w:t xml:space="preserve">, </w:t>
      </w:r>
      <w:r>
        <w:rPr>
          <w:rtl w:val="true"/>
        </w:rPr>
        <w:t>ואי</w:t>
      </w:r>
      <w:r>
        <w:rPr>
          <w:rtl w:val="true"/>
        </w:rPr>
        <w:t>-</w:t>
      </w:r>
      <w:r>
        <w:rPr>
          <w:rtl w:val="true"/>
        </w:rPr>
        <w:t>הרשעה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מובילה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בהכרח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לגיוס</w:t>
      </w:r>
      <w:r>
        <w:rPr>
          <w:rtl w:val="true"/>
        </w:rPr>
        <w:t xml:space="preserve">. </w:t>
      </w:r>
      <w:r>
        <w:rPr>
          <w:rtl w:val="true"/>
        </w:rPr>
        <w:t>נוסיף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לשיקול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להוביל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להפיכת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היוצרות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במובן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מלאכתו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התחשבות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בשיקולים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הרלוונטיים</w:t>
      </w:r>
      <w:r>
        <w:rPr>
          <w:rtl w:val="true"/>
        </w:rPr>
        <w:t xml:space="preserve">, </w:t>
      </w:r>
      <w:r>
        <w:rPr>
          <w:rtl w:val="true"/>
        </w:rPr>
        <w:t>וחזקה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שיבדוק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נסיבותיו</w:t>
      </w:r>
      <w:r>
        <w:rPr>
          <w:rtl w:val="true"/>
        </w:rPr>
        <w:t xml:space="preserve">. </w:t>
      </w:r>
      <w:r>
        <w:rPr>
          <w:rtl w:val="true"/>
        </w:rPr>
        <w:t>לכן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למשיב</w:t>
      </w:r>
      <w:r>
        <w:rPr>
          <w:rtl w:val="true"/>
        </w:rPr>
        <w:t xml:space="preserve">, </w:t>
      </w:r>
      <w:r>
        <w:rPr>
          <w:rtl w:val="true"/>
        </w:rPr>
        <w:t>נראה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שמתאים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ליוצא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הכלל</w:t>
      </w:r>
      <w:r>
        <w:rPr>
          <w:rtl w:val="true"/>
        </w:rPr>
        <w:t xml:space="preserve">. </w:t>
      </w:r>
      <w:r>
        <w:rPr>
          <w:rtl w:val="true"/>
        </w:rPr>
        <w:t>נדגיש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וחודש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הליכי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ושלושה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דהיינו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גיל</w:t>
      </w:r>
      <w:r>
        <w:rPr>
          <w:rtl w:val="true"/>
        </w:rPr>
        <w:t xml:space="preserve">, </w:t>
      </w:r>
      <w:r>
        <w:rPr>
          <w:rtl w:val="true"/>
        </w:rPr>
        <w:t>חלוף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וניצול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מיטבית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מתבקש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שהחליט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להרשיע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לשיקול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מסוים</w:t>
      </w:r>
      <w:r>
        <w:rPr>
          <w:rtl w:val="true"/>
        </w:rPr>
        <w:t xml:space="preserve">. </w:t>
      </w:r>
      <w:r>
        <w:rPr>
          <w:rtl w:val="true"/>
        </w:rPr>
        <w:t>סיכומו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איני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ערכאת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והעושה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סוף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הייתי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לחברותיי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הערעורים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rtl w:val="true"/>
        </w:rPr>
        <w:t xml:space="preserve">                                                                                                               </w:t>
      </w: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השופטת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u w:val="single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ע</w:t>
      </w:r>
      <w:r>
        <w:rPr>
          <w:rFonts w:cs="Miriam" w:ascii="Times New Roman" w:hAnsi="Times New Roman"/>
          <w:spacing w:val="0"/>
          <w:sz w:val="28"/>
          <w:szCs w:val="24"/>
          <w:u w:val="single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ברון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:</w:t>
      </w:r>
    </w:p>
    <w:p>
      <w:pPr>
        <w:pStyle w:val="Ruller4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cs="Miriam" w:ascii="Times New Roman" w:hAnsi="Times New Roman"/>
          <w:spacing w:val="0"/>
          <w:sz w:val="28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מסכימה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rtl w:val="true"/>
        </w:rPr>
        <w:t xml:space="preserve">                                                                                                           </w:t>
      </w: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השופטת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u w:val="single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י</w:t>
      </w:r>
      <w:r>
        <w:rPr>
          <w:rFonts w:cs="Miriam" w:ascii="Times New Roman" w:hAnsi="Times New Roman"/>
          <w:spacing w:val="0"/>
          <w:sz w:val="28"/>
          <w:szCs w:val="24"/>
          <w:u w:val="single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וילנר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:</w:t>
      </w:r>
    </w:p>
    <w:p>
      <w:pPr>
        <w:pStyle w:val="Ruller4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cs="Miriam" w:ascii="Times New Roman" w:hAnsi="Times New Roman"/>
          <w:spacing w:val="0"/>
          <w:sz w:val="28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מסכימה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rtl w:val="true"/>
        </w:rPr>
        <w:t xml:space="preserve">                                                                                                          </w:t>
      </w: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הוחלט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הנדל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color w:val="FFFFFF"/>
          <w:sz w:val="2"/>
          <w:szCs w:val="2"/>
        </w:rPr>
        <w:t>5129371</w:t>
      </w:r>
      <w:r>
        <w:rPr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ט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2.1.2018</w:t>
      </w:r>
      <w:r>
        <w:rPr>
          <w:rtl w:val="true"/>
        </w:rPr>
        <w:t xml:space="preserve">).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</w:tr>
    </w:tbl>
    <w:p>
      <w:pPr>
        <w:pStyle w:val="Normal"/>
        <w:ind w:end="0"/>
        <w:jc w:val="start"/>
        <w:rPr/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tl w:val="true"/>
        </w:rPr>
        <w:t>העותק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וניסוח</w:t>
      </w:r>
      <w:r>
        <w:rPr>
          <w:rtl w:val="true"/>
        </w:rPr>
        <w:t>.</w:t>
      </w:r>
      <w:r>
        <w:rPr>
          <w:sz w:val="16"/>
          <w:rtl w:val="true"/>
        </w:rPr>
        <w:t xml:space="preserve">   </w:t>
      </w:r>
      <w:r>
        <w:rPr>
          <w:sz w:val="16"/>
        </w:rPr>
        <w:t>17041610</w:t>
      </w:r>
      <w:r>
        <w:rPr>
          <w:sz w:val="16"/>
          <w:rtl w:val="true"/>
        </w:rPr>
        <w:t>_</w:t>
      </w:r>
      <w:r>
        <w:rPr>
          <w:sz w:val="16"/>
        </w:rPr>
        <w:t>Z01.doc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מא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5">
        <w:r>
          <w:rPr>
            <w:rStyle w:val="Hyperlink"/>
            <w:sz w:val="16"/>
          </w:rPr>
          <w:t>www.court.gov.il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נ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הנדל </w:t>
      </w:r>
      <w:r>
        <w:rPr>
          <w:rFonts w:cs="David" w:ascii="David" w:hAnsi="David"/>
          <w:color w:val="000000"/>
          <w:szCs w:val="22"/>
        </w:rPr>
        <w:t>54678313-4161/17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6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7"/>
      <w:footerReference w:type="default" r:id="rId8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 Light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Cambria">
    <w:charset w:val="00" w:characterSet="windows-1252"/>
    <w:family w:val="roman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7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</w:rPr>
    </w:pPr>
    <w:r>
      <w:rPr>
        <w:rFonts w:cs="FrankRuehl" w:ascii="FrankRuehl" w:hAnsi="FrankRuehl"/>
        <w:color w:val="000000"/>
        <w:sz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4161/17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פלוני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ind w:hanging="0" w:start="0" w:end="0"/>
      <w:jc w:val="start"/>
      <w:outlineLvl w:val="0"/>
    </w:pPr>
    <w:rPr>
      <w:rFonts w:ascii="Calibri Light" w:hAnsi="Calibri Light" w:eastAsia="Times New Roman" w:cs="Times New Roman"/>
      <w:b/>
      <w:bCs/>
      <w:kern w:val="2"/>
      <w:sz w:val="32"/>
      <w:szCs w:val="32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CharChar">
    <w:name w:val=" Char Char"/>
    <w:qFormat/>
    <w:rPr>
      <w:rFonts w:ascii="Calibri Light" w:hAnsi="Calibri Light" w:eastAsia="Times New Roman" w:cs="Times New Roman"/>
      <w:b/>
      <w:bCs/>
      <w:kern w:val="2"/>
      <w:sz w:val="32"/>
      <w:szCs w:val="32"/>
    </w:rPr>
  </w:style>
  <w:style w:type="character" w:styleId="Style13">
    <w:name w:val="ציטוט בפסק דין תו"/>
    <w:qFormat/>
    <w:rPr>
      <w:rFonts w:cs="FrankRuehl"/>
      <w:spacing w:val="10"/>
      <w:sz w:val="24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tabs>
        <w:tab w:val="clear" w:pos="720"/>
        <w:tab w:val="left" w:pos="3210" w:leader="none"/>
        <w:tab w:val="left" w:pos="6753" w:leader="none"/>
      </w:tabs>
      <w:spacing w:lineRule="auto" w:line="360"/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>
      <w:bCs/>
    </w:rPr>
  </w:style>
  <w:style w:type="paragraph" w:styleId="FirstpagestylePsakdin">
    <w:name w:val="First page style Psak din"/>
    <w:basedOn w:val="Ruller31"/>
    <w:qFormat/>
    <w:pPr>
      <w:tabs>
        <w:tab w:val="clear" w:pos="3210"/>
        <w:tab w:val="left" w:pos="3209" w:leader="none"/>
        <w:tab w:val="left" w:pos="6753" w:leader="none"/>
      </w:tabs>
      <w:spacing w:lineRule="auto" w:line="360"/>
      <w:ind w:hanging="0" w:start="0" w:end="0"/>
      <w:jc w:val="start"/>
    </w:pPr>
    <w:rPr>
      <w:bCs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">
    <w:name w:val="Ruller4"/>
    <w:basedOn w:val="Normal"/>
    <w:qFormat/>
    <w:pPr>
      <w:tabs>
        <w:tab w:val="clear" w:pos="720"/>
        <w:tab w:val="left" w:pos="800" w:leader="none"/>
      </w:tabs>
      <w:spacing w:lineRule="auto" w:line="360"/>
      <w:ind w:hanging="0" w:start="0" w:end="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>
      <w:tabs>
        <w:tab w:val="clear" w:pos="720"/>
        <w:tab w:val="left" w:pos="794" w:leader="none"/>
        <w:tab w:val="left" w:pos="2268" w:leader="none"/>
        <w:tab w:val="left" w:pos="5783" w:leader="none"/>
        <w:tab w:val="left" w:pos="7371" w:leader="none"/>
      </w:tabs>
      <w:ind w:hanging="0" w:start="0" w:end="0"/>
      <w:jc w:val="start"/>
    </w:pPr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>
      <w:spacing w:lineRule="auto" w:line="360"/>
      <w:ind w:hanging="0" w:start="0" w:end="0"/>
      <w:jc w:val="both"/>
    </w:pPr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2">
    <w:name w:val="ñâðåï2"/>
    <w:basedOn w:val="Normal"/>
    <w:qFormat/>
    <w:pPr>
      <w:overflowPunct w:val="true"/>
      <w:ind w:hanging="0" w:start="0" w:end="0"/>
      <w:jc w:val="start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tabs>
        <w:tab w:val="clear" w:pos="720"/>
        <w:tab w:val="left" w:pos="2552" w:leader="none"/>
      </w:tabs>
      <w:overflowPunct w:val="true"/>
      <w:ind w:hanging="0" w:start="0" w:end="2549"/>
      <w:jc w:val="start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ind w:hanging="0" w:start="0" w:end="0"/>
      <w:jc w:val="start"/>
    </w:pPr>
    <w:rPr>
      <w:szCs w:val="28"/>
    </w:rPr>
  </w:style>
  <w:style w:type="paragraph" w:styleId="BODYVERDICT">
    <w:name w:val="BODY VERDICT"/>
    <w:basedOn w:val="Normal"/>
    <w:qFormat/>
    <w:pPr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Style14">
    <w:name w:val="ציטוט בפסק דין"/>
    <w:basedOn w:val="Normal"/>
    <w:qFormat/>
    <w:pPr>
      <w:ind w:hanging="0" w:start="1642" w:end="1282"/>
      <w:jc w:val="both"/>
    </w:pPr>
    <w:rPr>
      <w:rFonts w:cs="FrankRuehl"/>
      <w:spacing w:val="10"/>
      <w:sz w:val="24"/>
      <w:szCs w:val="2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0943135" TargetMode="External"/><Relationship Id="rId3" Type="http://schemas.openxmlformats.org/officeDocument/2006/relationships/hyperlink" Target="http://www.nevo.co.il/case/20942958" TargetMode="External"/><Relationship Id="rId4" Type="http://schemas.openxmlformats.org/officeDocument/2006/relationships/hyperlink" Target="http://www.nevo.co.il/case/22154735" TargetMode="External"/><Relationship Id="rId5" Type="http://schemas.openxmlformats.org/officeDocument/2006/relationships/hyperlink" Target="http://www.court.gov.il/" TargetMode="External"/><Relationship Id="rId6" Type="http://schemas.openxmlformats.org/officeDocument/2006/relationships/hyperlink" Target="http://www.nevo.co.il/advertisements/nevo-100.doc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2018-01-04T11:25:00Z</dcterms:created>
  <dc:creator> </dc:creator>
  <dc:description/>
  <cp:keywords/>
  <dc:language>en-IL</dc:language>
  <cp:lastModifiedBy>orly</cp:lastModifiedBy>
  <cp:lastPrinted>2005-02-10T11:00:00Z</cp:lastPrinted>
  <dcterms:modified xsi:type="dcterms:W3CDTF">2018-01-04T11:25:00Z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פלוני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ישראל;פלוני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ProcID=133;209&amp;PartA=4161&amp;PartC=17</vt:lpwstr>
  </property>
  <property fmtid="{D5CDD505-2E9C-101B-9397-08002B2CF9AE}" pid="9" name="CASENOTES2">
    <vt:lpwstr>ProcID=133;209&amp;PartA=6919&amp;PartC=17</vt:lpwstr>
  </property>
  <property fmtid="{D5CDD505-2E9C-101B-9397-08002B2CF9AE}" pid="10" name="CASESLISTTMP1">
    <vt:lpwstr>20943135;20942958;22154735</vt:lpwstr>
  </property>
  <property fmtid="{D5CDD505-2E9C-101B-9397-08002B2CF9AE}" pid="11" name="CITY">
    <vt:lpwstr/>
  </property>
  <property fmtid="{D5CDD505-2E9C-101B-9397-08002B2CF9AE}" pid="12" name="DATE">
    <vt:lpwstr>20180102</vt:lpwstr>
  </property>
  <property fmtid="{D5CDD505-2E9C-101B-9397-08002B2CF9AE}" pid="13" name="DELEMATA">
    <vt:lpwstr/>
  </property>
  <property fmtid="{D5CDD505-2E9C-101B-9397-08002B2CF9AE}" pid="14" name="ISABSTRACT">
    <vt:lpwstr>Y</vt:lpwstr>
  </property>
  <property fmtid="{D5CDD505-2E9C-101B-9397-08002B2CF9AE}" pid="15" name="JUDGE">
    <vt:lpwstr>נ' הנדל;ע' ברון;י' וילנר</vt:lpwstr>
  </property>
  <property fmtid="{D5CDD505-2E9C-101B-9397-08002B2CF9AE}" pid="16" name="LAWYER">
    <vt:lpwstr>ג'ואי אש;ורד בירגר;עופר אשכנזי;טלי סמואל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METAKZER">
    <vt:lpwstr>נעה</vt:lpwstr>
  </property>
  <property fmtid="{D5CDD505-2E9C-101B-9397-08002B2CF9AE}" pid="23" name="NEWPARTA">
    <vt:lpwstr/>
  </property>
  <property fmtid="{D5CDD505-2E9C-101B-9397-08002B2CF9AE}" pid="24" name="NEWPARTB">
    <vt:lpwstr/>
  </property>
  <property fmtid="{D5CDD505-2E9C-101B-9397-08002B2CF9AE}" pid="25" name="NEWPARTC">
    <vt:lpwstr/>
  </property>
  <property fmtid="{D5CDD505-2E9C-101B-9397-08002B2CF9AE}" pid="26" name="NEWPROC">
    <vt:lpwstr/>
  </property>
  <property fmtid="{D5CDD505-2E9C-101B-9397-08002B2CF9AE}" pid="27" name="NOSE11">
    <vt:lpwstr>עונשין</vt:lpwstr>
  </property>
  <property fmtid="{D5CDD505-2E9C-101B-9397-08002B2CF9AE}" pid="28" name="NOSE110">
    <vt:lpwstr/>
  </property>
  <property fmtid="{D5CDD505-2E9C-101B-9397-08002B2CF9AE}" pid="29" name="NOSE12">
    <vt:lpwstr>דיון פלילי</vt:lpwstr>
  </property>
  <property fmtid="{D5CDD505-2E9C-101B-9397-08002B2CF9AE}" pid="30" name="NOSE13">
    <vt:lpwstr>עונשין</vt:lpwstr>
  </property>
  <property fmtid="{D5CDD505-2E9C-101B-9397-08002B2CF9AE}" pid="31" name="NOSE14">
    <vt:lpwstr/>
  </property>
  <property fmtid="{D5CDD505-2E9C-101B-9397-08002B2CF9AE}" pid="32" name="NOSE15">
    <vt:lpwstr/>
  </property>
  <property fmtid="{D5CDD505-2E9C-101B-9397-08002B2CF9AE}" pid="33" name="NOSE16">
    <vt:lpwstr/>
  </property>
  <property fmtid="{D5CDD505-2E9C-101B-9397-08002B2CF9AE}" pid="34" name="NOSE17">
    <vt:lpwstr/>
  </property>
  <property fmtid="{D5CDD505-2E9C-101B-9397-08002B2CF9AE}" pid="35" name="NOSE18">
    <vt:lpwstr/>
  </property>
  <property fmtid="{D5CDD505-2E9C-101B-9397-08002B2CF9AE}" pid="36" name="NOSE19">
    <vt:lpwstr/>
  </property>
  <property fmtid="{D5CDD505-2E9C-101B-9397-08002B2CF9AE}" pid="37" name="NOSE1ID">
    <vt:lpwstr>77;18;77</vt:lpwstr>
  </property>
  <property fmtid="{D5CDD505-2E9C-101B-9397-08002B2CF9AE}" pid="38" name="NOSE21">
    <vt:lpwstr>ענישה</vt:lpwstr>
  </property>
  <property fmtid="{D5CDD505-2E9C-101B-9397-08002B2CF9AE}" pid="39" name="NOSE210">
    <vt:lpwstr/>
  </property>
  <property fmtid="{D5CDD505-2E9C-101B-9397-08002B2CF9AE}" pid="40" name="NOSE22">
    <vt:lpwstr>הרשעה</vt:lpwstr>
  </property>
  <property fmtid="{D5CDD505-2E9C-101B-9397-08002B2CF9AE}" pid="41" name="NOSE23">
    <vt:lpwstr>ענישה</vt:lpwstr>
  </property>
  <property fmtid="{D5CDD505-2E9C-101B-9397-08002B2CF9AE}" pid="42" name="NOSE24">
    <vt:lpwstr/>
  </property>
  <property fmtid="{D5CDD505-2E9C-101B-9397-08002B2CF9AE}" pid="43" name="NOSE25">
    <vt:lpwstr/>
  </property>
  <property fmtid="{D5CDD505-2E9C-101B-9397-08002B2CF9AE}" pid="44" name="NOSE26">
    <vt:lpwstr/>
  </property>
  <property fmtid="{D5CDD505-2E9C-101B-9397-08002B2CF9AE}" pid="45" name="NOSE27">
    <vt:lpwstr/>
  </property>
  <property fmtid="{D5CDD505-2E9C-101B-9397-08002B2CF9AE}" pid="46" name="NOSE28">
    <vt:lpwstr/>
  </property>
  <property fmtid="{D5CDD505-2E9C-101B-9397-08002B2CF9AE}" pid="47" name="NOSE29">
    <vt:lpwstr/>
  </property>
  <property fmtid="{D5CDD505-2E9C-101B-9397-08002B2CF9AE}" pid="48" name="NOSE2ID">
    <vt:lpwstr>1446;465;1446</vt:lpwstr>
  </property>
  <property fmtid="{D5CDD505-2E9C-101B-9397-08002B2CF9AE}" pid="49" name="NOSE31">
    <vt:lpwstr>מדיניות ענישה: יידוי אבנים</vt:lpwstr>
  </property>
  <property fmtid="{D5CDD505-2E9C-101B-9397-08002B2CF9AE}" pid="50" name="NOSE310">
    <vt:lpwstr/>
  </property>
  <property fmtid="{D5CDD505-2E9C-101B-9397-08002B2CF9AE}" pid="51" name="NOSE32">
    <vt:lpwstr>הימנעות מהרשעה</vt:lpwstr>
  </property>
  <property fmtid="{D5CDD505-2E9C-101B-9397-08002B2CF9AE}" pid="52" name="NOSE33">
    <vt:lpwstr>מדיניות ענישה: נוער</vt:lpwstr>
  </property>
  <property fmtid="{D5CDD505-2E9C-101B-9397-08002B2CF9AE}" pid="53" name="NOSE34">
    <vt:lpwstr/>
  </property>
  <property fmtid="{D5CDD505-2E9C-101B-9397-08002B2CF9AE}" pid="54" name="NOSE35">
    <vt:lpwstr/>
  </property>
  <property fmtid="{D5CDD505-2E9C-101B-9397-08002B2CF9AE}" pid="55" name="NOSE36">
    <vt:lpwstr/>
  </property>
  <property fmtid="{D5CDD505-2E9C-101B-9397-08002B2CF9AE}" pid="56" name="NOSE37">
    <vt:lpwstr/>
  </property>
  <property fmtid="{D5CDD505-2E9C-101B-9397-08002B2CF9AE}" pid="57" name="NOSE38">
    <vt:lpwstr/>
  </property>
  <property fmtid="{D5CDD505-2E9C-101B-9397-08002B2CF9AE}" pid="58" name="NOSE39">
    <vt:lpwstr/>
  </property>
  <property fmtid="{D5CDD505-2E9C-101B-9397-08002B2CF9AE}" pid="59" name="NOSE3ID">
    <vt:lpwstr>16102;3634;8983</vt:lpwstr>
  </property>
  <property fmtid="{D5CDD505-2E9C-101B-9397-08002B2CF9AE}" pid="60" name="PADIDATE">
    <vt:lpwstr>20180104</vt:lpwstr>
  </property>
  <property fmtid="{D5CDD505-2E9C-101B-9397-08002B2CF9AE}" pid="61" name="PADIMAIL">
    <vt:lpwstr>YES</vt:lpwstr>
  </property>
  <property fmtid="{D5CDD505-2E9C-101B-9397-08002B2CF9AE}" pid="62" name="PAGE">
    <vt:lpwstr/>
  </property>
  <property fmtid="{D5CDD505-2E9C-101B-9397-08002B2CF9AE}" pid="63" name="PART">
    <vt:lpwstr/>
  </property>
  <property fmtid="{D5CDD505-2E9C-101B-9397-08002B2CF9AE}" pid="64" name="PROCESS">
    <vt:lpwstr>עפ;עפ</vt:lpwstr>
  </property>
  <property fmtid="{D5CDD505-2E9C-101B-9397-08002B2CF9AE}" pid="65" name="PROCNUM">
    <vt:lpwstr>4161;6919</vt:lpwstr>
  </property>
  <property fmtid="{D5CDD505-2E9C-101B-9397-08002B2CF9AE}" pid="66" name="PROCYEAR">
    <vt:lpwstr>17;17</vt:lpwstr>
  </property>
  <property fmtid="{D5CDD505-2E9C-101B-9397-08002B2CF9AE}" pid="67" name="PSAKDIN">
    <vt:lpwstr>פסק-דין</vt:lpwstr>
  </property>
  <property fmtid="{D5CDD505-2E9C-101B-9397-08002B2CF9AE}" pid="68" name="TYPE">
    <vt:lpwstr>1</vt:lpwstr>
  </property>
  <property fmtid="{D5CDD505-2E9C-101B-9397-08002B2CF9AE}" pid="69" name="TYPE_ABS_DATE">
    <vt:lpwstr>410120180102</vt:lpwstr>
  </property>
  <property fmtid="{D5CDD505-2E9C-101B-9397-08002B2CF9AE}" pid="70" name="TYPE_N_DATE">
    <vt:lpwstr>41020180102</vt:lpwstr>
  </property>
  <property fmtid="{D5CDD505-2E9C-101B-9397-08002B2CF9AE}" pid="71" name="VOLUME">
    <vt:lpwstr/>
  </property>
  <property fmtid="{D5CDD505-2E9C-101B-9397-08002B2CF9AE}" pid="72" name="WORDNUMPAGES">
    <vt:lpwstr>6</vt:lpwstr>
  </property>
</Properties>
</file>