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4176/19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4200/19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4216/19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המשנה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מלצר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מינץ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bookmarkStart w:id="3" w:name="FirstAppellant"/>
            <w:bookmarkEnd w:id="3"/>
            <w:r>
              <w:rPr>
                <w:rFonts w:ascii="David" w:hAnsi="David"/>
                <w:rtl w:val="true"/>
              </w:rPr>
              <w:t>המערער</w:t>
            </w:r>
            <w:r>
              <w:rPr>
                <w:rFonts w:ascii="David" w:hAnsi="David"/>
                <w:rtl w:val="true"/>
              </w:rPr>
              <w:t xml:space="preserve">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4176/19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4200/19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cs="David" w:ascii="David" w:hAnsi="David"/>
                <w:rtl w:val="true"/>
              </w:rPr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המערער ב</w:t>
            </w:r>
            <w:r>
              <w:rPr>
                <w:rFonts w:cs="David" w:ascii="David" w:hAnsi="David"/>
                <w:rtl w:val="true"/>
              </w:rPr>
              <w:t>-</w:t>
            </w:r>
            <w:r>
              <w:rPr>
                <w:rFonts w:ascii="David" w:hAnsi="David"/>
                <w:rtl w:val="true"/>
              </w:rPr>
              <w:t>ע</w:t>
            </w:r>
            <w:r>
              <w:rPr>
                <w:rFonts w:cs="David" w:ascii="David" w:hAnsi="David"/>
                <w:rtl w:val="true"/>
              </w:rPr>
              <w:t>"</w:t>
            </w:r>
            <w:r>
              <w:rPr>
                <w:rFonts w:ascii="David" w:hAnsi="David"/>
                <w:rtl w:val="true"/>
              </w:rPr>
              <w:t xml:space="preserve">פ </w:t>
            </w:r>
            <w:r>
              <w:rPr>
                <w:rFonts w:cs="David" w:ascii="David" w:hAnsi="David"/>
              </w:rPr>
              <w:t>4216/19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" w:hAnsi="David" w:cs="David"/>
              </w:rPr>
            </w:pPr>
            <w:r>
              <w:rPr>
                <w:rFonts w:ascii="David" w:hAnsi="David"/>
                <w:rtl w:val="true"/>
              </w:rPr>
              <w:t>המשיב</w:t>
            </w:r>
            <w:r>
              <w:rPr>
                <w:rFonts w:ascii="David" w:hAnsi="David"/>
                <w:rtl w:val="true"/>
              </w:rPr>
              <w:t>ה</w:t>
            </w:r>
            <w:r>
              <w:rPr>
                <w:rFonts w:cs="David" w:ascii="David" w:hAnsi="David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rFonts w:ascii="Century" w:hAnsi="Century" w:cs="Miriam"/>
                <w:b/>
                <w:szCs w:val="24"/>
              </w:rPr>
            </w:pP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ערעור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פסק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דינו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המשפט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המחוזי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לנוער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ירושלים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ב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-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ת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>"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פ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46056-05-18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מיום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cs="Miriam" w:ascii="Century" w:hAnsi="Century"/>
                <w:b/>
                <w:szCs w:val="24"/>
              </w:rPr>
              <w:t>6.5.2019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שניתן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על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ידי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השופט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העמית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י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צבן</w:t>
            </w:r>
            <w:r>
              <w:rPr>
                <w:rFonts w:ascii="Century" w:hAnsi="Century" w:eastAsia="Century" w:cs="Century"/>
                <w:b/>
                <w:b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ו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בכסלו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ף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4.12.2019</w:t>
            </w:r>
            <w:r>
              <w:rPr>
                <w:rtl w:val="true"/>
              </w:rPr>
              <w:t>)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4176/19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פרחאת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עאטף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4200/19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אוסמה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חלבי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4216/19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רעות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רוזנר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זלושינסקי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1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מתורגמן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עבדול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רחמן</w:t>
            </w:r>
            <w:r>
              <w:rPr>
                <w:rFonts w:cs="Times New Roman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bookmarkStart w:id="5" w:name="LawTable"/>
      <w:bookmarkEnd w:id="5"/>
      <w:r>
        <w:rPr>
          <w:rFonts w:ascii="FrankRuehl" w:hAnsi="FrankRuehl"/>
          <w:spacing w:val="0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2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332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)</w:t>
        </w:r>
      </w:hyperlink>
    </w:p>
    <w:p>
      <w:pPr>
        <w:pStyle w:val="Ruller31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pacing w:val="0"/>
          <w:sz w:val="24"/>
          <w:szCs w:val="24"/>
        </w:rPr>
      </w:pPr>
      <w:hyperlink r:id="rId5"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 xml:space="preserve">חוק הנוער 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שפיטה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ענישה ודרכי טיפול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 xml:space="preserve">), 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/>
            <w:color w:val="0000FF"/>
            <w:spacing w:val="0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1971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: </w:t>
      </w:r>
      <w:r>
        <w:rPr>
          <w:rFonts w:ascii="FrankRuehl" w:hAnsi="FrankRuehl"/>
          <w:spacing w:val="0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21</w:t>
        </w:r>
      </w:hyperlink>
      <w:r>
        <w:rPr>
          <w:rFonts w:cs="FrankRuehl" w:ascii="FrankRuehl" w:hAnsi="FrankRuehl"/>
          <w:spacing w:val="0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pacing w:val="0"/>
            <w:sz w:val="24"/>
            <w:szCs w:val="24"/>
            <w:u w:val="single"/>
          </w:rPr>
          <w:t>24</w:t>
        </w:r>
      </w:hyperlink>
    </w:p>
    <w:p>
      <w:pPr>
        <w:pStyle w:val="Ruller31"/>
        <w:ind w:end="0"/>
        <w:jc w:val="start"/>
        <w:rPr>
          <w:rFonts w:ascii="FrankRuehl" w:hAnsi="FrankRuehl" w:cs="FrankRuehl"/>
          <w:spacing w:val="0"/>
          <w:sz w:val="24"/>
          <w:szCs w:val="24"/>
        </w:rPr>
      </w:pPr>
      <w:r>
        <w:rPr>
          <w:rFonts w:cs="FrankRuehl" w:ascii="FrankRuehl" w:hAnsi="FrankRuehl"/>
          <w:spacing w:val="0"/>
          <w:sz w:val="24"/>
          <w:szCs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נדחה ערעור על הרשעת המערערים בבימ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בעבירה של יידוי אבן לעבר כלי תחבורה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נפסק כי האינטרס הציבורי מטה את הכף לעבר 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גילם הצעיר של המערערים והתסקירים החיוביים שהוגשו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נוכח שיקולים אלה הושתה על המערערים ענישה מקלה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יידוי אבנים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שפיטה – הרשעה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נוער – ענישה – שיקול בית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המשפט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שלושה ערעורים על גזר דינו של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המחוזי לנוער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בגדרו נקבע כי יש להרשיע את המערערים בעבירה של יידוי אבן לעבר כלי תחבורה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ונגזר על כל אחד מהם צו מבחן למשך שנה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ועונשים נלווים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 נסב נגד ההרשעה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אלרון ובהסכמת המשנה לנשיאה מלצר והשופט מינץ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נקודת המוצא היא ההסדר הקבוע בסעיפים </w:t>
      </w:r>
      <w:r>
        <w:rPr>
          <w:rFonts w:cs="Times New Roman" w:ascii="Times New Roman" w:hAnsi="Times New Roman"/>
          <w:spacing w:val="0"/>
          <w:szCs w:val="26"/>
        </w:rPr>
        <w:t>21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24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לחוק הנוער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שפיטה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ענישה ודרכי טיפול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>התשל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א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1971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לפיו על בית המשפט לנוער להכריע בשלב הראשון האם הקטין ביצע את העבירות המיוחסות 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בשלב הבא לבחון האם יש להרשיעו בדינו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בכל הנוגע לאי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נאשם בגיר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לאזן בין נסיבותיו האישיות של הנאשם לבין האינטרס הציבורי שבהרשעתו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במסגרת בחינת האינטרס הציבורי שבהרשעה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נדרש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לבחון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בין היתר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חומרת העבירה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את נסיבות ביצועה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וכן צרכי הרתעה והגנה על הציבור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בהקשר זה כבר נפסק כי בנאשם בגיר יינתן משקל עודף לטובת האינטרס הציבורי שבהרשעתו על פני התחשבות בנסיבותיו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לעומת זאת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כאשר נדרש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לדון באי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הרשעת נאשם קטין יש ליתן משקל רב יותר לנסיבותיו האישיות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ובכלל זה גילו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הנזק הצפוי לו מהרשעתו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וסיכויי שיקומו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על פני האינטרס הציבורי שבהרשעתו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ואולם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קטינות אינה חסינות ובמקרים מתאימים האינטרס הציבורי שבהרשעה יגבר על פני התחשבות בנסיבות האישיות של נאשם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קטין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 </w:t>
      </w:r>
    </w:p>
    <w:p>
      <w:pPr>
        <w:pStyle w:val="Ruller41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בנסיבות המקרה אין להקל ראש בחומרת מעשי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יידוי אבנים על כלי רכב מסכן את חיי נוסעי הרכב ושל העוברים ושבים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משבש את שגרת חייהם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ופוגם בתחושת הביטחון שלהם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האבנים אותם השליכו המערערים ניפצו את שמשת רכב ההסעות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אבן אחת חדרה אל תוך הרכב בעת ששהו בו </w:t>
      </w:r>
      <w:r>
        <w:rPr>
          <w:rFonts w:cs="Times New Roman" w:ascii="Times New Roman" w:hAnsi="Times New Roman"/>
          <w:spacing w:val="0"/>
          <w:szCs w:val="26"/>
        </w:rPr>
        <w:t>17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אנשים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ורק בנס לא נגמר אירוע זה בפגיעה בגוף או בנפש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זאת ועוד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יש לייחס חומרה יתירה למעשי המערערים שיידו את האבנים לעבר כלי רכב מלא באנשים מתוך סברה שמדובר ביהודים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תופעת יידוי האבנים הפכה רווחת בשנים האחרונות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ולפיכך בתיקון </w:t>
      </w:r>
      <w:r>
        <w:rPr>
          <w:rFonts w:cs="Times New Roman" w:ascii="Times New Roman" w:hAnsi="Times New Roman"/>
          <w:spacing w:val="0"/>
          <w:szCs w:val="26"/>
        </w:rPr>
        <w:t>119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לחוק העונשין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נחקק סעיף </w:t>
      </w:r>
      <w:r>
        <w:rPr>
          <w:rFonts w:cs="Times New Roman" w:ascii="Times New Roman" w:hAnsi="Times New Roman"/>
          <w:spacing w:val="0"/>
          <w:szCs w:val="26"/>
        </w:rPr>
        <w:t>332</w:t>
      </w:r>
      <w:r>
        <w:rPr>
          <w:rFonts w:ascii="Times New Roman" w:hAnsi="Times New Roman" w:cs="Times New Roman"/>
          <w:spacing w:val="0"/>
          <w:szCs w:val="26"/>
          <w:rtl w:val="true"/>
        </w:rPr>
        <w:t>א המפחית את היסוד הנפשי הנדרש לצורך הרשעה בעבירה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לנוכח האמור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מדיניות הענישה הנוהגת בשנים האחרונות בגין ביצוע עבירות מעין אלו מחמירה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ומעניקה משקל ממשי לשיקולי הרתעה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לא פעם מורשעים נאשמים קטינים בגין ביצוע עבירות דומות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גילם הצעיר ומכלול נסיבותיהם האישית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בענייננו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האינטרס הציבורי כבד המשקל מטה את הכף לעבר הרשעת המערערים בעבירה אותה ביצעו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גילם הצעיר והתסקירים החיוביים שהוגשו בעניינם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אלו לא נעלמו מעיני 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ומכאן גם הענישה המקלה שהושתה על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31"/>
        <w:ind w:end="0"/>
        <w:jc w:val="start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/>
          <w:spacing w:val="0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Ruller41"/>
        <w:numPr>
          <w:ilvl w:val="0"/>
          <w:numId w:val="1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tl w:val="true"/>
        </w:rPr>
        <w:t xml:space="preserve">לפנינו שלושה ערעורים על גזר דינו של בית המשפט המחוזי לנוער בירושלים </w:t>
      </w:r>
      <w:r>
        <w:rPr>
          <w:rtl w:val="true"/>
        </w:rPr>
        <w:t>(</w:t>
      </w:r>
      <w:r>
        <w:rPr>
          <w:rtl w:val="true"/>
        </w:rPr>
        <w:t xml:space="preserve">השופט העמית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צבן</w:t>
      </w:r>
      <w:r>
        <w:rPr>
          <w:rFonts w:cs="Century" w:ascii="Century" w:hAnsi="Century"/>
          <w:sz w:val="22"/>
          <w:rtl w:val="true"/>
        </w:rPr>
        <w:t xml:space="preserve">)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ת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46056-05-18</w:t>
      </w:r>
      <w:r>
        <w:rPr>
          <w:rFonts w:cs="Century" w:ascii="Century" w:hAnsi="Century"/>
          <w:sz w:val="22"/>
          <w:rtl w:val="true"/>
        </w:rPr>
        <w:t xml:space="preserve"> </w:t>
      </w:r>
      <w:r>
        <w:rPr>
          <w:rFonts w:ascii="Century" w:hAnsi="Century" w:cs="Century"/>
          <w:sz w:val="22"/>
          <w:sz w:val="22"/>
          <w:rtl w:val="true"/>
        </w:rPr>
        <w:t xml:space="preserve">מיום </w:t>
      </w:r>
      <w:r>
        <w:rPr>
          <w:rFonts w:cs="Century" w:ascii="Century" w:hAnsi="Century"/>
          <w:sz w:val="22"/>
        </w:rPr>
        <w:t>6.5.2019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בגדרו נקבע כי יש להרשיע את המערערים בעבירה המיוחסת להם בכתב האישום המתוקן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ונגזר על כל אחד מהם צו מבחן למשך שנה</w:t>
      </w:r>
      <w:r>
        <w:rPr>
          <w:rFonts w:cs="Century" w:ascii="Century" w:hAnsi="Century"/>
          <w:sz w:val="22"/>
          <w:rtl w:val="true"/>
        </w:rPr>
        <w:t xml:space="preserve">, </w:t>
      </w:r>
      <w:r>
        <w:rPr>
          <w:rFonts w:ascii="Century" w:hAnsi="Century" w:cs="Century"/>
          <w:sz w:val="22"/>
          <w:sz w:val="22"/>
          <w:rtl w:val="true"/>
        </w:rPr>
        <w:t>ועונשים נלווים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רקע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והליכים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קודמים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על פי המתואר בכתב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24.4.2018</w:t>
      </w:r>
      <w:r>
        <w:rPr>
          <w:rtl w:val="true"/>
        </w:rPr>
        <w:t xml:space="preserve"> </w:t>
      </w:r>
      <w:r>
        <w:rPr>
          <w:rtl w:val="true"/>
        </w:rPr>
        <w:t xml:space="preserve">בסמוך לשעה </w:t>
      </w:r>
      <w:r>
        <w:rPr/>
        <w:t>17:20</w:t>
      </w:r>
      <w:r>
        <w:rPr>
          <w:rtl w:val="true"/>
        </w:rPr>
        <w:t xml:space="preserve"> </w:t>
      </w:r>
      <w:r>
        <w:rPr>
          <w:rtl w:val="true"/>
        </w:rPr>
        <w:t xml:space="preserve">נסע רכב הסעות ובו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נוסעים ממוצא יהודי ברחוב ואדי ג</w:t>
      </w:r>
      <w:r>
        <w:rPr>
          <w:rtl w:val="true"/>
        </w:rPr>
        <w:t>'</w:t>
      </w:r>
      <w:r>
        <w:rPr>
          <w:rtl w:val="true"/>
        </w:rPr>
        <w:t>וז שבירושלים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אשר סברו כי נוסעי הרכב יהודים</w:t>
      </w:r>
      <w:r>
        <w:rPr>
          <w:rtl w:val="true"/>
        </w:rPr>
        <w:t xml:space="preserve">, </w:t>
      </w:r>
      <w:r>
        <w:rPr>
          <w:rtl w:val="true"/>
        </w:rPr>
        <w:t>יידו כל אחד אבן ממרחק קצר לעבר הרכב שנסע בסמוך אליהם</w:t>
      </w:r>
      <w:r>
        <w:rPr>
          <w:rtl w:val="true"/>
        </w:rPr>
        <w:t xml:space="preserve">. </w:t>
      </w:r>
      <w:r>
        <w:rPr>
          <w:rtl w:val="true"/>
        </w:rPr>
        <w:t>כתוצאה מכך</w:t>
      </w:r>
      <w:r>
        <w:rPr>
          <w:rtl w:val="true"/>
        </w:rPr>
        <w:t xml:space="preserve">, </w:t>
      </w:r>
      <w:r>
        <w:rPr>
          <w:rtl w:val="true"/>
        </w:rPr>
        <w:t>נופץ אחד מחלונות הרכב</w:t>
      </w:r>
      <w:r>
        <w:rPr>
          <w:rtl w:val="true"/>
        </w:rPr>
        <w:t xml:space="preserve">, </w:t>
      </w:r>
      <w:r>
        <w:rPr>
          <w:rtl w:val="true"/>
        </w:rPr>
        <w:t>ואחת האבנים חדרה לתוכו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הודאת המערערים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>אשר ניתנה 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קבע בית המשפט המחוזי לנוער כי כל אחד מהם ביצע את העבירה המיוחסת לו </w:t>
      </w:r>
      <w:r>
        <w:rPr>
          <w:rtl w:val="true"/>
        </w:rPr>
        <w:t>–</w:t>
      </w:r>
      <w:r>
        <w:rPr>
          <w:rtl w:val="true"/>
        </w:rPr>
        <w:t xml:space="preserve"> יידוי אבן לעבר כלי תחבורה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332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עריכת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במסגרת תסקירי שירות המבחן לנוער שהוגשו בעניינו של המערער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4200/19</w:t>
      </w:r>
      <w:r>
        <w:rPr>
          <w:rtl w:val="true"/>
        </w:rPr>
        <w:t xml:space="preserve"> (</w:t>
      </w:r>
      <w:r>
        <w:rPr>
          <w:rtl w:val="true"/>
        </w:rPr>
        <w:t xml:space="preserve">יליד </w:t>
      </w:r>
      <w:r>
        <w:rPr/>
        <w:t>17.3.2004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cs="Miriam"/>
          <w:b/>
          <w:b/>
          <w:spacing w:val="0"/>
          <w:szCs w:val="24"/>
          <w:rtl w:val="true"/>
        </w:rPr>
        <w:t>המערער</w:t>
      </w:r>
      <w:r>
        <w:rPr>
          <w:rFonts w:eastAsia="Garamond"/>
          <w:b/>
          <w:b/>
          <w:spacing w:val="0"/>
          <w:szCs w:val="24"/>
          <w:rtl w:val="true"/>
        </w:rPr>
        <w:t xml:space="preserve"> </w:t>
      </w:r>
      <w:r>
        <w:rPr>
          <w:rFonts w:cs="Miriam"/>
          <w:b/>
          <w:spacing w:val="0"/>
          <w:szCs w:val="24"/>
        </w:rPr>
        <w:t>2</w:t>
      </w:r>
      <w:r>
        <w:rPr>
          <w:rtl w:val="true"/>
        </w:rPr>
        <w:t xml:space="preserve">) </w:t>
      </w:r>
      <w:r>
        <w:rPr>
          <w:rtl w:val="true"/>
        </w:rPr>
        <w:t xml:space="preserve">ובעניין המערער </w:t>
      </w:r>
      <w:r>
        <w:rPr>
          <w:rFonts w:ascii="Century" w:hAnsi="Century" w:cs="Century"/>
          <w:sz w:val="22"/>
          <w:sz w:val="22"/>
          <w:rtl w:val="true"/>
        </w:rPr>
        <w:t>ב</w:t>
      </w:r>
      <w:r>
        <w:rPr>
          <w:rFonts w:ascii="Century" w:hAnsi="Century" w:cs="Century"/>
          <w:sz w:val="22"/>
          <w:sz w:val="22"/>
          <w:rtl w:val="true"/>
        </w:rPr>
        <w:t>ע</w:t>
      </w:r>
      <w:r>
        <w:rPr>
          <w:rFonts w:cs="Century" w:ascii="Century" w:hAnsi="Century"/>
          <w:sz w:val="22"/>
          <w:rtl w:val="true"/>
        </w:rPr>
        <w:t>"</w:t>
      </w:r>
      <w:r>
        <w:rPr>
          <w:rFonts w:ascii="Century" w:hAnsi="Century" w:cs="Century"/>
          <w:sz w:val="22"/>
          <w:sz w:val="22"/>
          <w:rtl w:val="true"/>
        </w:rPr>
        <w:t>פ</w:t>
      </w:r>
      <w:r>
        <w:rPr>
          <w:rFonts w:ascii="Century" w:hAnsi="Century" w:cs="Century"/>
          <w:sz w:val="22"/>
          <w:sz w:val="22"/>
          <w:rtl w:val="true"/>
        </w:rPr>
        <w:t xml:space="preserve"> </w:t>
      </w:r>
      <w:r>
        <w:rPr>
          <w:rFonts w:cs="Century" w:ascii="Century" w:hAnsi="Century"/>
          <w:sz w:val="22"/>
        </w:rPr>
        <w:t>4216/19</w:t>
      </w:r>
      <w:r>
        <w:rPr>
          <w:rtl w:val="true"/>
        </w:rPr>
        <w:t xml:space="preserve"> (</w:t>
      </w:r>
      <w:r>
        <w:rPr>
          <w:rtl w:val="true"/>
        </w:rPr>
        <w:t xml:space="preserve">יליד </w:t>
      </w:r>
      <w:r>
        <w:rPr/>
        <w:t>19.3.2003</w:t>
      </w:r>
      <w:r>
        <w:rPr>
          <w:rtl w:val="true"/>
        </w:rPr>
        <w:t xml:space="preserve">;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3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 </w:t>
      </w:r>
      <w:r>
        <w:rPr>
          <w:rtl w:val="true"/>
        </w:rPr>
        <w:t>הומלץ להימנע מהרשעתם בעבירה אותה ביצעו לנוכח גילם הצעיר</w:t>
      </w:r>
      <w:r>
        <w:rPr>
          <w:rtl w:val="true"/>
        </w:rPr>
        <w:t xml:space="preserve">, </w:t>
      </w:r>
      <w:r>
        <w:rPr>
          <w:rtl w:val="true"/>
        </w:rPr>
        <w:t>השתלבותם בתוכניות טיפוליות</w:t>
      </w:r>
      <w:r>
        <w:rPr>
          <w:rtl w:val="true"/>
        </w:rPr>
        <w:t xml:space="preserve">, </w:t>
      </w:r>
      <w:r>
        <w:rPr>
          <w:rtl w:val="true"/>
        </w:rPr>
        <w:t>ובשל כך שהביעו חרטה על מעשיהם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לעומת זאת</w:t>
      </w:r>
      <w:r>
        <w:rPr>
          <w:rtl w:val="true"/>
        </w:rPr>
        <w:t xml:space="preserve">, </w:t>
      </w:r>
      <w:r>
        <w:rPr>
          <w:rtl w:val="true"/>
        </w:rPr>
        <w:t>בתסקיר המבחן שהוגש בעניינו של 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4176/19</w:t>
      </w:r>
      <w:r>
        <w:rPr>
          <w:rFonts w:cs="Miriam" w:ascii="Century" w:hAnsi="Century"/>
          <w:b/>
          <w:spacing w:val="0"/>
          <w:sz w:val="22"/>
          <w:szCs w:val="24"/>
          <w:rtl w:val="true"/>
        </w:rPr>
        <w:t xml:space="preserve"> </w:t>
      </w:r>
      <w:r>
        <w:rPr>
          <w:rFonts w:cs="Century" w:ascii="Century" w:hAnsi="Century"/>
          <w:sz w:val="22"/>
          <w:rtl w:val="true"/>
        </w:rPr>
        <w:t>(</w:t>
      </w:r>
      <w:r>
        <w:rPr>
          <w:rFonts w:ascii="Century" w:hAnsi="Century" w:cs="Century"/>
          <w:sz w:val="22"/>
          <w:sz w:val="22"/>
          <w:rtl w:val="true"/>
        </w:rPr>
        <w:t xml:space="preserve">יליד </w:t>
      </w:r>
      <w:r>
        <w:rPr>
          <w:rFonts w:cs="Century" w:ascii="Century" w:hAnsi="Century"/>
          <w:sz w:val="22"/>
        </w:rPr>
        <w:t>3.6.2003</w:t>
      </w:r>
      <w:r>
        <w:rPr>
          <w:rFonts w:cs="Century" w:ascii="Century" w:hAnsi="Century"/>
          <w:sz w:val="22"/>
          <w:rtl w:val="true"/>
        </w:rPr>
        <w:t xml:space="preserve">; </w:t>
      </w:r>
      <w:r>
        <w:rPr>
          <w:rFonts w:ascii="Century" w:hAnsi="Century" w:cs="Century"/>
          <w:sz w:val="22"/>
          <w:sz w:val="22"/>
          <w:rtl w:val="true"/>
        </w:rPr>
        <w:t>להלן</w:t>
      </w:r>
      <w:r>
        <w:rPr>
          <w:rFonts w:cs="Century" w:ascii="Century" w:hAnsi="Century"/>
          <w:sz w:val="22"/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המערער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cs="Miriam" w:ascii="Century" w:hAnsi="Century"/>
          <w:b/>
          <w:spacing w:val="0"/>
          <w:sz w:val="22"/>
          <w:szCs w:val="24"/>
        </w:rPr>
        <w:t>1</w:t>
      </w:r>
      <w:r>
        <w:rPr>
          <w:rFonts w:cs="Century" w:ascii="Century" w:hAnsi="Century"/>
          <w:sz w:val="22"/>
          <w:rtl w:val="true"/>
        </w:rPr>
        <w:t>)</w:t>
      </w:r>
      <w:r>
        <w:rPr>
          <w:rtl w:val="true"/>
        </w:rPr>
        <w:t xml:space="preserve">, </w:t>
      </w:r>
      <w:r>
        <w:rPr>
          <w:rtl w:val="true"/>
        </w:rPr>
        <w:t>נכתב כי הגם שהלה השתלב בתוכנית טיפולית בשירות המבחן ומבין את הפסול שבמעשיו</w:t>
      </w:r>
      <w:r>
        <w:rPr>
          <w:rtl w:val="true"/>
        </w:rPr>
        <w:t xml:space="preserve">, </w:t>
      </w:r>
      <w:r>
        <w:rPr>
          <w:rtl w:val="true"/>
        </w:rPr>
        <w:t>הוא מתקשה בזיהוי המניעים למעורבותו בביצוע העבירה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 האמור</w:t>
      </w:r>
      <w:r>
        <w:rPr>
          <w:rtl w:val="true"/>
        </w:rPr>
        <w:t xml:space="preserve">, </w:t>
      </w:r>
      <w:r>
        <w:rPr>
          <w:rtl w:val="true"/>
        </w:rPr>
        <w:t xml:space="preserve">הציע שירות המבחן לנוער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ולמשפחתו לבקש לדחות את המשך הדיון בעניינו לצורך המשך טיפולו השיקומי</w:t>
      </w:r>
      <w:r>
        <w:rPr>
          <w:rtl w:val="true"/>
        </w:rPr>
        <w:t xml:space="preserve">, </w:t>
      </w:r>
      <w:r>
        <w:rPr>
          <w:rtl w:val="true"/>
        </w:rPr>
        <w:t>אולם אלו סירבו וטענו כי רצונם שההליך המשפטי בעניינו יסתיים במהרה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ביום </w:t>
      </w:r>
      <w:r>
        <w:rPr/>
        <w:t>7.4.2019</w:t>
      </w:r>
      <w:r>
        <w:rPr>
          <w:rtl w:val="true"/>
        </w:rPr>
        <w:t xml:space="preserve"> </w:t>
      </w:r>
      <w:r>
        <w:rPr>
          <w:rtl w:val="true"/>
        </w:rPr>
        <w:t xml:space="preserve">דחה בית המשפט המחוזי לנוער את בקשת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לדחיית מועד הטיעונים לעונש בעניינו לצורך המשך טיפולו השיקומי </w:t>
      </w:r>
      <w:r>
        <w:rPr>
          <w:rtl w:val="true"/>
        </w:rPr>
        <w:t>–</w:t>
      </w:r>
      <w:r>
        <w:rPr>
          <w:rtl w:val="true"/>
        </w:rPr>
        <w:t xml:space="preserve"> אשר הוגשה לאחר עריכת תסקיר שירות המבחן בעניינו </w:t>
      </w:r>
      <w:r>
        <w:rPr>
          <w:rtl w:val="true"/>
        </w:rPr>
        <w:t>–</w:t>
      </w:r>
      <w:r>
        <w:rPr>
          <w:rtl w:val="true"/>
        </w:rPr>
        <w:t xml:space="preserve"> תוך שנקבע כי התיק מתנהל כבר קרוב לשנה</w:t>
      </w:r>
      <w:r>
        <w:rPr>
          <w:rtl w:val="true"/>
        </w:rPr>
        <w:t xml:space="preserve">, </w:t>
      </w:r>
      <w:r>
        <w:rPr>
          <w:rtl w:val="true"/>
        </w:rPr>
        <w:t>ומן הראוי לסיימו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בגמר דינו</w:t>
      </w:r>
      <w:r>
        <w:rPr>
          <w:rtl w:val="true"/>
        </w:rPr>
        <w:t xml:space="preserve">, </w:t>
      </w:r>
      <w:r>
        <w:rPr>
          <w:rtl w:val="true"/>
        </w:rPr>
        <w:t>עמד בית המשפט המחוזי בהרחבה על תסקירי שירות המבחן לנוער שהוגשו בעניינם של המערערים</w:t>
      </w:r>
      <w:r>
        <w:rPr>
          <w:rtl w:val="true"/>
        </w:rPr>
        <w:t xml:space="preserve">, </w:t>
      </w:r>
      <w:r>
        <w:rPr>
          <w:rtl w:val="true"/>
        </w:rPr>
        <w:t>וציין כי העבירה אותה ביצעו חמורה ומסוכנת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להימנע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;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חתימה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/>
        <w:t>3,000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ימנעו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עובר לדיון שהתקיים לפנינו</w:t>
      </w:r>
      <w:r>
        <w:rPr>
          <w:rtl w:val="true"/>
        </w:rPr>
        <w:t xml:space="preserve">, </w:t>
      </w:r>
      <w:r>
        <w:rPr>
          <w:rtl w:val="true"/>
        </w:rPr>
        <w:t>הוגשו תסקירים משלימים מטעם שירות המבחן לנוער בעניינם של המערערים</w:t>
      </w:r>
      <w:r>
        <w:rPr>
          <w:rtl w:val="true"/>
        </w:rPr>
        <w:t xml:space="preserve">. </w:t>
      </w:r>
      <w:r>
        <w:rPr>
          <w:rtl w:val="true"/>
        </w:rPr>
        <w:t xml:space="preserve">מעיון בתסקירים אלו עולה כי שירות המבחן לנוער שב על המלצתו שלא להרשיע את  המערערים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 xml:space="preserve">והוסיף כי ראוי להימנע גם מהרשעתו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לנוכח ההליך השיקומי אותו עבר מיום מתן גמר הדין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תמצית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בערעורים שלפנינו טוענים המערערים כי לא היה מקום להרשיעם בדין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לשיטתם</w:t>
      </w:r>
      <w:r>
        <w:rPr>
          <w:rtl w:val="true"/>
        </w:rPr>
        <w:t xml:space="preserve">, </w:t>
      </w:r>
      <w:r>
        <w:rPr>
          <w:rtl w:val="true"/>
        </w:rPr>
        <w:t>המלצות שירות המבחן בעניינם</w:t>
      </w:r>
      <w:r>
        <w:rPr>
          <w:rtl w:val="true"/>
        </w:rPr>
        <w:t xml:space="preserve">; </w:t>
      </w:r>
      <w:r>
        <w:rPr>
          <w:rtl w:val="true"/>
        </w:rPr>
        <w:t>מדיניות הענישה הנוהגת במקרים דומים</w:t>
      </w:r>
      <w:r>
        <w:rPr>
          <w:rtl w:val="true"/>
        </w:rPr>
        <w:t xml:space="preserve">; </w:t>
      </w:r>
      <w:r>
        <w:rPr>
          <w:rtl w:val="true"/>
        </w:rPr>
        <w:t>נסיבותיהם האישיות</w:t>
      </w:r>
      <w:r>
        <w:rPr>
          <w:rtl w:val="true"/>
        </w:rPr>
        <w:t xml:space="preserve">, </w:t>
      </w:r>
      <w:r>
        <w:rPr>
          <w:rtl w:val="true"/>
        </w:rPr>
        <w:t>ובכללן גילם הצעיר וההליך השיקומי אותו עברו</w:t>
      </w:r>
      <w:r>
        <w:rPr>
          <w:rtl w:val="true"/>
        </w:rPr>
        <w:t xml:space="preserve">; </w:t>
      </w:r>
      <w:r>
        <w:rPr>
          <w:rtl w:val="true"/>
        </w:rPr>
        <w:t xml:space="preserve">ואף החשש כי הרשעתם תפגע בהמשך שיקומם ובאפשרויות התעסוקה העתידיות שלהם </w:t>
      </w:r>
      <w:r>
        <w:rPr>
          <w:rtl w:val="true"/>
        </w:rPr>
        <w:t>–</w:t>
      </w:r>
      <w:r>
        <w:rPr>
          <w:rtl w:val="true"/>
        </w:rPr>
        <w:t xml:space="preserve"> כל אלה מלמדים כי יש להימנע מהרשעתם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לדחיית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עמדתו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המקצועית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בדיון שנערך לפנינו טען בא</w:t>
      </w:r>
      <w:r>
        <w:rPr>
          <w:rtl w:val="true"/>
        </w:rPr>
        <w:t>-</w:t>
      </w:r>
      <w:r>
        <w:rPr>
          <w:rtl w:val="true"/>
        </w:rPr>
        <w:t>כוח המשיבה כי יש לדחות את הערעורים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חומרת העבירה שבה הודו המערערים אינה מצדיקה תוצאה של אי</w:t>
      </w:r>
      <w:r>
        <w:rPr>
          <w:rtl w:val="true"/>
        </w:rPr>
        <w:t>-</w:t>
      </w:r>
      <w:r>
        <w:rPr>
          <w:rtl w:val="true"/>
        </w:rPr>
        <w:t>הרשעה</w:t>
      </w:r>
      <w:r>
        <w:rPr>
          <w:rtl w:val="true"/>
        </w:rPr>
        <w:t xml:space="preserve">, </w:t>
      </w:r>
      <w:r>
        <w:rPr>
          <w:rtl w:val="true"/>
        </w:rPr>
        <w:t>וכך היא גם מדיניות הפסיקה הנוהגת במקרים דומים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>
          <w:rFonts w:ascii="Century" w:hAnsi="Century" w:cs="Century"/>
          <w:sz w:val="22"/>
        </w:rPr>
      </w:pP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Century"/>
          <w:sz w:val="22"/>
        </w:rPr>
      </w:pPr>
      <w:r>
        <w:rPr>
          <w:rFonts w:cs="Century" w:ascii="Century" w:hAnsi="Century"/>
          <w:sz w:val="22"/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נקודת המוצא לצורך הדיון שלפנינו היא ההסדר הקבוע </w:t>
      </w:r>
      <w:hyperlink r:id="rId10">
        <w:r>
          <w:rPr>
            <w:rStyle w:val="Hyperlink"/>
            <w:color w:val="0000FF"/>
            <w:u w:val="single"/>
            <w:rtl w:val="true"/>
          </w:rPr>
          <w:t>בסעיפים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21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1">
        <w:r>
          <w:rPr>
            <w:rStyle w:val="Hyperlink"/>
          </w:rPr>
          <w:t>24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. </w:t>
      </w:r>
      <w:r>
        <w:rPr>
          <w:rtl w:val="true"/>
        </w:rPr>
        <w:t>על פי הקבוע בסעיפים אלו</w:t>
      </w:r>
      <w:r>
        <w:rPr>
          <w:rtl w:val="true"/>
        </w:rPr>
        <w:t xml:space="preserve">, </w:t>
      </w:r>
      <w:r>
        <w:rPr>
          <w:rtl w:val="true"/>
        </w:rPr>
        <w:t>על בית המשפט לנוער להכריע בשלב הראשון האם הקטין ביצע את העבירות המיוחסות לו</w:t>
      </w:r>
      <w:r>
        <w:rPr>
          <w:rtl w:val="true"/>
        </w:rPr>
        <w:t xml:space="preserve">, </w:t>
      </w:r>
      <w:r>
        <w:rPr>
          <w:rtl w:val="true"/>
        </w:rPr>
        <w:t>ורק בשלב הבא לבחון האם יש להרשיעו בדינו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כידוע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</w:t>
      </w:r>
      <w:r>
        <w:rPr>
          <w:rtl w:val="true"/>
        </w:rPr>
        <w:t>-</w:t>
      </w:r>
      <w:r>
        <w:rPr>
          <w:rtl w:val="true"/>
        </w:rPr>
        <w:t>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לאזן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שבהרשעתו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שבהרשעה</w:t>
      </w:r>
      <w:r>
        <w:rPr>
          <w:rtl w:val="true"/>
        </w:rPr>
        <w:t xml:space="preserve">,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לבחון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. </w:t>
      </w:r>
      <w:r>
        <w:rPr>
          <w:rtl w:val="true"/>
        </w:rPr>
        <w:t>בהקשר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3596/11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6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26.12.2011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לעומת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</w:t>
      </w:r>
      <w:r>
        <w:rPr>
          <w:rtl w:val="true"/>
        </w:rPr>
        <w:t>-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האיזון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גילו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מהרשעתו</w:t>
      </w:r>
      <w:r>
        <w:rPr>
          <w:rtl w:val="true"/>
        </w:rPr>
        <w:t xml:space="preserve">, </w:t>
      </w:r>
      <w:r>
        <w:rPr>
          <w:rtl w:val="true"/>
        </w:rPr>
        <w:t>וסיכויי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שבהרשעתו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207/16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12</w:t>
      </w:r>
      <w:r>
        <w:rPr>
          <w:rFonts w:cs="Century" w:ascii="Century" w:hAnsi="Century"/>
          <w:rtl w:val="true"/>
        </w:rPr>
        <w:t xml:space="preserve"> (</w:t>
      </w:r>
      <w:r>
        <w:rPr>
          <w:rFonts w:cs="Century" w:ascii="Century" w:hAnsi="Century"/>
        </w:rPr>
        <w:t>15.10.2017</w:t>
      </w:r>
      <w:r>
        <w:rPr>
          <w:rFonts w:cs="Century" w:ascii="Century" w:hAnsi="Century"/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, </w:t>
      </w:r>
      <w:r>
        <w:rPr>
          <w:rtl w:val="true"/>
        </w:rPr>
        <w:t>ובמקרים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יגבר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נאשם</w:t>
      </w:r>
      <w:r>
        <w:rPr>
          <w:rtl w:val="true"/>
        </w:rPr>
        <w:t>-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למשל</w:t>
      </w:r>
      <w:r>
        <w:rPr>
          <w:rtl w:val="true"/>
        </w:rPr>
        <w:t xml:space="preserve">: </w:t>
      </w:r>
      <w:hyperlink r:id="rId1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cs="Century" w:ascii="Century" w:hAnsi="Century"/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ascii="Century" w:hAnsi="Century" w:cs="Century"/>
          <w:rtl w:val="true"/>
        </w:rPr>
        <w:t xml:space="preserve">בפסקה 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הנדל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11.1.2017</w:t>
      </w:r>
      <w:r>
        <w:rPr>
          <w:rFonts w:cs="Century" w:ascii="Century" w:hAnsi="Century"/>
          <w:rtl w:val="true"/>
        </w:rPr>
        <w:t>))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בנסיבות המקרה דנן</w:t>
      </w:r>
      <w:r>
        <w:rPr>
          <w:rtl w:val="true"/>
        </w:rPr>
        <w:t xml:space="preserve">, </w:t>
      </w:r>
      <w:r>
        <w:rPr>
          <w:rtl w:val="true"/>
        </w:rPr>
        <w:t>אין להקל ראש בחומרת מעשיהם של המערערים</w:t>
      </w:r>
      <w:r>
        <w:rPr>
          <w:rtl w:val="true"/>
        </w:rPr>
        <w:t xml:space="preserve">. </w:t>
      </w:r>
      <w:r>
        <w:rPr>
          <w:rtl w:val="true"/>
        </w:rPr>
        <w:t>יידוי אבנים על כלי רכב מסכן את חייהם של נוסעי הרכב ושל העוברים ושבים</w:t>
      </w:r>
      <w:r>
        <w:rPr>
          <w:rtl w:val="true"/>
        </w:rPr>
        <w:t xml:space="preserve">, </w:t>
      </w:r>
      <w:r>
        <w:rPr>
          <w:rtl w:val="true"/>
        </w:rPr>
        <w:t>משבש את שגרת חייהם</w:t>
      </w:r>
      <w:r>
        <w:rPr>
          <w:rtl w:val="true"/>
        </w:rPr>
        <w:t xml:space="preserve">, </w:t>
      </w:r>
      <w:r>
        <w:rPr>
          <w:rtl w:val="true"/>
        </w:rPr>
        <w:t>ופוגם בתחושת הביטחון שלהם</w:t>
      </w:r>
      <w:r>
        <w:rPr>
          <w:rtl w:val="true"/>
        </w:rPr>
        <w:t xml:space="preserve">. 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במקרה שלפנינו</w:t>
      </w:r>
      <w:r>
        <w:rPr>
          <w:rtl w:val="true"/>
        </w:rPr>
        <w:t xml:space="preserve">, </w:t>
      </w:r>
      <w:r>
        <w:rPr>
          <w:rtl w:val="true"/>
        </w:rPr>
        <w:t>האבנים אותם השליכו המערערים ניפצו את שמשת רכב ההסעות</w:t>
      </w:r>
      <w:r>
        <w:rPr>
          <w:rtl w:val="true"/>
        </w:rPr>
        <w:t xml:space="preserve">, </w:t>
      </w:r>
      <w:r>
        <w:rPr>
          <w:rtl w:val="true"/>
        </w:rPr>
        <w:t xml:space="preserve">אבן אחת חדרה אל תוך הרכב בעת ששהו בו </w:t>
      </w:r>
      <w:r>
        <w:rPr/>
        <w:t>17</w:t>
      </w:r>
      <w:r>
        <w:rPr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ורק בנס לא נגמר אירוע זה בפגיעה בגוף או בנפש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האבנים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לעבר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באנשים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ביהודים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>למרבה הצער</w:t>
      </w:r>
      <w:r>
        <w:rPr>
          <w:rtl w:val="true"/>
        </w:rPr>
        <w:t xml:space="preserve">, </w:t>
      </w:r>
      <w:r>
        <w:rPr>
          <w:rtl w:val="true"/>
        </w:rPr>
        <w:t>תופעת יידוי האבנים הפכה תופעה רווחת בשנים האחרונות</w:t>
      </w:r>
      <w:r>
        <w:rPr>
          <w:rtl w:val="true"/>
        </w:rPr>
        <w:t xml:space="preserve">. </w:t>
      </w:r>
      <w:r>
        <w:rPr>
          <w:rtl w:val="true"/>
        </w:rPr>
        <w:t>מגמה עגומה זו לא נסתרה מעיני המחוקק</w:t>
      </w:r>
      <w:r>
        <w:rPr>
          <w:rtl w:val="true"/>
        </w:rPr>
        <w:t xml:space="preserve">, </w:t>
      </w:r>
      <w:r>
        <w:rPr>
          <w:rtl w:val="true"/>
        </w:rPr>
        <w:t xml:space="preserve">ובמסגרת תיקון </w:t>
      </w:r>
      <w:r>
        <w:rPr/>
        <w:t>119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חוק העונשין </w:t>
      </w:r>
      <w:r>
        <w:rPr>
          <w:rtl w:val="true"/>
        </w:rPr>
        <w:t>(</w:t>
      </w:r>
      <w:r>
        <w:rPr>
          <w:rtl w:val="true"/>
        </w:rPr>
        <w:t>תיקון מס</w:t>
      </w:r>
      <w:r>
        <w:rPr>
          <w:rtl w:val="true"/>
        </w:rPr>
        <w:t xml:space="preserve">' </w:t>
      </w:r>
      <w:r>
        <w:rPr/>
        <w:t>119</w:t>
      </w:r>
      <w:r>
        <w:rPr>
          <w:rtl w:val="true"/>
        </w:rPr>
        <w:t xml:space="preserve">),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2015</w:t>
      </w:r>
      <w:r>
        <w:rPr>
          <w:rtl w:val="true"/>
        </w:rPr>
        <w:t xml:space="preserve">), </w:t>
      </w:r>
      <w:r>
        <w:rPr>
          <w:rtl w:val="true"/>
        </w:rPr>
        <w:t xml:space="preserve">נחקק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א</w:t>
        </w:r>
      </w:hyperlink>
      <w:r>
        <w:rPr>
          <w:rtl w:val="true"/>
        </w:rPr>
        <w:t xml:space="preserve"> המפחית את היסוד הנפשי הנדרש לצורך הרשעה בעבירה</w:t>
      </w:r>
      <w:r>
        <w:rPr>
          <w:rtl w:val="true"/>
        </w:rPr>
        <w:t>.</w:t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</w:p>
    <w:p>
      <w:pPr>
        <w:pStyle w:val="Ruller41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לא למותר לציין בהקשר זה כי העונש הקבוע </w:t>
      </w:r>
      <w:hyperlink r:id="rId18">
        <w:r>
          <w:rPr>
            <w:rStyle w:val="Hyperlink"/>
            <w:rtl w:val="true"/>
          </w:rPr>
          <w:t>בסעיף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332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העבירה אותה ביצעו המערערים במקרה דנן</w:t>
      </w:r>
      <w:r>
        <w:rPr>
          <w:rtl w:val="true"/>
        </w:rPr>
        <w:t xml:space="preserve">, </w:t>
      </w:r>
      <w:r>
        <w:rPr>
          <w:rtl w:val="true"/>
        </w:rPr>
        <w:t xml:space="preserve">עומד על עונש מרבי של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עשרים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שנות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מאסר</w:t>
      </w:r>
      <w:r>
        <w:rPr>
          <w:rFonts w:cs="Century" w:ascii="Century" w:hAnsi="Century"/>
          <w:sz w:val="22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האמור</w:t>
      </w:r>
      <w:r>
        <w:rPr>
          <w:rtl w:val="true"/>
        </w:rPr>
        <w:t xml:space="preserve">, </w:t>
      </w:r>
      <w:r>
        <w:rPr>
          <w:rtl w:val="true"/>
        </w:rPr>
        <w:t>מדיניות הענישה הנוהגת בשנים האחרונות בגין ביצוע עבירות מעין אלו מחמירה</w:t>
      </w:r>
      <w:r>
        <w:rPr>
          <w:rtl w:val="true"/>
        </w:rPr>
        <w:t xml:space="preserve">, </w:t>
      </w:r>
      <w:r>
        <w:rPr>
          <w:rtl w:val="true"/>
        </w:rPr>
        <w:t>ומעניקה משקל ממשי לשיקולי הרתעה</w:t>
      </w:r>
      <w:r>
        <w:rPr>
          <w:rtl w:val="true"/>
        </w:rPr>
        <w:t xml:space="preserve">. </w:t>
      </w:r>
      <w:r>
        <w:rPr>
          <w:rtl w:val="true"/>
        </w:rPr>
        <w:t>לא פעם מורשעים נאשמים קטינים בגין ביצוע עבירות דומות</w:t>
      </w:r>
      <w:r>
        <w:rPr>
          <w:rtl w:val="true"/>
        </w:rPr>
        <w:t xml:space="preserve">, </w:t>
      </w:r>
      <w:r>
        <w:rPr>
          <w:rtl w:val="true"/>
        </w:rPr>
        <w:t xml:space="preserve">חרף גילם הצעיר ומכלול נסיבותיהם האישית </w:t>
      </w:r>
      <w:r>
        <w:rPr>
          <w:rtl w:val="true"/>
        </w:rPr>
        <w:t>(</w:t>
      </w:r>
      <w:r>
        <w:rPr>
          <w:rtl w:val="true"/>
        </w:rPr>
        <w:t>וראו למשל</w:t>
      </w:r>
      <w:r>
        <w:rPr>
          <w:rtl w:val="true"/>
        </w:rPr>
        <w:t xml:space="preserve">: 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240/16</w:t>
        </w:r>
      </w:hyperlink>
      <w:r>
        <w:rPr>
          <w:rtl w:val="true"/>
        </w:rPr>
        <w:t xml:space="preserve"> </w:t>
      </w:r>
      <w:r>
        <w:rPr>
          <w:rtl w:val="true"/>
        </w:rPr>
        <w:t>הנזכר לעיל</w:t>
      </w:r>
      <w:r>
        <w:rPr>
          <w:rtl w:val="true"/>
        </w:rPr>
        <w:t xml:space="preserve">; </w:t>
      </w:r>
      <w:hyperlink r:id="rId2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207/16</w:t>
        </w:r>
      </w:hyperlink>
      <w:r>
        <w:rPr>
          <w:rtl w:val="true"/>
        </w:rPr>
        <w:t xml:space="preserve"> </w:t>
      </w:r>
      <w:r>
        <w:rPr>
          <w:rtl w:val="true"/>
        </w:rPr>
        <w:t>הנזכר לעיל</w:t>
      </w:r>
      <w:r>
        <w:rPr>
          <w:rtl w:val="true"/>
        </w:rPr>
        <w:t xml:space="preserve">, </w:t>
      </w:r>
      <w:r>
        <w:rPr>
          <w:rtl w:val="true"/>
        </w:rPr>
        <w:t xml:space="preserve">ובפרט באמור בפסקאות </w:t>
      </w:r>
      <w:r>
        <w:rPr/>
        <w:t>14-13</w:t>
      </w:r>
      <w:r>
        <w:rPr>
          <w:rtl w:val="true"/>
        </w:rPr>
        <w:t xml:space="preserve">; </w:t>
      </w:r>
      <w:r>
        <w:rPr>
          <w:rFonts w:cs="Century" w:ascii="Century" w:hAnsi="Century"/>
          <w:rtl w:val="true"/>
        </w:rPr>
        <w:t xml:space="preserve">: 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5026/12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2"/>
          <w:sz w:val="22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 w:val="22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10.2.2013</w:t>
      </w:r>
      <w:r>
        <w:rPr>
          <w:rFonts w:cs="Century" w:ascii="Century" w:hAnsi="Century"/>
          <w:sz w:val="22"/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האינטרס הציבורי כבד המשקל מטה את הכף לעבר הרשעת המערערים בעבירה אותה ביצעו</w:t>
      </w:r>
      <w:r>
        <w:rPr>
          <w:rtl w:val="true"/>
        </w:rPr>
        <w:t xml:space="preserve">, </w:t>
      </w:r>
      <w:r>
        <w:rPr>
          <w:rtl w:val="true"/>
        </w:rPr>
        <w:t>חרף גילם הצעיר והתסקירים החיוביים שהוגשו בעניינם</w:t>
      </w:r>
      <w:r>
        <w:rPr>
          <w:rtl w:val="true"/>
        </w:rPr>
        <w:t xml:space="preserve">. </w:t>
      </w:r>
      <w:r>
        <w:rPr>
          <w:rtl w:val="true"/>
        </w:rPr>
        <w:t>שיקולים אלו אף לא נעלמו מעיני בית המשפט המחוזי לנוער</w:t>
      </w:r>
      <w:r>
        <w:rPr>
          <w:rtl w:val="true"/>
        </w:rPr>
        <w:t xml:space="preserve">, </w:t>
      </w:r>
      <w:r>
        <w:rPr>
          <w:rtl w:val="true"/>
        </w:rPr>
        <w:t>ומכאן גם הענישה המקלה שהושתה על המערערים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לנוכח מסקנה זו</w:t>
      </w:r>
      <w:r>
        <w:rPr>
          <w:rtl w:val="true"/>
        </w:rPr>
        <w:t xml:space="preserve">, </w:t>
      </w:r>
      <w:r>
        <w:rPr>
          <w:rtl w:val="true"/>
        </w:rPr>
        <w:t xml:space="preserve">לא ראינו מקום להידרש לטענת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בדבר אי</w:t>
      </w:r>
      <w:r>
        <w:rPr>
          <w:rtl w:val="true"/>
        </w:rPr>
        <w:t>-</w:t>
      </w:r>
      <w:r>
        <w:rPr>
          <w:rtl w:val="true"/>
        </w:rPr>
        <w:t>היענותו של בית המשפט המחוזי לבקשתו לדחיית מועד הטיעונים לעונש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1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הערעור נדחה אפוא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המשנה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לנשיאה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ח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מלצר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end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pacing w:val="0"/>
          <w:szCs w:val="24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ד</w:t>
      </w:r>
      <w:r>
        <w:rPr>
          <w:rFonts w:cs="Miriam" w:ascii="Century" w:hAnsi="Century"/>
          <w:b/>
          <w:spacing w:val="0"/>
          <w:szCs w:val="24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u w:val="single"/>
          <w:rtl w:val="true"/>
        </w:rPr>
        <w:t>מינץ</w:t>
      </w:r>
      <w:r>
        <w:rPr>
          <w:rFonts w:cs="Miriam" w:ascii="Century" w:hAnsi="Century"/>
          <w:b/>
          <w:spacing w:val="0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end"/>
        <w:rPr/>
      </w:pPr>
      <w:r>
        <w:rPr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אלרון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bookmarkStart w:id="17" w:name="Nitan"/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ט</w:t>
      </w:r>
      <w:r>
        <w:rPr>
          <w:rtl w:val="true"/>
        </w:rPr>
        <w:t>"</w:t>
      </w:r>
      <w:r>
        <w:rPr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</w:t>
      </w:r>
      <w:r>
        <w:rPr>
          <w:rtl w:val="true"/>
        </w:rPr>
        <w:t>"</w:t>
      </w:r>
      <w:r>
        <w:rPr>
          <w:rtl w:val="true"/>
        </w:rPr>
        <w:t>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12.1.2020</w:t>
      </w:r>
      <w:r>
        <w:rPr>
          <w:rtl w:val="true"/>
        </w:rPr>
        <w:t xml:space="preserve">). </w:t>
      </w:r>
      <w:bookmarkEnd w:id="17"/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המשנה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לנשיאה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19041760</w:t>
      </w:r>
      <w:r>
        <w:rPr>
          <w:sz w:val="16"/>
          <w:rtl w:val="true"/>
        </w:rPr>
        <w:t>_</w:t>
      </w:r>
      <w:r>
        <w:rPr>
          <w:sz w:val="16"/>
        </w:rPr>
        <w:t>J04.docx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עע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23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ד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מינץ </w:t>
      </w:r>
      <w:r>
        <w:rPr>
          <w:rFonts w:cs="David" w:ascii="David" w:hAnsi="David"/>
          <w:color w:val="000000"/>
          <w:szCs w:val="22"/>
        </w:rPr>
        <w:t>54678313-4176/19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24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25"/>
      <w:footerReference w:type="default" r:id="rId26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David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9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4176/19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"/>
    </w:rPr>
  </w:style>
  <w:style w:type="character" w:styleId="CharChar1">
    <w:name w:val=" Char Char1"/>
    <w:qFormat/>
    <w:rPr>
      <w:rFonts w:cs="David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332a" TargetMode="External"/><Relationship Id="rId4" Type="http://schemas.openxmlformats.org/officeDocument/2006/relationships/hyperlink" Target="http://www.nevo.co.il/law/70301/332a.b" TargetMode="External"/><Relationship Id="rId5" Type="http://schemas.openxmlformats.org/officeDocument/2006/relationships/hyperlink" Target="http://www.nevo.co.il/law/70348" TargetMode="External"/><Relationship Id="rId6" Type="http://schemas.openxmlformats.org/officeDocument/2006/relationships/hyperlink" Target="http://www.nevo.co.il/law/70348/21" TargetMode="External"/><Relationship Id="rId7" Type="http://schemas.openxmlformats.org/officeDocument/2006/relationships/hyperlink" Target="http://www.nevo.co.il/law/70348/24" TargetMode="External"/><Relationship Id="rId8" Type="http://schemas.openxmlformats.org/officeDocument/2006/relationships/hyperlink" Target="http://www.nevo.co.il/law/70301/332a.b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70348/21" TargetMode="External"/><Relationship Id="rId11" Type="http://schemas.openxmlformats.org/officeDocument/2006/relationships/hyperlink" Target="http://www.nevo.co.il/law/70348/24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case/6245059" TargetMode="External"/><Relationship Id="rId14" Type="http://schemas.openxmlformats.org/officeDocument/2006/relationships/hyperlink" Target="http://www.nevo.co.il/case/20891752" TargetMode="External"/><Relationship Id="rId15" Type="http://schemas.openxmlformats.org/officeDocument/2006/relationships/hyperlink" Target="http://www.nevo.co.il/case/22154735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332a" TargetMode="External"/><Relationship Id="rId18" Type="http://schemas.openxmlformats.org/officeDocument/2006/relationships/hyperlink" Target="http://www.nevo.co.il/law/70301/332a.b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case/22154735" TargetMode="External"/><Relationship Id="rId21" Type="http://schemas.openxmlformats.org/officeDocument/2006/relationships/hyperlink" Target="http://www.nevo.co.il/case/20891752" TargetMode="External"/><Relationship Id="rId22" Type="http://schemas.openxmlformats.org/officeDocument/2006/relationships/hyperlink" Target="http://www.nevo.co.il/case/6246072" TargetMode="External"/><Relationship Id="rId23" Type="http://schemas.openxmlformats.org/officeDocument/2006/relationships/hyperlink" Target="http://supreme.court.gov.il/" TargetMode="External"/><Relationship Id="rId24" Type="http://schemas.openxmlformats.org/officeDocument/2006/relationships/hyperlink" Target="http://www.nevo.co.il/advertisements/nevo-100.doc" TargetMode="External"/><Relationship Id="rId25" Type="http://schemas.openxmlformats.org/officeDocument/2006/relationships/header" Target="header1.xml"/><Relationship Id="rId26" Type="http://schemas.openxmlformats.org/officeDocument/2006/relationships/footer" Target="footer1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2020-01-13T08:56:00Z</dcterms:created>
  <dc:creator>h4</dc:creator>
  <dc:description/>
  <cp:keywords/>
  <dc:language>en-IL</dc:language>
  <cp:lastModifiedBy>orly</cp:lastModifiedBy>
  <cp:lastPrinted>2020-01-12T09:21:00Z</cp:lastPrinted>
  <dcterms:modified xsi:type="dcterms:W3CDTF">2020-01-13T08:56:00Z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6245059;20891752:2;22154735:2;6246072</vt:lpwstr>
  </property>
  <property fmtid="{D5CDD505-2E9C-101B-9397-08002B2CF9AE}" pid="9" name="CITY">
    <vt:lpwstr/>
  </property>
  <property fmtid="{D5CDD505-2E9C-101B-9397-08002B2CF9AE}" pid="10" name="DATE">
    <vt:lpwstr>20200112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ד' מינץ;י' אלרון;ח' מלצר</vt:lpwstr>
  </property>
  <property fmtid="{D5CDD505-2E9C-101B-9397-08002B2CF9AE}" pid="14" name="LAWLISTTMP1">
    <vt:lpwstr>70301/332a.b:2;332a</vt:lpwstr>
  </property>
  <property fmtid="{D5CDD505-2E9C-101B-9397-08002B2CF9AE}" pid="15" name="LAWLISTTMP2">
    <vt:lpwstr>70348/021;024</vt:lpwstr>
  </property>
  <property fmtid="{D5CDD505-2E9C-101B-9397-08002B2CF9AE}" pid="16" name="LAWYER">
    <vt:lpwstr>רוני זלושינסקי;פרחאת עאטף;אוסמה חלבי;רעות רוזנר;טלי סמואל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נוער</vt:lpwstr>
  </property>
  <property fmtid="{D5CDD505-2E9C-101B-9397-08002B2CF9AE}" pid="31" name="NOSE14">
    <vt:lpwstr>נוער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77;77;65;65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שפיטה</vt:lpwstr>
  </property>
  <property fmtid="{D5CDD505-2E9C-101B-9397-08002B2CF9AE}" pid="42" name="NOSE24">
    <vt:lpwstr>ענישה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1446;1446;1298;1296</vt:lpwstr>
  </property>
  <property fmtid="{D5CDD505-2E9C-101B-9397-08002B2CF9AE}" pid="49" name="NOSE31">
    <vt:lpwstr>מדיניות ענישה: יידוי אבנים</vt:lpwstr>
  </property>
  <property fmtid="{D5CDD505-2E9C-101B-9397-08002B2CF9AE}" pid="50" name="NOSE310">
    <vt:lpwstr/>
  </property>
  <property fmtid="{D5CDD505-2E9C-101B-9397-08002B2CF9AE}" pid="51" name="NOSE32">
    <vt:lpwstr>מדיניות ענישה: נוער</vt:lpwstr>
  </property>
  <property fmtid="{D5CDD505-2E9C-101B-9397-08002B2CF9AE}" pid="52" name="NOSE33">
    <vt:lpwstr>הרשעה</vt:lpwstr>
  </property>
  <property fmtid="{D5CDD505-2E9C-101B-9397-08002B2CF9AE}" pid="53" name="NOSE34">
    <vt:lpwstr>שיקול בית-המשפט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16102;8983;7913;7907</vt:lpwstr>
  </property>
  <property fmtid="{D5CDD505-2E9C-101B-9397-08002B2CF9AE}" pid="60" name="PADIDATE">
    <vt:lpwstr>20200113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עפ;עפ;עפ</vt:lpwstr>
  </property>
  <property fmtid="{D5CDD505-2E9C-101B-9397-08002B2CF9AE}" pid="65" name="PROCNUM">
    <vt:lpwstr>4176;4200;4216</vt:lpwstr>
  </property>
  <property fmtid="{D5CDD505-2E9C-101B-9397-08002B2CF9AE}" pid="66" name="PROCYEAR">
    <vt:lpwstr>19;19;19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410120200112</vt:lpwstr>
  </property>
  <property fmtid="{D5CDD505-2E9C-101B-9397-08002B2CF9AE}" pid="70" name="TYPE_N_DATE">
    <vt:lpwstr>41020200112</vt:lpwstr>
  </property>
  <property fmtid="{D5CDD505-2E9C-101B-9397-08002B2CF9AE}" pid="71" name="VOLUME">
    <vt:lpwstr/>
  </property>
  <property fmtid="{D5CDD505-2E9C-101B-9397-08002B2CF9AE}" pid="72" name="WORDNUMPAGES">
    <vt:lpwstr>8</vt:lpwstr>
  </property>
</Properties>
</file>