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4185/19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בשתאוי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נצרת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</w:rPr>
                <w:t>022014-08-17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06.05.2019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'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ורג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אזולאי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3.3.2020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אלבייר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חומרת עונש המאסר בפועל בן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השנים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שהורשע בביצוע חבלה בכוונה מחמירה בגין דקירת בת זוגו בעת היותה בהריון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הצורך בענישה מחמירה ומרתיעה בגין עבירות אלימות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ועבירות מסוג זה המופנות כלפי בת זוג בפרט ועל חומרת מעשיו של המערער הבולטים בחומרתם אף ביחס לעבירות אלימות קשה המופנית כלפי בת זוג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אינו חמור ויתכן שאף מקל עימו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עונש –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עונש – ניכוי ימי מעצר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במוקד הערעור אירוע אלימות קשה בין בני זוג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במהלכו דקר המערער את זוגתו שלוש פעמים בבטנה ובחזהּ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שידע שהייתה בהריון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וסיכן את חייה ואת חיי העובר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בביצוע עבירה של חבלה בכוונה מחמירה והושת עליו עונש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עונש מאסר 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בערעורו טוען המערער כי העונש שנגזר עליו חמור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על חומרת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סולברג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דרכה של ערכאת הערעור להתערב בחומרת העונש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שבהן גזר הדין מגלה סטייה מהותית ובולטת או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>. ‏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אינו נמנה עם מקרים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לא אחת על הצורך בענישה מחמירה ומרתיעה בגין עבירות אלימות קשה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ועבירות מסוג זה המופנות כלפי בת זוג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מדובר בתופעה חמורה ורחבת היקף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המחייבת הטלת 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בנוסף יהא בה כדי לשקף את הפגיעה הקשה שחוות נשים ממעשי אלימות המופעלים עליהן מצד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זוגם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בסביבה שאמורה להיות סביבתן הבטוחה והמוגנת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הושתו עונשי מאסר ממושכים בגין עבירות הדומות בנסיבותיהן למקרה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מעשי המערער בולטים בחומרתם אף ביחס לעבירות אלימות קשה המופנית כלפי בת זוג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דקר את המתלוננת פעמיים בבטנה ופעם אחת בסמוך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שהוא מודע להיותה בשלבי היריון מתקדמים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וסבור שהוא אבי העובר שבבטנה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שפגע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הותירהּ מתבוססת בדמה ונמלט מהמקום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ורק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ניצלו חייה וחיי העובר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בלבד רובצים מלוא האשם והאחריות למעשי האלימות החמורים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יצירת סכנה ממשית לחיי המתלוננת והעובר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 אינו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ויתכן שאף מקל עימו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ציין את מכלול הנסיבות המקלות הרלוונטיות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גילו הצעיר והודאתו בעובדות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הרף העליון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במתחם העונש ההולם את מעשיו של המערער עמד על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ומול הנסיבות המקלות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נשקלו גם הנסיבות האישיות המחמירות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בדגש על עברו הפלילי המכביד ותסקיר שירות המבחן השלילי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שגה משלא ניכה מעונש המאסר בפועל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תקופת מעצרו בהליך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בקשת המערער אינה מכוונת אלא לניכוי ימי מעצרו בהליך דנן שהובאו במקביל במניין ימי מאסרו בהליך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לנאשם שהורשע אין זכות קנויה להתחשבות מצד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באופן שיורה על ניכוי חלק מימי מעצרו החופפים לימי 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וברירת המחדל כאשר ימי המעצר הם בחופף למאסר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כי ימי מעצר אלה לא ינוכו מן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אין כל טעם להתערב בהחלטת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שלא לנכות מתקופת מאסרו של המערער בהליך דנן את תקופת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במהלכה ריצה עונש מאסר בגין ההליך האחר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במוקד הערעור שלפנינו אירוע אלימות קשה בין בני זוג</w:t>
      </w:r>
      <w:r>
        <w:rPr>
          <w:rtl w:val="true"/>
        </w:rPr>
        <w:t xml:space="preserve">, </w:t>
      </w:r>
      <w:r>
        <w:rPr>
          <w:rtl w:val="true"/>
        </w:rPr>
        <w:t>במהלכו דקר המערער את זוגתו שלוש פעמים בבטנה ובחזהּ</w:t>
      </w:r>
      <w:r>
        <w:rPr>
          <w:rtl w:val="true"/>
        </w:rPr>
        <w:t xml:space="preserve">, </w:t>
      </w:r>
      <w:r>
        <w:rPr>
          <w:rtl w:val="true"/>
        </w:rPr>
        <w:t>אף שידע שהייתה בהריון</w:t>
      </w:r>
      <w:r>
        <w:rPr>
          <w:rtl w:val="true"/>
        </w:rPr>
        <w:t xml:space="preserve">, </w:t>
      </w:r>
      <w:r>
        <w:rPr>
          <w:rtl w:val="true"/>
        </w:rPr>
        <w:t>וסיכן את חייה ואת חיי העובר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pacing w:val="6"/>
        </w:rPr>
      </w:pPr>
      <w:r>
        <w:rPr>
          <w:rFonts w:cs="Century" w:ascii="Century" w:hAnsi="Century"/>
          <w:spacing w:val="6"/>
          <w:rtl w:val="true"/>
        </w:rPr>
        <w:tab/>
      </w:r>
      <w:r>
        <w:rPr>
          <w:rFonts w:ascii="Century" w:hAnsi="Century" w:cs="Century"/>
          <w:spacing w:val="6"/>
          <w:rtl w:val="true"/>
        </w:rPr>
        <w:t xml:space="preserve">בגזר דינו של בית המשפט המחוזי בנצרת </w:t>
      </w:r>
      <w:r>
        <w:rPr>
          <w:rFonts w:cs="Century" w:ascii="Century" w:hAnsi="Century"/>
          <w:spacing w:val="6"/>
          <w:rtl w:val="true"/>
        </w:rPr>
        <w:t>(</w:t>
      </w:r>
      <w:r>
        <w:rPr>
          <w:rFonts w:ascii="Century" w:hAnsi="Century" w:cs="Century"/>
          <w:spacing w:val="6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cs="Century" w:ascii="Century" w:hAnsi="Century"/>
          <w:spacing w:val="6"/>
          <w:rtl w:val="true"/>
        </w:rPr>
        <w:t xml:space="preserve">) </w:t>
      </w:r>
      <w:r>
        <w:rPr>
          <w:rFonts w:ascii="Century" w:hAnsi="Century" w:cs="Century"/>
          <w:spacing w:val="6"/>
          <w:rtl w:val="true"/>
        </w:rPr>
        <w:t>ב</w:t>
      </w:r>
      <w:hyperlink r:id="rId5"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6"/>
            <w:u w:val="single"/>
          </w:rPr>
          <w:t>22014-08-17</w:t>
        </w:r>
      </w:hyperlink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spacing w:val="6"/>
          <w:rtl w:val="true"/>
        </w:rPr>
        <w:t xml:space="preserve">מיום </w:t>
      </w:r>
      <w:r>
        <w:rPr>
          <w:rFonts w:cs="Century" w:ascii="Century" w:hAnsi="Century"/>
          <w:spacing w:val="6"/>
        </w:rPr>
        <w:t>6.5.2019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 xml:space="preserve">הושת על המערער עונש של </w:t>
      </w:r>
      <w:r>
        <w:rPr>
          <w:rFonts w:cs="Century" w:ascii="Century" w:hAnsi="Century"/>
          <w:spacing w:val="6"/>
        </w:rPr>
        <w:t>10</w:t>
      </w:r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שנות מאסר בפועל לצד עונש מאסר מותנה</w:t>
      </w:r>
      <w:r>
        <w:rPr>
          <w:rFonts w:cs="Century" w:ascii="Century" w:hAnsi="Century"/>
          <w:spacing w:val="6"/>
          <w:rtl w:val="true"/>
        </w:rPr>
        <w:t xml:space="preserve">. </w:t>
      </w:r>
      <w:r>
        <w:rPr>
          <w:rFonts w:ascii="Century" w:hAnsi="Century" w:cs="Century"/>
          <w:spacing w:val="6"/>
          <w:rtl w:val="true"/>
        </w:rPr>
        <w:t>בערעורו טוען המערער כי העונש שנגזר עליו חמור יתר על המידה</w:t>
      </w:r>
      <w:r>
        <w:rPr>
          <w:rFonts w:cs="Century" w:ascii="Century" w:hAnsi="Century"/>
          <w:spacing w:val="6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pacing w:val="6"/>
        </w:rPr>
      </w:pPr>
      <w:r>
        <w:rPr>
          <w:rFonts w:cs="Century" w:ascii="Century" w:hAnsi="Century"/>
          <w:spacing w:val="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הצריכות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הודה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ניהלו המערער והמתלוננת מערכת יחסים זוגית</w:t>
      </w:r>
      <w:r>
        <w:rPr>
          <w:rtl w:val="true"/>
        </w:rPr>
        <w:t xml:space="preserve">, </w:t>
      </w:r>
      <w:r>
        <w:rPr>
          <w:rtl w:val="true"/>
        </w:rPr>
        <w:t>וטרם סיומה הרתה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15.7.2017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16.7.2017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הריונה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חודרניים</w:t>
      </w:r>
      <w:r>
        <w:rPr>
          <w:rtl w:val="true"/>
        </w:rPr>
        <w:t xml:space="preserve">"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העובר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16.12.2018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 פי הודאתו בעובדות כתב האישום המתוקן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 המערער</w:t>
      </w:r>
      <w:r>
        <w:rPr>
          <w:rtl w:val="true"/>
        </w:rPr>
        <w:t xml:space="preserve"> בביצוע עבירה של חבלה בכוונה מחמירה 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לדיון בטיעוני הצדדים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הוגש לבית המשפט המחוזי תסקיר מיום </w:t>
      </w:r>
      <w:r>
        <w:rPr/>
        <w:t>7.2.2019</w:t>
      </w:r>
      <w:r>
        <w:rPr>
          <w:rtl w:val="true"/>
        </w:rPr>
        <w:t xml:space="preserve">, </w:t>
      </w:r>
      <w:r>
        <w:rPr>
          <w:rtl w:val="true"/>
        </w:rPr>
        <w:t>במסגרתו התרשם שירות המבחן כי המערער מתקשה לגלות אמפתיה כלפי המתלוננת</w:t>
      </w:r>
      <w:r>
        <w:rPr>
          <w:rtl w:val="true"/>
        </w:rPr>
        <w:t xml:space="preserve">, </w:t>
      </w:r>
      <w:r>
        <w:rPr>
          <w:rtl w:val="true"/>
        </w:rPr>
        <w:t>נוטה לצמצם את אחריותו לביצוע העבירה</w:t>
      </w:r>
      <w:r>
        <w:rPr>
          <w:rtl w:val="true"/>
        </w:rPr>
        <w:t xml:space="preserve">, </w:t>
      </w:r>
      <w:r>
        <w:rPr>
          <w:rtl w:val="true"/>
        </w:rPr>
        <w:t>ומשליך על המתלוננת את האשמה להסתבכותו ולמעשיו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התרשם שירות המבחן</w:t>
      </w:r>
      <w:r>
        <w:rPr>
          <w:rtl w:val="true"/>
        </w:rPr>
        <w:t xml:space="preserve">, </w:t>
      </w:r>
      <w:r>
        <w:rPr>
          <w:rtl w:val="true"/>
        </w:rPr>
        <w:t>כי המערער מתאפיין ב</w:t>
      </w:r>
      <w:r>
        <w:rPr>
          <w:rtl w:val="true"/>
        </w:rPr>
        <w:t>"</w:t>
      </w:r>
      <w:r>
        <w:rPr>
          <w:rtl w:val="true"/>
        </w:rPr>
        <w:t>קווי אישיות אנטי סוציאליים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יכולות תפקודיות וחברתיות נמוכות</w:t>
      </w:r>
      <w:r>
        <w:rPr>
          <w:rtl w:val="true"/>
        </w:rPr>
        <w:t xml:space="preserve">"; </w:t>
      </w:r>
      <w:r>
        <w:rPr>
          <w:rtl w:val="true"/>
        </w:rPr>
        <w:t>מתקשה לשמור על גבולות פנימיים וחיצוניים ולווסת את דחפיו</w:t>
      </w:r>
      <w:r>
        <w:rPr>
          <w:rtl w:val="true"/>
        </w:rPr>
        <w:t xml:space="preserve">; </w:t>
      </w:r>
      <w:r>
        <w:rPr>
          <w:rtl w:val="true"/>
        </w:rPr>
        <w:t>ונוטה לבצע עבירות חוזרות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צוין גם כי למערער ארבע הרשעות קודמות בעבירות אלימות</w:t>
      </w:r>
      <w:r>
        <w:rPr>
          <w:rtl w:val="true"/>
        </w:rPr>
        <w:t xml:space="preserve">, </w:t>
      </w:r>
      <w:r>
        <w:rPr>
          <w:rtl w:val="true"/>
        </w:rPr>
        <w:t>החזקת סכין</w:t>
      </w:r>
      <w:r>
        <w:rPr>
          <w:rtl w:val="true"/>
        </w:rPr>
        <w:t xml:space="preserve">, </w:t>
      </w:r>
      <w:r>
        <w:rPr>
          <w:rtl w:val="true"/>
        </w:rPr>
        <w:t>תקיפת שוטר והפרעה לשוטר במילוי תפקידו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עמד בית המשפט המחוזי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אשר פגע במתלוננת באכזריות באיברים רגישים בגופה בעת שהייתה בהריון</w:t>
      </w:r>
      <w:r>
        <w:rPr>
          <w:rtl w:val="true"/>
        </w:rPr>
        <w:t xml:space="preserve">, </w:t>
      </w:r>
      <w:r>
        <w:rPr>
          <w:rtl w:val="true"/>
        </w:rPr>
        <w:t>ולאחר מכן הותירה במקום פצועה ומדממת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הודגש כי </w:t>
      </w:r>
      <w:r>
        <w:rPr>
          <w:rtl w:val="true"/>
        </w:rPr>
        <w:t>"</w:t>
      </w:r>
      <w:r>
        <w:rPr>
          <w:rtl w:val="true"/>
        </w:rPr>
        <w:t>רק בנס ניצלו חייה וחיי העובר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תגיע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ונסובה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20.4.2018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החמיר עימו יתר על המידה הן במתחם הענישה שקבע והן בעונש שהשית עליו במסגרתו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משהתריע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שהקניטה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ונכון</w:t>
      </w:r>
      <w:r>
        <w:rPr>
          <w:rtl w:val="true"/>
        </w:rPr>
        <w:t xml:space="preserve">" </w:t>
      </w:r>
      <w:r>
        <w:rPr>
          <w:rtl w:val="true"/>
        </w:rPr>
        <w:t>להודאת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 כוח המשיבה טען בדיון לפנינו כי העונש שנגזר על המערער מקל עימו</w:t>
      </w:r>
      <w:r>
        <w:rPr>
          <w:rtl w:val="true"/>
        </w:rPr>
        <w:t xml:space="preserve">, </w:t>
      </w:r>
      <w:r>
        <w:rPr>
          <w:rtl w:val="true"/>
        </w:rPr>
        <w:t>ואין כל מקום להקלה נוספת 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1.9.2019</w:t>
      </w:r>
      <w:r>
        <w:rPr>
          <w:rtl w:val="true"/>
        </w:rPr>
        <w:t xml:space="preserve"> </w:t>
      </w:r>
      <w:r>
        <w:rPr>
          <w:rtl w:val="true"/>
        </w:rPr>
        <w:t>הוגש לעיוננו תסקיר משלים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ציין שירות המבחן כי למערער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עבירות משמעת בבית הסוהר</w:t>
      </w:r>
      <w:r>
        <w:rPr>
          <w:rtl w:val="true"/>
        </w:rPr>
        <w:t xml:space="preserve">, </w:t>
      </w:r>
      <w:r>
        <w:rPr>
          <w:rtl w:val="true"/>
        </w:rPr>
        <w:t>חלקן בעבירות אלימות</w:t>
      </w:r>
      <w:r>
        <w:rPr>
          <w:rtl w:val="true"/>
        </w:rPr>
        <w:t xml:space="preserve">, </w:t>
      </w:r>
      <w:r>
        <w:rPr>
          <w:rtl w:val="true"/>
        </w:rPr>
        <w:t>כי אינו משולב בתעסוקה או חינוך עקב התנהגותו השלילית כאסיר</w:t>
      </w:r>
      <w:r>
        <w:rPr>
          <w:rtl w:val="true"/>
        </w:rPr>
        <w:t xml:space="preserve">, </w:t>
      </w:r>
      <w:r>
        <w:rPr>
          <w:rtl w:val="true"/>
        </w:rPr>
        <w:t>וכי הוא מתקשה בנטילת אחריות על מעשיו ואינו מגלה אמפטיה כלפי קורבנות העבירות שביצע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 xml:space="preserve">דינו של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ושקלתי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אין דרכה של ערכאת הערעור להתערב בחומרת העונש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</w:t>
      </w:r>
      <w:r>
        <w:rPr>
          <w:rtl w:val="true"/>
        </w:rPr>
        <w:t>ש</w:t>
      </w:r>
      <w:r>
        <w:rPr>
          <w:rtl w:val="true"/>
        </w:rPr>
        <w:t>בהן גזר הדין מגלה סטייה מהותית ובולטת או חריגה קיצונית מ</w:t>
      </w:r>
      <w:r>
        <w:rPr>
          <w:rtl w:val="true"/>
        </w:rPr>
        <w:t xml:space="preserve">מדיניות </w:t>
      </w:r>
      <w:r>
        <w:rPr>
          <w:rtl w:val="true"/>
        </w:rPr>
        <w:t xml:space="preserve">הענישה </w:t>
      </w:r>
      <w:r>
        <w:rPr>
          <w:rtl w:val="true"/>
        </w:rPr>
        <w:t>הנוהגת</w:t>
      </w:r>
      <w:r>
        <w:rPr>
          <w:rtl w:val="true"/>
        </w:rPr>
        <w:t xml:space="preserve"> במקרים 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איכילוב</w:t>
      </w:r>
      <w:r>
        <w:rPr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24.4.2018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חזר ועמד לא אחת על ה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 בגין עבירות אלימות קשה בכלל</w:t>
      </w:r>
      <w:r>
        <w:rPr>
          <w:rtl w:val="true"/>
        </w:rPr>
        <w:t xml:space="preserve">, </w:t>
      </w:r>
      <w:r>
        <w:rPr>
          <w:rtl w:val="true"/>
        </w:rPr>
        <w:t>ועבירות מסוג זה המופנות כלפי בת זוג בפרט</w:t>
      </w:r>
      <w:r>
        <w:rPr>
          <w:rtl w:val="true"/>
        </w:rPr>
        <w:t xml:space="preserve">. </w:t>
      </w:r>
      <w:r>
        <w:rPr>
          <w:rtl w:val="true"/>
        </w:rPr>
        <w:t>כפי שציינתי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12.7.2018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זוגם</w:t>
      </w:r>
      <w:r>
        <w:rPr>
          <w:rtl w:val="true"/>
        </w:rPr>
        <w:t xml:space="preserve">, </w:t>
      </w:r>
      <w:r>
        <w:rPr>
          <w:rtl w:val="true"/>
        </w:rPr>
        <w:t>בסביבה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והמוגנת</w:t>
      </w:r>
      <w:r>
        <w:rPr>
          <w:rtl w:val="true"/>
        </w:rPr>
        <w:t>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7677/12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7.11.2012</w:t>
      </w:r>
      <w:r>
        <w:rPr>
          <w:rFonts w:cs="Century" w:ascii="Century" w:hAnsi="Century"/>
          <w:rtl w:val="true"/>
        </w:rPr>
        <w:t xml:space="preserve">);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2672/08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17.11.2008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מעשיו של המערער בולטים בחומרתם אף ביחס לעבירות אלימות קשה המופנית כלפי בת זוג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מתקדמים</w:t>
      </w:r>
      <w:r>
        <w:rPr>
          <w:rtl w:val="true"/>
        </w:rPr>
        <w:t xml:space="preserve">, </w:t>
      </w:r>
      <w:r>
        <w:rPr>
          <w:rtl w:val="true"/>
        </w:rPr>
        <w:t>וסבור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שבבטנה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הותירהּ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בנס</w:t>
      </w:r>
      <w:r>
        <w:rPr>
          <w:rtl w:val="true"/>
        </w:rPr>
        <w:t xml:space="preserve">" </w:t>
      </w:r>
      <w:r>
        <w:rPr>
          <w:rtl w:val="true"/>
        </w:rPr>
        <w:t>ניצלו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קמעה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רובצים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שבבטנה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בנסיבות אלו אני סבור כי עונשו של המערער אינו חמור כלל ועיקר </w:t>
      </w:r>
      <w:r>
        <w:rPr>
          <w:rtl w:val="true"/>
        </w:rPr>
        <w:t>–</w:t>
      </w:r>
      <w:r>
        <w:rPr>
          <w:rtl w:val="true"/>
        </w:rPr>
        <w:t xml:space="preserve"> ויתכן שהוא אף מקל עימו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בניגוד לטענות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ציין מפורשות בגזר דינו את מכלול הנסיבות המקלות הרלוונטיות בעניינו</w:t>
      </w:r>
      <w:r>
        <w:rPr>
          <w:rtl w:val="true"/>
        </w:rPr>
        <w:t xml:space="preserve">, </w:t>
      </w:r>
      <w:r>
        <w:rPr>
          <w:rtl w:val="true"/>
        </w:rPr>
        <w:t>לרבות גילו הצעיר והודאתו בעובדות כתב האישום המתוקן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יוזכר</w:t>
      </w:r>
      <w:r>
        <w:rPr>
          <w:rtl w:val="true"/>
        </w:rPr>
        <w:t xml:space="preserve">, </w:t>
      </w:r>
      <w:r>
        <w:rPr>
          <w:rtl w:val="true"/>
        </w:rPr>
        <w:t xml:space="preserve">כי הרף העליון שקבע בית המשפט המחוזי במתחם העונש ההולם את מעשיו של המערער עמד 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וכי מול נסיבות מקלות אלו נשקלו גם הנסיבות האישיות המחמירות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בדגש על עברו הפלילי המכביד ותסקיר שירות המבחן השלילי שהוגש 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אין בידי לקבל את טענת המערער כי שגה בית המשפט המחוזי משלא ניכה מעונש המאסר בפועל שהושת עליו</w:t>
      </w:r>
      <w:r>
        <w:rPr>
          <w:rtl w:val="true"/>
        </w:rPr>
        <w:t xml:space="preserve">, </w:t>
      </w:r>
      <w:r>
        <w:rPr>
          <w:rtl w:val="true"/>
        </w:rPr>
        <w:t>את תקופת מעצרו בהליך 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20.4.2018</w:t>
      </w:r>
      <w:r>
        <w:rPr>
          <w:rtl w:val="true"/>
        </w:rPr>
        <w:t xml:space="preserve"> </w:t>
      </w:r>
      <w:r>
        <w:rPr>
          <w:rtl w:val="true"/>
        </w:rPr>
        <w:t>נוכתה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20.4.2018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ליום </w:t>
      </w:r>
      <w:r>
        <w:rPr>
          <w:rFonts w:cs="Century" w:ascii="Century" w:hAnsi="Century"/>
        </w:rPr>
        <w:t>23.10.2018</w:t>
      </w:r>
      <w:r>
        <w:rPr>
          <w:rtl w:val="true"/>
        </w:rPr>
        <w:t xml:space="preserve"> </w:t>
      </w:r>
      <w:r>
        <w:rPr>
          <w:rtl w:val="true"/>
        </w:rPr>
        <w:t>נוכתה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ascii="Century" w:hAnsi="Century" w:cs="Century"/>
          <w:rtl w:val="true"/>
        </w:rPr>
        <w:t xml:space="preserve"> בהליך האחר </w:t>
      </w:r>
      <w:r>
        <w:rPr>
          <w:rFonts w:cs="Century" w:ascii="Century" w:hAnsi="Century"/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56308-04-18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בשתאוי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23.10.2018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המשיך המערער לשאת את עונש המאסר בגין ההליך האחר עד למתן גזר הדין בהליך דנן ביום </w:t>
      </w:r>
      <w:r>
        <w:rPr>
          <w:rFonts w:cs="Century" w:ascii="Century" w:hAnsi="Century"/>
        </w:rPr>
        <w:t>6.5.2019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יוצא 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שבקשתו של המערער אינה מכוונת אלא לניכוי ימי מעצרו בהליך דנן אשר הובאו במקביל במניין ימי מאסרו בהליך האחר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שציינתי בהקשר דומה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" (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8244/17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21.8.2018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מוצא טעם להתערב בהחלטת בית המשפט המחוזי שלא לנכות מתקופת מאסרו של המערער בהליך דנן את תקופת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במהלכה ריצה עונש מאסר בגין ההליך האחר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17.3.2020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19041850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54678313-4185/19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4185/19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בשתאוי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095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case/22909531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3833066" TargetMode="External"/><Relationship Id="rId9" Type="http://schemas.openxmlformats.org/officeDocument/2006/relationships/hyperlink" Target="http://www.nevo.co.il/case/22797351" TargetMode="External"/><Relationship Id="rId10" Type="http://schemas.openxmlformats.org/officeDocument/2006/relationships/hyperlink" Target="http://www.nevo.co.il/case/5589927" TargetMode="External"/><Relationship Id="rId11" Type="http://schemas.openxmlformats.org/officeDocument/2006/relationships/hyperlink" Target="http://www.nevo.co.il/case/6244403" TargetMode="External"/><Relationship Id="rId12" Type="http://schemas.openxmlformats.org/officeDocument/2006/relationships/hyperlink" Target="http://www.nevo.co.il/case/23900015" TargetMode="External"/><Relationship Id="rId13" Type="http://schemas.openxmlformats.org/officeDocument/2006/relationships/hyperlink" Target="http://www.nevo.co.il/case/24344573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2020-03-18T10:36:00Z</dcterms:created>
  <dc:creator>h4</dc:creator>
  <dc:description/>
  <cp:keywords/>
  <dc:language>en-IL</dc:language>
  <cp:lastModifiedBy>orly</cp:lastModifiedBy>
  <cp:lastPrinted>2020-03-17T12:20:00Z</cp:lastPrinted>
  <dcterms:modified xsi:type="dcterms:W3CDTF">2020-03-18T10:36:00Z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בשתאוי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22909531:2;23833066;22797351;5589927;6244403;23900015;24344573</vt:lpwstr>
  </property>
  <property fmtid="{D5CDD505-2E9C-101B-9397-08002B2CF9AE}" pid="9" name="CITY">
    <vt:lpwstr/>
  </property>
  <property fmtid="{D5CDD505-2E9C-101B-9397-08002B2CF9AE}" pid="10" name="DATE">
    <vt:lpwstr>20200317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אלרון;א' שטיין</vt:lpwstr>
  </property>
  <property fmtid="{D5CDD505-2E9C-101B-9397-08002B2CF9AE}" pid="14" name="LAWLISTTMP1">
    <vt:lpwstr>70301/329.a.1</vt:lpwstr>
  </property>
  <property fmtid="{D5CDD505-2E9C-101B-9397-08002B2CF9AE}" pid="15" name="LAWYER">
    <vt:lpwstr>חיים שוייצר;מני אלבייר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>דיון פלילי</vt:lpwstr>
  </property>
  <property fmtid="{D5CDD505-2E9C-101B-9397-08002B2CF9AE}" pid="32" name="NOSE16">
    <vt:lpwstr>דיון פלילי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77;77;77;18;18;18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עונש</vt:lpwstr>
  </property>
  <property fmtid="{D5CDD505-2E9C-101B-9397-08002B2CF9AE}" pid="42" name="NOSE25">
    <vt:lpwstr>עונש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1446;1446;1446;498;498;504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ערעור</vt:lpwstr>
  </property>
  <property fmtid="{D5CDD505-2E9C-101B-9397-08002B2CF9AE}" pid="53" name="NOSE35">
    <vt:lpwstr>ניכוי ימי מעצר</vt:lpwstr>
  </property>
  <property fmtid="{D5CDD505-2E9C-101B-9397-08002B2CF9AE}" pid="54" name="NOSE36">
    <vt:lpwstr>אי-התערבות במידת העונש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8984;8982;8994;3814;16106;17039</vt:lpwstr>
  </property>
  <property fmtid="{D5CDD505-2E9C-101B-9397-08002B2CF9AE}" pid="59" name="PADIDATE">
    <vt:lpwstr>20200318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4185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410120200317</vt:lpwstr>
  </property>
  <property fmtid="{D5CDD505-2E9C-101B-9397-08002B2CF9AE}" pid="69" name="TYPE_N_DATE">
    <vt:lpwstr>41020200317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