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4215/21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4433/21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שוחט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4215/21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4215/21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4433/21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אניס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14013-07-19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ציגלר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מנדלבוים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13.1.22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4215/21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4433/21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4215/21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4433/21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4215/21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4433/21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אבנון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קרעים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Start w:id="6" w:name="BeginProtocol"/>
      <w:bookmarkStart w:id="7" w:name="secretary"/>
      <w:bookmarkEnd w:id="5"/>
      <w:bookmarkEnd w:id="6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יש להתערב ולהחמיר את עונשי המאסר בפועל שהושתו על המערערים בגין עבירות מין ואיומים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ניתן משקל הולם לאופי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לעובדת ביצוען בצוותא ולנזק העצום שנגרם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הועמד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ועונשו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הועמד על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נוסף על העונשים הנלווים שנגזרו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ובהם הפעלת מאסר מותנה בן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שיתווסף במצטבר לעונשו של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בביצוע שתי עבירות של 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איומים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בביצוע עבירה אחת של מעשה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מעשה מגונה בנסיבות מחמירות ואיומים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בצירוף מאסר מותנה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שבסך הכול ירצה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וכן שני 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הושתו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ושני 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כל אחד מהמערערים חויב גם לשלם פיצוי למתלונן בסך </w:t>
      </w:r>
      <w:r>
        <w:rPr>
          <w:rFonts w:cs="Times New Roman" w:ascii="Times New Roman" w:hAnsi="Times New Roman"/>
          <w:spacing w:val="0"/>
          <w:sz w:val="24"/>
          <w:szCs w:val="26"/>
        </w:rPr>
        <w:t>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הגישה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4215/21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הגישו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4433/21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ערער גם על גובה הפיצוי הכספי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שוחט ובהסכמת המשנה לנשיאה הנדל והשופטת ברון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4215/21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4433/21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מקרה זה בא בגדר אותם מצבים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שמצדיקים התערבות ערכאת הערעור בגזר הדין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ובענייננו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ניתן משקל הולם לאופי העבירות של אינוס בשדה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לעובדת ביצוען בצוותא ולנזק העצום שנגרם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עסקינן במסכת התעללות מזוויעה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שאותה ביצעו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על החומרה הרבה ועל ההשלכות הקשות שטמונות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מבין 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החמורות שבהן הן העבירות של מעשה סדום בהיותן מסוג העבירות הפוצעות את הקורבנות בגוף ובנפש בצורה קשה ביותר וחומרה יתרה תתווסף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שעה שעבירות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לסוגיהן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מתבצעות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שניים או יותר תוך שהמבצעים מתייחסים לקורבן מעשיהם ככלי משחק ומעבירים אותו מיד ליד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מצבו ויתרונם המספרי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והכל לטובת סיפוק יצריהם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לעבירות מין ברף הגבוה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שמגיעות עד כדי אבדן צלם אנוש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כשהן נעשות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בקורבן תמים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שנקלע באקראי בדרכם של המבצעים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ונכון לתת משקל ממשי ומכריע לעקרונות הגמול וההרתעה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 מתחם הענישה ההולם ובמיקום העונש בגדרו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ההולם ראוי שיהיה גבוה ומיקום העונש נכון שיהיה בחלק העליון של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אין בנמצא נסיבות מיוחדות שאינן קשורות בביצוע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נסיבות אישיות של מבצעיהן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בהן כדי להקל בקביעת המיקום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מעשי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שממוקמים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נסיבותיהם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ברף החמור של 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מתחמי הענישה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לא נותנים ביטוי הולם לעבירות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שעונשי המאסר בפועל שנגזרו עליהם לא הולמים את המעשים שביצעו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המחוקק קבע עונש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בגין עבירה של מעשה סדום שבוצע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ועונש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בגין עבירה של מעשה מגונה שבוצע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ביצע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של 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בכל אחת מהעבירות קוימו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עבירה אחת של מעשה סדום ועבירה אחת של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בכל אחת מהעבירות קוימו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אלה יש להוסיף את יתר נסיבות האירוע – המרדף אחר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האיומים על 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השימוש בנשק 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האלימות שננקטה כלפיו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 הכספים הימנו והשארתו בזירת האירוע כשהוא פצוע בגופו ובנפשו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רצף כה מזעזע של נסיבות ואירועים מצדיק ענישה המתקרבת לעונש המקסימום שנקבע בחוק לעבירה בודדת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משעה שבוצעו כמה וכמה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הפסיקה בנסיבות קרובות או תואמות לענייננו מלמדת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היה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לקבוע מתחם ענישה גבוה יותר – למערער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ענישה שנע בין </w:t>
      </w:r>
      <w:r>
        <w:rPr>
          <w:rFonts w:cs="Times New Roman" w:ascii="Times New Roman" w:hAnsi="Times New Roman"/>
          <w:spacing w:val="0"/>
          <w:szCs w:val="26"/>
        </w:rPr>
        <w:t>18-12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ענישה שנע בין </w:t>
      </w:r>
      <w:r>
        <w:rPr>
          <w:rFonts w:cs="Times New Roman" w:ascii="Times New Roman" w:hAnsi="Times New Roman"/>
          <w:spacing w:val="0"/>
          <w:szCs w:val="26"/>
        </w:rPr>
        <w:t>15-10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בקביעת העונש בתוך המתחמים אין למצוא נסיבות מקלות מיוחדות במערער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הועמד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בנוסף לרכיבי העונש הנוספים שנגזרו עליו לרבות הפעלת המאסר המותנה באופן 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שבסך הכל ירצה מאסר בפועל לתקופה של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רק משום ההלכה לפיה ערכאת הערעור לא ממצה את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חלקו המשמעותי במעשים שבוצעו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העובדה כי אין לו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עונשו הועמד על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בנוסף לעונשים הנלווים שנגזרו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ש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שוחט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ערעור המדינה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4215/21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 xml:space="preserve">וערעור הנאשמים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4433/21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>על גזר הדין של בית המשפט המחוזי</w:t>
      </w:r>
      <w:r>
        <w:rPr>
          <w:rtl w:val="true"/>
        </w:rPr>
        <w:t xml:space="preserve"> בחיפה 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14013-07-19</w:t>
        </w:r>
      </w:hyperlink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מנדלבום</w:t>
      </w:r>
      <w:r>
        <w:rPr>
          <w:rtl w:val="true"/>
        </w:rPr>
        <w:t xml:space="preserve">), </w:t>
      </w:r>
      <w:r>
        <w:rPr>
          <w:rtl w:val="true"/>
        </w:rPr>
        <w:t xml:space="preserve">מיום </w:t>
      </w:r>
      <w:r>
        <w:rPr/>
        <w:t>9.5.2021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 </w:t>
      </w:r>
      <w:r>
        <w:rPr>
          <w:rtl w:val="true"/>
        </w:rPr>
        <w:t>שנחתם</w:t>
      </w:r>
      <w:r>
        <w:rPr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–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 –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הואשמו</w:t>
      </w:r>
      <w:r>
        <w:rPr>
          <w:rtl w:val="true"/>
        </w:rPr>
        <w:t xml:space="preserve"> </w:t>
      </w:r>
      <w:r>
        <w:rPr>
          <w:rtl w:val="true"/>
        </w:rPr>
        <w:t>והורשעו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7.6.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לבקר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 </w:t>
      </w:r>
      <w:r>
        <w:rPr>
          <w:rtl w:val="true"/>
        </w:rPr>
        <w:t>הלכו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בקרבת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מווארס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ובחברו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והתקרבו</w:t>
      </w:r>
      <w:r>
        <w:rPr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נגש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ותקף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שסטר</w:t>
      </w:r>
      <w:r>
        <w:rPr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 </w:t>
      </w:r>
      <w:r>
        <w:rPr>
          <w:rtl w:val="true"/>
        </w:rPr>
        <w:t>ונושא</w:t>
      </w:r>
      <w:r>
        <w:rPr>
          <w:rtl w:val="true"/>
        </w:rPr>
        <w:t xml:space="preserve"> </w:t>
      </w:r>
      <w:r>
        <w:rPr>
          <w:rtl w:val="true"/>
        </w:rPr>
        <w:t>בכיס</w:t>
      </w:r>
      <w:r>
        <w:rPr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 </w:t>
      </w:r>
      <w:r>
        <w:rPr>
          <w:rtl w:val="true"/>
        </w:rPr>
        <w:t>מברג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לראותו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מהמקום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שהמתלונן</w:t>
      </w:r>
      <w:r>
        <w:rPr>
          <w:rtl w:val="true"/>
        </w:rPr>
        <w:t xml:space="preserve"> </w:t>
      </w:r>
      <w:r>
        <w:rPr>
          <w:rtl w:val="true"/>
        </w:rPr>
        <w:t>מנסה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 </w:t>
      </w:r>
      <w:r>
        <w:rPr>
          <w:rtl w:val="true"/>
        </w:rPr>
        <w:t>ולהסתתר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כשהמערערים</w:t>
      </w:r>
      <w:r>
        <w:rPr>
          <w:rtl w:val="true"/>
        </w:rPr>
        <w:t xml:space="preserve"> </w:t>
      </w:r>
      <w:r>
        <w:rPr>
          <w:rtl w:val="true"/>
        </w:rPr>
        <w:t>רודפים</w:t>
      </w:r>
      <w:r>
        <w:rPr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בריחת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ונפל</w:t>
      </w:r>
      <w:r>
        <w:rPr>
          <w:rtl w:val="true"/>
        </w:rPr>
        <w:t xml:space="preserve"> </w:t>
      </w:r>
      <w:r>
        <w:rPr>
          <w:rtl w:val="true"/>
        </w:rPr>
        <w:t>לתוך</w:t>
      </w:r>
      <w:r>
        <w:rPr>
          <w:rtl w:val="true"/>
        </w:rPr>
        <w:t xml:space="preserve"> </w:t>
      </w:r>
      <w:r>
        <w:rPr>
          <w:rtl w:val="true"/>
        </w:rPr>
        <w:t>בור</w:t>
      </w:r>
      <w:r>
        <w:rPr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קם</w:t>
      </w:r>
      <w:r>
        <w:rPr>
          <w:rtl w:val="true"/>
        </w:rPr>
        <w:t xml:space="preserve"> </w:t>
      </w:r>
      <w:r>
        <w:rPr>
          <w:rtl w:val="true"/>
        </w:rPr>
        <w:t>והמשיך</w:t>
      </w:r>
      <w:r>
        <w:rPr>
          <w:rtl w:val="true"/>
        </w:rPr>
        <w:t xml:space="preserve"> </w:t>
      </w:r>
      <w:r>
        <w:rPr>
          <w:rtl w:val="true"/>
        </w:rPr>
        <w:t>במנוסתו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מחבוא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לשיח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רדפו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איתרו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לשיח</w:t>
      </w:r>
      <w:r>
        <w:rPr>
          <w:rtl w:val="true"/>
        </w:rPr>
        <w:t xml:space="preserve"> </w:t>
      </w:r>
      <w:r>
        <w:rPr>
          <w:rtl w:val="true"/>
        </w:rPr>
        <w:t>והתקרבו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המברג</w:t>
      </w:r>
      <w:r>
        <w:rPr>
          <w:rtl w:val="true"/>
        </w:rPr>
        <w:t xml:space="preserve"> </w:t>
      </w:r>
      <w:r>
        <w:rPr>
          <w:rtl w:val="true"/>
        </w:rPr>
        <w:t>ובידו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פנס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 </w:t>
      </w:r>
      <w:r>
        <w:rPr>
          <w:rtl w:val="true"/>
        </w:rPr>
        <w:t>ממחבואו</w:t>
      </w:r>
      <w:r>
        <w:rPr>
          <w:rtl w:val="true"/>
        </w:rPr>
        <w:t xml:space="preserve"> </w:t>
      </w:r>
      <w:r>
        <w:rPr>
          <w:rtl w:val="true"/>
        </w:rPr>
        <w:t>שמאחורי</w:t>
      </w:r>
      <w:r>
        <w:rPr>
          <w:rtl w:val="true"/>
        </w:rPr>
        <w:t xml:space="preserve"> </w:t>
      </w:r>
      <w:r>
        <w:rPr>
          <w:rtl w:val="true"/>
        </w:rPr>
        <w:t>השיח</w:t>
      </w:r>
      <w:r>
        <w:rPr>
          <w:rtl w:val="true"/>
        </w:rPr>
        <w:t xml:space="preserve"> </w:t>
      </w:r>
      <w:r>
        <w:rPr>
          <w:rtl w:val="true"/>
        </w:rPr>
        <w:t>ובפחדו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 </w:t>
      </w:r>
      <w:r>
        <w:rPr>
          <w:rtl w:val="true"/>
        </w:rPr>
        <w:t>התחנן</w:t>
      </w:r>
      <w:r>
        <w:rPr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 </w:t>
      </w:r>
      <w:r>
        <w:rPr>
          <w:rtl w:val="true"/>
        </w:rPr>
        <w:t>שיעשה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שירצו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בסברו</w:t>
      </w:r>
      <w:r>
        <w:rPr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 </w:t>
      </w:r>
      <w:r>
        <w:rPr>
          <w:rtl w:val="true"/>
        </w:rPr>
        <w:t>יתרצו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הצמיד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המברג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צידה הימני של ה</w:t>
      </w:r>
      <w:r>
        <w:rPr>
          <w:rtl w:val="true"/>
        </w:rPr>
        <w:t>בטן</w:t>
      </w:r>
      <w:r>
        <w:rPr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ותפס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אחזו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בשתי</w:t>
      </w:r>
      <w:r>
        <w:rPr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 </w:t>
      </w:r>
      <w:r>
        <w:rPr>
          <w:rtl w:val="true"/>
        </w:rPr>
        <w:t>והובילו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מרחק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שטח</w:t>
      </w:r>
      <w:r>
        <w:rPr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 </w:t>
      </w:r>
      <w:r>
        <w:rPr>
          <w:rtl w:val="true"/>
        </w:rPr>
        <w:t>לרפת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והמתלונן</w:t>
      </w:r>
      <w:r>
        <w:rPr>
          <w:rtl w:val="true"/>
        </w:rPr>
        <w:t xml:space="preserve"> </w:t>
      </w:r>
      <w:r>
        <w:rPr>
          <w:rtl w:val="true"/>
        </w:rPr>
        <w:t>לשטח</w:t>
      </w:r>
      <w:r>
        <w:rPr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 </w:t>
      </w:r>
      <w:r>
        <w:rPr>
          <w:rtl w:val="true"/>
        </w:rPr>
        <w:t>לרפת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והורה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למצוץ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ולמערער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למצוץ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לרדת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והחדיר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מצץ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כעבור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הפשיל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בעודו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ברכיו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והחדיר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שהורה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למצוץ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בפחדו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כדברי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ומצץ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לקום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, </w:t>
      </w:r>
      <w:r>
        <w:rPr>
          <w:rtl w:val="true"/>
        </w:rPr>
        <w:t>להסתובב</w:t>
      </w:r>
      <w:r>
        <w:rPr>
          <w:rtl w:val="true"/>
        </w:rPr>
        <w:t xml:space="preserve"> </w:t>
      </w:r>
      <w:r>
        <w:rPr>
          <w:rtl w:val="true"/>
        </w:rPr>
        <w:t>ולהפשיל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שמערער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יחכך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בפי</w:t>
      </w:r>
      <w:r>
        <w:rPr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tl w:val="true"/>
        </w:rPr>
        <w:t xml:space="preserve"> </w:t>
      </w:r>
      <w:r>
        <w:rPr>
          <w:rtl w:val="true"/>
        </w:rPr>
        <w:t>במברג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בפחדו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כדברי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הפשיל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 </w:t>
      </w:r>
      <w:r>
        <w:rPr>
          <w:rtl w:val="true"/>
        </w:rPr>
        <w:t>ותחתוניו</w:t>
      </w:r>
      <w:r>
        <w:rPr>
          <w:rtl w:val="true"/>
        </w:rPr>
        <w:t xml:space="preserve">, </w:t>
      </w:r>
      <w:r>
        <w:rPr>
          <w:rtl w:val="true"/>
        </w:rPr>
        <w:t>והסתובב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שישבנו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לשכב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שיהיה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נוח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לחכך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בפי</w:t>
      </w:r>
      <w:r>
        <w:rPr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ביזוי</w:t>
      </w:r>
      <w:r>
        <w:rPr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. </w:t>
      </w:r>
      <w:r>
        <w:rPr>
          <w:rtl w:val="true"/>
        </w:rPr>
        <w:t>בפחדו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כדברי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ונשכב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ירק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ישבנו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נשכב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וחיכך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בפי</w:t>
      </w:r>
      <w:r>
        <w:rPr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ולמערער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להרפות</w:t>
      </w:r>
      <w:r>
        <w:rPr>
          <w:rtl w:val="true"/>
        </w:rPr>
        <w:t xml:space="preserve"> </w:t>
      </w:r>
      <w:r>
        <w:rPr>
          <w:rtl w:val="true"/>
        </w:rPr>
        <w:t>ואיים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שהגיע</w:t>
      </w:r>
      <w:r>
        <w:rPr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, </w:t>
      </w:r>
      <w:r>
        <w:rPr>
          <w:rtl w:val="true"/>
        </w:rPr>
        <w:t>נישק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 </w:t>
      </w:r>
      <w:r>
        <w:rPr>
          <w:rtl w:val="true"/>
        </w:rPr>
        <w:t>וקם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ולשכב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tl w:val="true"/>
        </w:rPr>
        <w:t xml:space="preserve">, </w:t>
      </w:r>
      <w:r>
        <w:rPr>
          <w:rtl w:val="true"/>
        </w:rPr>
        <w:t>בפחדו</w:t>
      </w:r>
      <w:r>
        <w:rPr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נשכב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ישבנו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והחדיר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איבר</w:t>
      </w:r>
      <w:r>
        <w:rPr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 </w:t>
      </w:r>
      <w:r>
        <w:rPr>
          <w:rtl w:val="true"/>
        </w:rPr>
        <w:t>החופשית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גורם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לכאבים</w:t>
      </w:r>
      <w:r>
        <w:rPr>
          <w:rtl w:val="true"/>
        </w:rPr>
        <w:t xml:space="preserve">. </w:t>
      </w:r>
      <w:r>
        <w:rPr>
          <w:rtl w:val="true"/>
        </w:rPr>
        <w:t>אזי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נישק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בצווארו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קם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ואיים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 </w:t>
      </w:r>
      <w:r>
        <w:rPr>
          <w:rtl w:val="true"/>
        </w:rPr>
        <w:t>שאם</w:t>
      </w:r>
      <w:r>
        <w:rPr>
          <w:rtl w:val="true"/>
        </w:rPr>
        <w:t xml:space="preserve"> </w:t>
      </w:r>
      <w:r>
        <w:rPr>
          <w:rtl w:val="true"/>
        </w:rPr>
        <w:t>יספר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 </w:t>
      </w:r>
      <w:r>
        <w:rPr>
          <w:rtl w:val="true"/>
        </w:rPr>
        <w:t>יהרוג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בפחדו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יספר</w:t>
      </w:r>
      <w:r>
        <w:rPr>
          <w:rtl w:val="true"/>
        </w:rPr>
        <w:t xml:space="preserve"> </w:t>
      </w:r>
      <w:r>
        <w:rPr>
          <w:rtl w:val="true"/>
        </w:rPr>
        <w:t>לאף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והתחנן</w:t>
      </w:r>
      <w:r>
        <w:rPr>
          <w:rtl w:val="true"/>
        </w:rPr>
        <w:t xml:space="preserve"> </w:t>
      </w:r>
      <w:r>
        <w:rPr>
          <w:rtl w:val="true"/>
        </w:rPr>
        <w:t>בפניהם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השיבו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ועזבו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שבשלב</w:t>
      </w:r>
      <w:r>
        <w:rPr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ממעשי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נגרמו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שריטות</w:t>
      </w:r>
      <w:r>
        <w:rPr>
          <w:rtl w:val="true"/>
        </w:rPr>
        <w:t xml:space="preserve"> </w:t>
      </w:r>
      <w:r>
        <w:rPr>
          <w:rtl w:val="true"/>
        </w:rPr>
        <w:t>ואודם</w:t>
      </w:r>
      <w:r>
        <w:rPr>
          <w:rtl w:val="true"/>
        </w:rPr>
        <w:t xml:space="preserve"> </w:t>
      </w:r>
      <w:r>
        <w:rPr>
          <w:rtl w:val="true"/>
        </w:rPr>
        <w:t>בבטן</w:t>
      </w:r>
      <w:r>
        <w:rPr>
          <w:rtl w:val="true"/>
        </w:rPr>
        <w:t xml:space="preserve"> </w:t>
      </w:r>
      <w:r>
        <w:rPr>
          <w:rtl w:val="true"/>
        </w:rPr>
        <w:t>תחתונה</w:t>
      </w:r>
      <w:r>
        <w:rPr>
          <w:rtl w:val="true"/>
        </w:rPr>
        <w:t xml:space="preserve"> </w:t>
      </w:r>
      <w:r>
        <w:rPr>
          <w:rtl w:val="true"/>
        </w:rPr>
        <w:t>ימנית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 xml:space="preserve"> </w:t>
      </w:r>
      <w:r>
        <w:rPr>
          <w:rtl w:val="true"/>
        </w:rPr>
        <w:t>בפי</w:t>
      </w:r>
      <w:r>
        <w:rPr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באמבולנס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 </w:t>
      </w:r>
      <w:r>
        <w:rPr>
          <w:rtl w:val="true"/>
        </w:rPr>
        <w:t>הלל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 </w:t>
      </w:r>
      <w:r>
        <w:rPr>
          <w:rtl w:val="true"/>
        </w:rPr>
        <w:t>מהקאות</w:t>
      </w:r>
      <w:r>
        <w:rPr>
          <w:rtl w:val="true"/>
        </w:rPr>
        <w:t xml:space="preserve"> </w:t>
      </w:r>
      <w:r>
        <w:rPr>
          <w:rtl w:val="true"/>
        </w:rPr>
        <w:t>ומכאבים</w:t>
      </w:r>
      <w:r>
        <w:rPr>
          <w:rtl w:val="true"/>
        </w:rPr>
        <w:t xml:space="preserve"> </w:t>
      </w:r>
      <w:r>
        <w:rPr>
          <w:rtl w:val="true"/>
        </w:rPr>
        <w:t>בבטן</w:t>
      </w:r>
      <w:r>
        <w:rPr>
          <w:rtl w:val="true"/>
        </w:rPr>
        <w:t xml:space="preserve"> </w:t>
      </w:r>
      <w:r>
        <w:rPr>
          <w:rtl w:val="true"/>
        </w:rPr>
        <w:t>תחתונה</w:t>
      </w:r>
      <w:r>
        <w:rPr>
          <w:rtl w:val="true"/>
        </w:rPr>
        <w:t xml:space="preserve"> </w:t>
      </w:r>
      <w:r>
        <w:rPr>
          <w:rtl w:val="true"/>
        </w:rPr>
        <w:t>ובפי</w:t>
      </w:r>
      <w:r>
        <w:rPr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 במשך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 </w:t>
      </w:r>
      <w:r>
        <w:rPr/>
        <w:t>13.6.2019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בדיקות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שבסופן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במעשיהם</w:t>
      </w:r>
      <w:r>
        <w:rPr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ביצעו</w:t>
      </w:r>
      <w:r>
        <w:rPr>
          <w:rtl w:val="true"/>
        </w:rPr>
        <w:t xml:space="preserve"> המערערים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 </w:t>
      </w:r>
      <w:r>
        <w:rPr>
          <w:rtl w:val="true"/>
        </w:rPr>
        <w:t>אורליים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חוברים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הסדום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 </w:t>
      </w:r>
      <w:r>
        <w:rPr>
          <w:rtl w:val="true"/>
        </w:rPr>
        <w:t>אנאלי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איימו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באיומים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; </w:t>
      </w:r>
      <w:r>
        <w:rPr>
          <w:rtl w:val="true"/>
        </w:rPr>
        <w:t xml:space="preserve">בית המשפט המחוזי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ניצלו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יתרונם</w:t>
      </w:r>
      <w:r>
        <w:rPr>
          <w:rtl w:val="true"/>
        </w:rPr>
        <w:t xml:space="preserve"> </w:t>
      </w:r>
      <w:r>
        <w:rPr>
          <w:rtl w:val="true"/>
        </w:rPr>
        <w:t>המספרי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פערי</w:t>
      </w:r>
      <w:r>
        <w:rPr>
          <w:rtl w:val="true"/>
        </w:rPr>
        <w:t xml:space="preserve"> </w:t>
      </w:r>
      <w:r>
        <w:rPr>
          <w:rtl w:val="true"/>
        </w:rPr>
        <w:t>הכוחות</w:t>
      </w:r>
      <w:r>
        <w:rPr>
          <w:rtl w:val="true"/>
        </w:rPr>
        <w:t xml:space="preserve"> </w:t>
      </w:r>
      <w:r>
        <w:rPr>
          <w:rtl w:val="true"/>
        </w:rPr>
        <w:t>בינם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שנקלע</w:t>
      </w:r>
      <w:r>
        <w:rPr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סמרטוטים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והתעללו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אכזרי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 </w:t>
      </w:r>
      <w:r>
        <w:rPr>
          <w:rtl w:val="true"/>
        </w:rPr>
        <w:t>ותוך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מודעים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לפסול</w:t>
      </w:r>
      <w:r>
        <w:rPr>
          <w:rtl w:val="true"/>
        </w:rPr>
        <w:t xml:space="preserve"> </w:t>
      </w:r>
      <w:r>
        <w:rPr>
          <w:rtl w:val="true"/>
        </w:rPr>
        <w:t>שבמעשיהם</w:t>
      </w:r>
      <w:r>
        <w:rPr>
          <w:rtl w:val="true"/>
        </w:rPr>
        <w:t xml:space="preserve">; </w:t>
      </w:r>
      <w:r>
        <w:rPr>
          <w:rtl w:val="true"/>
        </w:rPr>
        <w:t xml:space="preserve">בית המשפט המחוזי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הנזקים</w:t>
      </w:r>
      <w:r>
        <w:rPr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 </w:t>
      </w:r>
      <w:r>
        <w:rPr>
          <w:rtl w:val="true"/>
        </w:rPr>
        <w:t>והפיזיים</w:t>
      </w:r>
      <w:r>
        <w:rPr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ילוו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לאורך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ומעדותו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ודחה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ניסיונם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להמעיט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 </w:t>
      </w:r>
      <w:r>
        <w:rPr>
          <w:rtl w:val="true"/>
        </w:rPr>
        <w:t>בחן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בסיס</w:t>
      </w:r>
      <w:r>
        <w:rPr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 </w:t>
      </w:r>
      <w:r>
        <w:rPr>
          <w:rtl w:val="true"/>
        </w:rPr>
        <w:t>שהניחו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ענישה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מתחם </w:t>
      </w:r>
      <w:r>
        <w:rPr>
          <w:rtl w:val="true"/>
        </w:rPr>
        <w:t>שנע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ולמערער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מתחם שנע בין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 </w:t>
      </w:r>
      <w:r>
        <w:rPr>
          <w:rtl w:val="true"/>
        </w:rPr>
        <w:t>ובעבירות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למקם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tl w:val="true"/>
        </w:rPr>
        <w:t xml:space="preserve"> </w:t>
      </w:r>
      <w:r>
        <w:rPr>
          <w:rtl w:val="true"/>
        </w:rPr>
        <w:t>לחרוג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בתום</w:t>
      </w:r>
      <w:r>
        <w:rPr>
          <w:rtl w:val="true"/>
        </w:rPr>
        <w:t xml:space="preserve">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26868-09-16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19.7.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;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/>
        <w:t>10.6.</w:t>
      </w:r>
      <w:r>
        <w:rPr/>
        <w:t>2019</w:t>
      </w:r>
      <w:r>
        <w:rPr>
          <w:rtl w:val="true"/>
        </w:rPr>
        <w:t>;</w:t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;</w:t>
      </w:r>
    </w:p>
    <w:p>
      <w:pPr>
        <w:pStyle w:val="Ruller41"/>
        <w:numPr>
          <w:ilvl w:val="0"/>
          <w:numId w:val="4"/>
        </w:numPr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 חויב גם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4</w:t>
      </w:r>
      <w:r>
        <w:rPr/>
        <w:t>0</w:t>
      </w:r>
      <w:r>
        <w:rPr/>
        <w:t>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השלימו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 </w:t>
      </w:r>
      <w:r>
        <w:rPr>
          <w:rtl w:val="true"/>
        </w:rPr>
        <w:t>והגישו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קולת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4215/21</w:t>
      </w:r>
      <w:r>
        <w:rPr>
          <w:rtl w:val="true"/>
        </w:rPr>
        <w:t xml:space="preserve">) </w:t>
      </w:r>
      <w:r>
        <w:rPr>
          <w:rtl w:val="true"/>
        </w:rPr>
        <w:t>ולאחריה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חומרתו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4433/21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ערער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גובה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4431/21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 </w:t>
      </w:r>
      <w:r>
        <w:rPr>
          <w:rtl w:val="true"/>
        </w:rPr>
        <w:t>מהמתחמים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ולמצער</w:t>
      </w:r>
      <w:r>
        <w:rPr>
          <w:rtl w:val="true"/>
        </w:rPr>
        <w:t xml:space="preserve"> </w:t>
      </w:r>
      <w:r>
        <w:rPr>
          <w:rtl w:val="true"/>
        </w:rPr>
        <w:t>במיקום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לשיטת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לשניהם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הולמים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מושא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וחורגים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לגישתם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שימשה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עניינה</w:t>
      </w:r>
      <w:r>
        <w:rPr>
          <w:rtl w:val="true"/>
        </w:rPr>
        <w:t xml:space="preserve"> </w:t>
      </w:r>
      <w:r>
        <w:rPr>
          <w:rtl w:val="true"/>
        </w:rPr>
        <w:t>במישור</w:t>
      </w:r>
      <w:r>
        <w:rPr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מהמקרה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שקבעו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 </w:t>
      </w:r>
      <w:r>
        <w:rPr>
          <w:rtl w:val="true"/>
        </w:rPr>
        <w:t>מקלים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 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לקבוע מתחמי ענישה מקלים בעניינם ואף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 xml:space="preserve">מהם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נטען כי היה על בית משפט קמא</w:t>
      </w:r>
      <w:r>
        <w:rPr>
          <w:rtl w:val="true"/>
        </w:rPr>
        <w:t xml:space="preserve"> </w:t>
      </w:r>
      <w:r>
        <w:rPr>
          <w:rtl w:val="true"/>
        </w:rPr>
        <w:t>למקם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קבע 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ונסיבותיהם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מוסיפים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שגה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אופטימליים</w:t>
      </w:r>
      <w:r>
        <w:rPr>
          <w:rtl w:val="true"/>
        </w:rPr>
        <w:t xml:space="preserve">"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שהותקף</w:t>
      </w:r>
      <w:r>
        <w:rPr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עותרים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להקלה</w:t>
      </w:r>
      <w:r>
        <w:rPr>
          <w:rtl w:val="true"/>
        </w:rPr>
        <w:t xml:space="preserve"> </w:t>
      </w:r>
      <w:r>
        <w:rPr>
          <w:rtl w:val="true"/>
        </w:rPr>
        <w:t>בעונשי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קובל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גובה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הכספי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שתישא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 </w:t>
      </w:r>
      <w:r>
        <w:rPr>
          <w:rtl w:val="true"/>
        </w:rPr>
        <w:t>שתאלץ</w:t>
      </w:r>
      <w:r>
        <w:rPr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 </w:t>
      </w:r>
      <w:r>
        <w:rPr>
          <w:rtl w:val="true"/>
        </w:rPr>
        <w:t>בעול</w:t>
      </w:r>
      <w:r>
        <w:rPr>
          <w:rtl w:val="true"/>
        </w:rPr>
        <w:t xml:space="preserve"> </w:t>
      </w:r>
      <w:r>
        <w:rPr>
          <w:rtl w:val="true"/>
        </w:rPr>
        <w:t>הפרנסה</w:t>
      </w:r>
      <w:r>
        <w:rPr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4215/21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tl w:val="true"/>
        </w:rPr>
        <w:t xml:space="preserve"> </w:t>
      </w:r>
      <w:r>
        <w:rPr>
          <w:rtl w:val="true"/>
        </w:rPr>
        <w:t>שהטיל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הולמים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 </w:t>
      </w:r>
      <w:r>
        <w:rPr>
          <w:rtl w:val="true"/>
        </w:rPr>
        <w:t>המופלגת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העצומה</w:t>
      </w:r>
      <w:r>
        <w:rPr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עקרונות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ולהגדילם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 xml:space="preserve">לשיטת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 </w:t>
      </w:r>
      <w:r>
        <w:rPr>
          <w:rtl w:val="true"/>
        </w:rPr>
        <w:t>לחומרת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שמיוחסים</w:t>
      </w:r>
      <w:r>
        <w:rPr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מקראי</w:t>
      </w:r>
      <w:r>
        <w:rPr>
          <w:rtl w:val="true"/>
        </w:rPr>
        <w:t>' (</w:t>
      </w:r>
      <w:r>
        <w:rPr>
          <w:rtl w:val="true"/>
        </w:rPr>
        <w:t>אקראי</w:t>
      </w:r>
      <w:r>
        <w:rPr>
          <w:rtl w:val="true"/>
        </w:rPr>
        <w:t xml:space="preserve">) </w:t>
      </w:r>
      <w:r>
        <w:rPr>
          <w:rtl w:val="true"/>
        </w:rPr>
        <w:t>ובצוותא</w:t>
      </w:r>
      <w:r>
        <w:rPr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 </w:t>
      </w:r>
      <w:r>
        <w:rPr>
          <w:rtl w:val="true"/>
        </w:rPr>
        <w:t>בענישתם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התייחס</w:t>
      </w:r>
      <w:r>
        <w:rPr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 </w:t>
      </w:r>
      <w:r>
        <w:rPr>
          <w:rtl w:val="true"/>
        </w:rPr>
        <w:t>אלמנטים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מקלים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המזערי</w:t>
      </w:r>
      <w:r>
        <w:rPr>
          <w:rtl w:val="true"/>
        </w:rPr>
        <w:t xml:space="preserve"> </w:t>
      </w:r>
      <w:r>
        <w:rPr>
          <w:rtl w:val="true"/>
        </w:rPr>
        <w:t>שקבוע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נותנים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הדגש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לעיקרון</w:t>
      </w:r>
      <w:r>
        <w:rPr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לעיקרון</w:t>
      </w:r>
      <w:r>
        <w:rPr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 </w:t>
      </w:r>
      <w:r>
        <w:rPr>
          <w:rtl w:val="true"/>
        </w:rPr>
        <w:t>ולנזק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עותרת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להחמרה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 </w:t>
      </w:r>
      <w:r>
        <w:rPr>
          <w:rtl w:val="true"/>
        </w:rPr>
        <w:t>בעונשי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פסוקה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מתערבת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בולטת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ידה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שמקובלת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סוטה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אידירס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20.1.2016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ורבים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שבחנתי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 </w:t>
      </w:r>
      <w:r>
        <w:rPr>
          <w:rtl w:val="true"/>
        </w:rPr>
        <w:t>ואלו</w:t>
      </w:r>
      <w:r>
        <w:rPr>
          <w:rtl w:val="true"/>
        </w:rPr>
        <w:t xml:space="preserve"> </w:t>
      </w:r>
      <w:r>
        <w:rPr>
          <w:rtl w:val="true"/>
        </w:rPr>
        <w:t>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שמצדיקים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ובעניינ</w:t>
      </w:r>
      <w:r>
        <w:rPr>
          <w:rtl w:val="true"/>
        </w:rPr>
        <w:t>נ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לאופיין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 </w:t>
      </w:r>
      <w:r>
        <w:rPr>
          <w:rtl w:val="true"/>
        </w:rPr>
        <w:t>בשדה</w:t>
      </w:r>
      <w:r>
        <w:rPr>
          <w:rtl w:val="true"/>
        </w:rPr>
        <w:t xml:space="preserve">, </w:t>
      </w:r>
      <w:r>
        <w:rPr>
          <w:rtl w:val="true"/>
        </w:rPr>
        <w:t>לעובדת</w:t>
      </w:r>
      <w:r>
        <w:rPr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 ולנזק העצום שנגרם למתלונן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עסקינן במסכת התעללות מזוויעה מאין כמותה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שאותה ביצעו המערערים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בצוותא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אדם חסר ישע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שכל חטאו היה בכך שנקלע בדרכם של המערערים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המערערים לא הרפו מהמתלונן</w:t>
      </w:r>
      <w:r>
        <w:rPr>
          <w:rtl w:val="true"/>
        </w:rPr>
        <w:t xml:space="preserve">, </w:t>
      </w:r>
      <w:r>
        <w:rPr>
          <w:rtl w:val="true"/>
        </w:rPr>
        <w:t>גם כשניסה להימלט מהם</w:t>
      </w:r>
      <w:r>
        <w:rPr>
          <w:rtl w:val="true"/>
        </w:rPr>
        <w:t xml:space="preserve">, </w:t>
      </w:r>
      <w:r>
        <w:rPr>
          <w:rtl w:val="true"/>
        </w:rPr>
        <w:t>רדפו אחריו</w:t>
      </w:r>
      <w:r>
        <w:rPr>
          <w:rtl w:val="true"/>
        </w:rPr>
        <w:t xml:space="preserve">, </w:t>
      </w:r>
      <w:r>
        <w:rPr>
          <w:rtl w:val="true"/>
        </w:rPr>
        <w:t>שלפו אותו ממקום מחבואו ולא שעו לתחנוניו ולניסיונותיו לרצות אותם בממון ובמסירת הטלפון הנייד</w:t>
      </w:r>
      <w:r>
        <w:rPr>
          <w:rtl w:val="true"/>
        </w:rPr>
        <w:t xml:space="preserve">. </w:t>
      </w:r>
      <w:r>
        <w:rPr>
          <w:rtl w:val="true"/>
        </w:rPr>
        <w:t>מנוי וגמור היה עימם לבצע בו את זממם</w:t>
      </w:r>
      <w:r>
        <w:rPr>
          <w:rtl w:val="true"/>
        </w:rPr>
        <w:t xml:space="preserve">. </w:t>
      </w:r>
      <w:r>
        <w:rPr>
          <w:rtl w:val="true"/>
        </w:rPr>
        <w:t xml:space="preserve">תוך איומים להמיתו ותוך שימוש בנשק קר הפכו </w:t>
      </w:r>
      <w:r>
        <w:rPr>
          <w:rFonts w:ascii="Century" w:hAnsi="Century" w:cs="Century"/>
          <w:sz w:val="22"/>
          <w:sz w:val="22"/>
          <w:rtl w:val="true"/>
        </w:rPr>
        <w:t>את המתלונן לכלי משחק למימוש תאוותיהם החולניות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תחילה המערער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על פי הוראת 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ולאחריו 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בהזמנת המערער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כשהם מבצעים בו מעשה סדום אוראלי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בזה אחר זה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משלא באו על סיפוקם ביצע המערער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במתלונן מעשה מגונה תוך שהמערער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מורה למתלונן כיצד לנהוג על מנת להקל על המערער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לבצע את זממו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כשבא המערער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על סיפוקו הגיע תורו של 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 ביצע במתלונן מעשה סדום אנאלי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החומרה הרבה ועל ההשלכות הקשות שטמונות בעבירות מין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והפוגעניות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ובשלום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פולשת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והורסת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עצמיותו</w:t>
      </w:r>
      <w:r>
        <w:rPr>
          <w:rtl w:val="true"/>
        </w:rPr>
        <w:t xml:space="preserve">, </w:t>
      </w:r>
      <w:r>
        <w:rPr>
          <w:rtl w:val="true"/>
        </w:rPr>
        <w:t>ופוגעת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והברוטאלי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ובפוטנציה</w:t>
      </w:r>
      <w:r>
        <w:rPr>
          <w:rtl w:val="true"/>
        </w:rPr>
        <w:t>"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9994/07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11.8.2008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מבין עבירות המין</w:t>
      </w:r>
      <w:r>
        <w:rPr>
          <w:rtl w:val="true"/>
        </w:rPr>
        <w:t xml:space="preserve">, </w:t>
      </w:r>
      <w:r>
        <w:rPr>
          <w:rtl w:val="true"/>
        </w:rPr>
        <w:t xml:space="preserve">החמורות שבהן הן העבירות של מעשה סדום בהיותן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לוגסי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30.12.2021</w:t>
      </w:r>
      <w:r>
        <w:rPr>
          <w:rtl w:val="true"/>
        </w:rPr>
        <w:t xml:space="preserve">)) </w:t>
      </w:r>
      <w:r>
        <w:rPr>
          <w:rtl w:val="true"/>
        </w:rPr>
        <w:t>וחומרה יתרה תתווסף</w:t>
      </w:r>
      <w:r>
        <w:rPr>
          <w:rtl w:val="true"/>
        </w:rPr>
        <w:t xml:space="preserve">, </w:t>
      </w:r>
      <w:r>
        <w:rPr>
          <w:rtl w:val="true"/>
        </w:rPr>
        <w:t>על כל אלה</w:t>
      </w:r>
      <w:r>
        <w:rPr>
          <w:rtl w:val="true"/>
        </w:rPr>
        <w:t xml:space="preserve">, </w:t>
      </w:r>
      <w:r>
        <w:rPr>
          <w:rtl w:val="true"/>
        </w:rPr>
        <w:t>שעה שעבירות המין</w:t>
      </w:r>
      <w:r>
        <w:rPr>
          <w:rtl w:val="true"/>
        </w:rPr>
        <w:t xml:space="preserve">, </w:t>
      </w:r>
      <w:r>
        <w:rPr>
          <w:rtl w:val="true"/>
        </w:rPr>
        <w:t>לסוגיהן</w:t>
      </w:r>
      <w:r>
        <w:rPr>
          <w:rtl w:val="true"/>
        </w:rPr>
        <w:t xml:space="preserve">, </w:t>
      </w:r>
      <w:r>
        <w:rPr>
          <w:rtl w:val="true"/>
        </w:rPr>
        <w:t>מתבצעות על</w:t>
      </w:r>
      <w:r>
        <w:rPr>
          <w:rtl w:val="true"/>
        </w:rPr>
        <w:t>-</w:t>
      </w:r>
      <w:r>
        <w:rPr>
          <w:rtl w:val="true"/>
        </w:rPr>
        <w:t>ידי שניים או יותר תוך שהמבצעים מתייחסים לקורבן מעשיהם ככלי משחק ומעבירים אותו מיד ליד</w:t>
      </w:r>
      <w:r>
        <w:rPr>
          <w:rtl w:val="true"/>
        </w:rPr>
        <w:t xml:space="preserve">, </w:t>
      </w:r>
      <w:r>
        <w:rPr>
          <w:rtl w:val="true"/>
        </w:rPr>
        <w:t>תוך ניצול מצבו ויתרונם המספרי</w:t>
      </w:r>
      <w:r>
        <w:rPr>
          <w:rtl w:val="true"/>
        </w:rPr>
        <w:t xml:space="preserve">, </w:t>
      </w:r>
      <w:r>
        <w:rPr>
          <w:rtl w:val="true"/>
        </w:rPr>
        <w:t xml:space="preserve">והכל לטובת סיפוק יצריהם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1484/10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חאמד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34-33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8056/10</w:t>
        </w:r>
      </w:hyperlink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19.11.2012</w:t>
      </w:r>
      <w:r>
        <w:rPr>
          <w:rtl w:val="true"/>
        </w:rPr>
        <w:t xml:space="preserve">);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5673/04</w:t>
        </w:r>
      </w:hyperlink>
      <w:r>
        <w:rPr>
          <w:rtl w:val="true"/>
        </w:rPr>
        <w:t>‏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30.12.2004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לנסיבות קשות וחמורות אלה </w:t>
      </w:r>
      <w:r>
        <w:rPr>
          <w:rtl w:val="true"/>
        </w:rPr>
        <w:t>–</w:t>
      </w:r>
      <w:r>
        <w:rPr>
          <w:rtl w:val="true"/>
        </w:rPr>
        <w:t xml:space="preserve"> עבירות מין ברף הגבוה</w:t>
      </w:r>
      <w:r>
        <w:rPr>
          <w:rtl w:val="true"/>
        </w:rPr>
        <w:t xml:space="preserve">, </w:t>
      </w:r>
      <w:r>
        <w:rPr>
          <w:rtl w:val="true"/>
        </w:rPr>
        <w:t>שמגיעות עד כדי אבדן צלם אנוש</w:t>
      </w:r>
      <w:r>
        <w:rPr>
          <w:rtl w:val="true"/>
        </w:rPr>
        <w:t xml:space="preserve">, </w:t>
      </w:r>
      <w:r>
        <w:rPr>
          <w:rtl w:val="true"/>
        </w:rPr>
        <w:t>כשהן נעשות בצוותא</w:t>
      </w:r>
      <w:r>
        <w:rPr>
          <w:rtl w:val="true"/>
        </w:rPr>
        <w:t xml:space="preserve">, </w:t>
      </w:r>
      <w:r>
        <w:rPr>
          <w:rtl w:val="true"/>
        </w:rPr>
        <w:t>בקורבן תמים</w:t>
      </w:r>
      <w:r>
        <w:rPr>
          <w:rtl w:val="true"/>
        </w:rPr>
        <w:t xml:space="preserve">, </w:t>
      </w:r>
      <w:r>
        <w:rPr>
          <w:rtl w:val="true"/>
        </w:rPr>
        <w:t xml:space="preserve">שנקלע באקראי בדרכם של המבצעים </w:t>
      </w:r>
      <w:r>
        <w:rPr>
          <w:rtl w:val="true"/>
        </w:rPr>
        <w:t>–</w:t>
      </w:r>
      <w:r>
        <w:rPr>
          <w:rtl w:val="true"/>
        </w:rPr>
        <w:t xml:space="preserve"> ראוי ונכון לתת משקל ממשי ומכריע לעקרונות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וההרתעה</w:t>
      </w:r>
      <w:r>
        <w:rPr>
          <w:rtl w:val="true"/>
        </w:rPr>
        <w:t xml:space="preserve">, </w:t>
      </w:r>
      <w:r>
        <w:rPr>
          <w:rtl w:val="true"/>
        </w:rPr>
        <w:t xml:space="preserve">בקביעת מתחם הענישה ההולם ובמיקום העונש בגדרו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בינסטוק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בינסטוק</w:t>
      </w:r>
      <w:r>
        <w:rPr>
          <w:rtl w:val="true"/>
        </w:rPr>
        <w:t xml:space="preserve">)). </w:t>
      </w:r>
      <w:r>
        <w:rPr>
          <w:rtl w:val="true"/>
        </w:rPr>
        <w:t>מתחם הענישה ההולם ראוי שיהיה גבוה ומיקום העונש נכון שיהיה בחלק העליון של המתחם</w:t>
      </w:r>
      <w:r>
        <w:rPr>
          <w:rtl w:val="true"/>
        </w:rPr>
        <w:t xml:space="preserve">, </w:t>
      </w:r>
      <w:r>
        <w:rPr>
          <w:rtl w:val="true"/>
        </w:rPr>
        <w:t>כל עוד אין בנמצא נסיבות מיוחדות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לרבות נסיבות אישיות של מבצעיהן</w:t>
      </w:r>
      <w:r>
        <w:rPr>
          <w:rtl w:val="true"/>
        </w:rPr>
        <w:t xml:space="preserve">, </w:t>
      </w:r>
      <w:r>
        <w:rPr>
          <w:rtl w:val="true"/>
        </w:rPr>
        <w:t>שיש בהן כדי להקל בקביעת המיקום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מתאימים לענייננו הדברים שנאמרו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4.9.2007</w:t>
      </w:r>
      <w:r>
        <w:rPr>
          <w:rtl w:val="true"/>
        </w:rPr>
        <w:t xml:space="preserve">), </w:t>
      </w:r>
      <w:r>
        <w:rPr>
          <w:rtl w:val="true"/>
        </w:rPr>
        <w:t xml:space="preserve">טרם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ונוקב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בשים לב למעשיהם הנפשעים של המערערים</w:t>
      </w:r>
      <w:r>
        <w:rPr>
          <w:rtl w:val="true"/>
        </w:rPr>
        <w:t xml:space="preserve">, </w:t>
      </w:r>
      <w:r>
        <w:rPr>
          <w:rtl w:val="true"/>
        </w:rPr>
        <w:t>שממוקמים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לאור נסיבותיהם</w:t>
      </w:r>
      <w:r>
        <w:rPr>
          <w:rtl w:val="true"/>
        </w:rPr>
        <w:t xml:space="preserve">, </w:t>
      </w:r>
      <w:r>
        <w:rPr>
          <w:rtl w:val="true"/>
        </w:rPr>
        <w:t>ברף החמור של עבירות המין</w:t>
      </w:r>
      <w:r>
        <w:rPr>
          <w:rtl w:val="true"/>
        </w:rPr>
        <w:t xml:space="preserve">, </w:t>
      </w:r>
      <w:r>
        <w:rPr>
          <w:rtl w:val="true"/>
        </w:rPr>
        <w:t>סבורני כי מתחמי הענישה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אינם נותנים ביטוי הולם לעבירות שמתוארות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מכאן שעונשי המאסר בפועל שנגזרו עליהם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למערער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לפני הפעלת המאסר המותנה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אינם הולמים את המעשים שביצעו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המחוקק קבע 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בגין עבירה של מעשה סדום שבוצע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וכן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בגין עבירה של מעשה מגונה שבוצע בנסיבות מחמירות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 xml:space="preserve">במקרה שלפנינו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ביצע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מעשה סדום</w:t>
      </w:r>
      <w:r>
        <w:rPr>
          <w:rtl w:val="true"/>
        </w:rPr>
        <w:t xml:space="preserve">, </w:t>
      </w:r>
      <w:r>
        <w:rPr>
          <w:rtl w:val="true"/>
        </w:rPr>
        <w:t xml:space="preserve">כאשר בכל אחת מהעבירות קוימו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והמערער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ביצע עבירה אחת של מעשה סדום וכן עבירה אחת של 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כאשר בכל אחת מהעבירות קוימו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לכל אלה ועוד יש להוסיף את יתר נסיבות האירוע </w:t>
      </w:r>
      <w:r>
        <w:rPr>
          <w:rtl w:val="true"/>
        </w:rPr>
        <w:t>–</w:t>
      </w:r>
      <w:r>
        <w:rPr>
          <w:rtl w:val="true"/>
        </w:rPr>
        <w:t xml:space="preserve"> המרדף אחר המתלונן</w:t>
      </w:r>
      <w:r>
        <w:rPr>
          <w:rtl w:val="true"/>
        </w:rPr>
        <w:t xml:space="preserve">, </w:t>
      </w:r>
      <w:r>
        <w:rPr>
          <w:rtl w:val="true"/>
        </w:rPr>
        <w:t>האיומים על חייו</w:t>
      </w:r>
      <w:r>
        <w:rPr>
          <w:rtl w:val="true"/>
        </w:rPr>
        <w:t xml:space="preserve">, </w:t>
      </w:r>
      <w:r>
        <w:rPr>
          <w:rtl w:val="true"/>
        </w:rPr>
        <w:t>השימוש בנשק קר</w:t>
      </w:r>
      <w:r>
        <w:rPr>
          <w:rtl w:val="true"/>
        </w:rPr>
        <w:t xml:space="preserve">, </w:t>
      </w:r>
      <w:r>
        <w:rPr>
          <w:rtl w:val="true"/>
        </w:rPr>
        <w:t>האלימות שננקטה כלפיו</w:t>
      </w:r>
      <w:r>
        <w:rPr>
          <w:rtl w:val="true"/>
        </w:rPr>
        <w:t xml:space="preserve">, </w:t>
      </w:r>
      <w:r>
        <w:rPr>
          <w:rtl w:val="true"/>
        </w:rPr>
        <w:t>נטילת הכספים הימנו והשארתו בזירת האירוע כשהוא חבול ופצוע בגופו ובנפשו</w:t>
      </w:r>
      <w:r>
        <w:rPr>
          <w:rtl w:val="true"/>
        </w:rPr>
        <w:t xml:space="preserve">. </w:t>
      </w:r>
      <w:r>
        <w:rPr>
          <w:rtl w:val="true"/>
        </w:rPr>
        <w:t>רצף כה מזעזע של נסיבות ואירועים מצדיק ענישה המתקרבת לעונש המקסימום שנקבע בחוק לעבירה בודדת</w:t>
      </w:r>
      <w:r>
        <w:rPr>
          <w:rtl w:val="true"/>
        </w:rPr>
        <w:t xml:space="preserve">, </w:t>
      </w:r>
      <w:r>
        <w:rPr>
          <w:rtl w:val="true"/>
        </w:rPr>
        <w:t>לא כל שכן משעה שבענייננו בוצעו כמה וכמה עבירות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לרמת הענישה בעבירות מסוג זה</w:t>
      </w:r>
      <w:r>
        <w:rPr>
          <w:rtl w:val="true"/>
        </w:rPr>
        <w:t xml:space="preserve">, </w:t>
      </w:r>
      <w:r>
        <w:rPr>
          <w:rtl w:val="true"/>
        </w:rPr>
        <w:t>אכן ניתן למצוא מנעד רחב של עונשים</w:t>
      </w:r>
      <w:r>
        <w:rPr>
          <w:rtl w:val="true"/>
        </w:rPr>
        <w:t xml:space="preserve">, </w:t>
      </w:r>
      <w:r>
        <w:rPr>
          <w:rtl w:val="true"/>
        </w:rPr>
        <w:t>והכל בהתאם לנסיבות המקרה הקונקרטי ולנסיבותיו המיוחדות של הנאשם</w:t>
      </w:r>
      <w:r>
        <w:rPr>
          <w:rtl w:val="true"/>
        </w:rPr>
        <w:t xml:space="preserve">. </w:t>
      </w:r>
      <w:r>
        <w:rPr>
          <w:rtl w:val="true"/>
        </w:rPr>
        <w:t>אולם בחינת הפסיקה בנסיבות קרובות או תואמות לענייננו מלמדת</w:t>
      </w:r>
      <w:r>
        <w:rPr>
          <w:rtl w:val="true"/>
        </w:rPr>
        <w:t xml:space="preserve">, </w:t>
      </w:r>
      <w:r>
        <w:rPr>
          <w:rtl w:val="true"/>
        </w:rPr>
        <w:t xml:space="preserve">כי היה על בית המשפט המחוזי לקבוע מתחם ענישה גבוה יותר </w:t>
      </w:r>
      <w:r>
        <w:rPr>
          <w:rtl w:val="true"/>
        </w:rPr>
        <w:t>–</w:t>
      </w:r>
      <w:r>
        <w:rPr>
          <w:rtl w:val="true"/>
        </w:rPr>
        <w:t xml:space="preserve"> למערער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מתחם ענישה שנע בין </w:t>
      </w:r>
      <w:r>
        <w:rPr/>
        <w:t>12</w:t>
      </w:r>
      <w:r>
        <w:rPr>
          <w:rtl w:val="true"/>
        </w:rPr>
        <w:t xml:space="preserve"> 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ולמערער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בשל השונות עליה עמד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מתחם ענישה שנע בין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9.12.2018</w:t>
      </w:r>
      <w:r>
        <w:rPr>
          <w:rtl w:val="true"/>
        </w:rPr>
        <w:t xml:space="preserve">), </w:t>
      </w:r>
      <w:r>
        <w:rPr>
          <w:rtl w:val="true"/>
        </w:rPr>
        <w:t>החמיר בית המשפט העליון בעונשו של נאשם</w:t>
      </w:r>
      <w:r>
        <w:rPr>
          <w:rtl w:val="true"/>
        </w:rPr>
        <w:t xml:space="preserve">, </w:t>
      </w:r>
      <w:r>
        <w:rPr>
          <w:rtl w:val="true"/>
        </w:rPr>
        <w:t>שחבר בצוותא לחטיפה ולאונס בחבורה</w:t>
      </w:r>
      <w:r>
        <w:rPr>
          <w:rtl w:val="true"/>
        </w:rPr>
        <w:t xml:space="preserve">, </w:t>
      </w:r>
      <w:r>
        <w:rPr>
          <w:rtl w:val="true"/>
        </w:rPr>
        <w:t xml:space="preserve">והשית עליו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חלף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שנגזרו עליו</w:t>
      </w:r>
      <w:r>
        <w:rPr>
          <w:rtl w:val="true"/>
        </w:rPr>
        <w:t xml:space="preserve">, </w:t>
      </w:r>
      <w:r>
        <w:rPr>
          <w:rtl w:val="true"/>
        </w:rPr>
        <w:t>למרות שהוא לא בעל בפועל את המתלוננת</w:t>
      </w:r>
      <w:r>
        <w:rPr>
          <w:rtl w:val="true"/>
        </w:rPr>
        <w:t xml:space="preserve">, </w:t>
      </w:r>
      <w:r>
        <w:rPr>
          <w:rtl w:val="true"/>
        </w:rPr>
        <w:t>כי אם רק אפשר את ביצוע העבירות על</w:t>
      </w:r>
      <w:r>
        <w:rPr>
          <w:rtl w:val="true"/>
        </w:rPr>
        <w:t>-</w:t>
      </w:r>
      <w:r>
        <w:rPr>
          <w:rtl w:val="true"/>
        </w:rPr>
        <w:t>ידי אחרים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4654/99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13.2.2000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גדבאן</w:t>
      </w:r>
      <w:r>
        <w:rPr>
          <w:rtl w:val="true"/>
        </w:rPr>
        <w:t xml:space="preserve">), </w:t>
      </w:r>
      <w:r>
        <w:rPr>
          <w:rtl w:val="true"/>
        </w:rPr>
        <w:t xml:space="preserve">הורשעו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צעירים בני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תלמידי תיכון</w:t>
      </w:r>
      <w:r>
        <w:rPr>
          <w:rtl w:val="true"/>
        </w:rPr>
        <w:t xml:space="preserve">, </w:t>
      </w:r>
      <w:r>
        <w:rPr>
          <w:rtl w:val="true"/>
        </w:rPr>
        <w:t>בביצוע עבירות של אינוס בנסיבות מחמירות</w:t>
      </w:r>
      <w:r>
        <w:rPr>
          <w:rtl w:val="true"/>
        </w:rPr>
        <w:t xml:space="preserve">, </w:t>
      </w:r>
      <w:r>
        <w:rPr>
          <w:rtl w:val="true"/>
        </w:rPr>
        <w:t>מעשים מגונים בנסיבות מחמירות</w:t>
      </w:r>
      <w:r>
        <w:rPr>
          <w:rtl w:val="true"/>
        </w:rPr>
        <w:t xml:space="preserve">, </w:t>
      </w:r>
      <w:r>
        <w:rPr>
          <w:rtl w:val="true"/>
        </w:rPr>
        <w:t>חבלה חמורה בנסיבות מחמירות וכן בעבירת גניבה</w:t>
      </w:r>
      <w:r>
        <w:rPr>
          <w:rtl w:val="true"/>
        </w:rPr>
        <w:t xml:space="preserve">. </w:t>
      </w:r>
      <w:r>
        <w:rPr>
          <w:rtl w:val="true"/>
        </w:rPr>
        <w:t xml:space="preserve">על שלושה מהם נגזרו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לריצוי בפועל ושנתיים על תנאי</w:t>
      </w:r>
      <w:r>
        <w:rPr>
          <w:rtl w:val="true"/>
        </w:rPr>
        <w:t xml:space="preserve">; </w:t>
      </w:r>
      <w:r>
        <w:rPr>
          <w:rtl w:val="true"/>
        </w:rPr>
        <w:t xml:space="preserve">ועל הנאשם הרביעי נגזרו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 לריצוי בפועל ושנתיים על תנאי</w:t>
      </w:r>
      <w:r>
        <w:rPr>
          <w:rtl w:val="true"/>
        </w:rPr>
        <w:t xml:space="preserve">. </w:t>
      </w:r>
      <w:r>
        <w:rPr>
          <w:rtl w:val="true"/>
        </w:rPr>
        <w:t>ערעור המדינה על קולת העונש התקבל ועל הנאשמים כולם</w:t>
      </w:r>
      <w:r>
        <w:rPr>
          <w:rtl w:val="true"/>
        </w:rPr>
        <w:t xml:space="preserve">, </w:t>
      </w:r>
      <w:r>
        <w:rPr>
          <w:rtl w:val="true"/>
        </w:rPr>
        <w:t>לרבות הנאשם הרביעי שטען כי לא אנס בפועל את הנערה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ערעור המדינה על הזיכוי מעבירת השוד התקבל</w:t>
      </w:r>
      <w:r>
        <w:rPr>
          <w:rtl w:val="true"/>
        </w:rPr>
        <w:t xml:space="preserve">, </w:t>
      </w:r>
      <w:r>
        <w:rPr>
          <w:rtl w:val="true"/>
        </w:rPr>
        <w:t>ברם לא היה בכך כדי להמעיט מהחומרה היתרה שייחס בית המשפט העליון למעשי הנאשמים בהיבט של עבירות המין</w:t>
      </w:r>
      <w:r>
        <w:rPr>
          <w:rtl w:val="true"/>
        </w:rPr>
        <w:t xml:space="preserve">. </w:t>
      </w:r>
      <w:r>
        <w:rPr>
          <w:rtl w:val="true"/>
        </w:rPr>
        <w:t>כך נכתב בפסק הדין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מזעקותיה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ומתחינותיה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יצריהם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גדבאן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4018/20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לוגסי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30.12.2021</w:t>
      </w:r>
      <w:r>
        <w:rPr>
          <w:rtl w:val="true"/>
        </w:rPr>
        <w:t xml:space="preserve">), </w:t>
      </w:r>
      <w:r>
        <w:rPr>
          <w:rtl w:val="true"/>
        </w:rPr>
        <w:t xml:space="preserve">סרב בית המשפט העליון להתערב בגזר הדין שהשית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 מאסר בפועל ועונשים נלווים על נאשם</w:t>
      </w:r>
      <w:r>
        <w:rPr>
          <w:rtl w:val="true"/>
        </w:rPr>
        <w:t xml:space="preserve">, </w:t>
      </w:r>
      <w:r>
        <w:rPr>
          <w:rtl w:val="true"/>
        </w:rPr>
        <w:t>שהורשע בעבירות של מעשה סדום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תקיפת קטין וגרימת חבלה של ממש שביצע בקטין שנקלע בדרכו באקראי</w:t>
      </w:r>
      <w:r>
        <w:rPr>
          <w:rtl w:val="true"/>
        </w:rPr>
        <w:t xml:space="preserve">. </w:t>
      </w:r>
      <w:r>
        <w:rPr>
          <w:rtl w:val="true"/>
        </w:rPr>
        <w:t>הגם שהעבירות בוצעו בקטין והאלימות שהתלוותה להן הייתה חמורה יותר מהמקרה שלפנינו אין בכך כדי להמעיט מנסיבותיו של המקרה שלפנינו</w:t>
      </w:r>
      <w:r>
        <w:rPr>
          <w:rtl w:val="true"/>
        </w:rPr>
        <w:t xml:space="preserve">, </w:t>
      </w:r>
      <w:r>
        <w:rPr>
          <w:rtl w:val="true"/>
        </w:rPr>
        <w:t>לאור ההיבטים המיוחדים שבו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בינסטוק</w:t>
      </w:r>
      <w:r>
        <w:rPr>
          <w:rtl w:val="true"/>
        </w:rPr>
        <w:t xml:space="preserve">, </w:t>
      </w:r>
      <w:r>
        <w:rPr>
          <w:rtl w:val="true"/>
        </w:rPr>
        <w:t xml:space="preserve">הותיר בית המשפט העליון על כנו 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 ועונשים נלווים</w:t>
      </w:r>
      <w:r>
        <w:rPr>
          <w:rtl w:val="true"/>
        </w:rPr>
        <w:t xml:space="preserve">, </w:t>
      </w:r>
      <w:r>
        <w:rPr>
          <w:rtl w:val="true"/>
        </w:rPr>
        <w:t>בגין עבירות של חבלה חמורה ואינוס בנסיבות מחמירות</w:t>
      </w:r>
      <w:r>
        <w:rPr>
          <w:rtl w:val="true"/>
        </w:rPr>
        <w:t xml:space="preserve">. </w:t>
      </w:r>
      <w:r>
        <w:rPr>
          <w:rtl w:val="true"/>
        </w:rPr>
        <w:t>באותו עניין היכה הנאשם את המתלוננת</w:t>
      </w:r>
      <w:r>
        <w:rPr>
          <w:rtl w:val="true"/>
        </w:rPr>
        <w:t xml:space="preserve">, </w:t>
      </w:r>
      <w:r>
        <w:rPr>
          <w:rtl w:val="true"/>
        </w:rPr>
        <w:t>שהייתה במצב של גילופין</w:t>
      </w:r>
      <w:r>
        <w:rPr>
          <w:rtl w:val="true"/>
        </w:rPr>
        <w:t xml:space="preserve">, </w:t>
      </w:r>
      <w:r>
        <w:rPr>
          <w:rtl w:val="true"/>
        </w:rPr>
        <w:t xml:space="preserve">במכות נמרצות </w:t>
      </w:r>
      <w:r>
        <w:rPr>
          <w:rtl w:val="true"/>
        </w:rPr>
        <w:t>–</w:t>
      </w:r>
      <w:r>
        <w:rPr>
          <w:rtl w:val="true"/>
        </w:rPr>
        <w:t xml:space="preserve"> באגרופים ובבעיטות</w:t>
      </w:r>
      <w:r>
        <w:rPr>
          <w:rtl w:val="true"/>
        </w:rPr>
        <w:t xml:space="preserve">, </w:t>
      </w:r>
      <w:r>
        <w:rPr>
          <w:rtl w:val="true"/>
        </w:rPr>
        <w:t>תוך שהוא גורם לה לדימומים ולחבלות חמורות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הפשיט הנאשם את בגדיה ואנס אותה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2632/13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9.12.2014</w:t>
      </w:r>
      <w:r>
        <w:rPr>
          <w:rtl w:val="true"/>
        </w:rPr>
        <w:t xml:space="preserve">), </w:t>
      </w:r>
      <w:r>
        <w:rPr>
          <w:rtl w:val="true"/>
        </w:rPr>
        <w:t xml:space="preserve">הותיר בית המשפט העליון על כנו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ועונשים נלווים על מי שהורשע בעבירות של אינוס קטינה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אותה פגש באקראי</w:t>
      </w:r>
      <w:r>
        <w:rPr>
          <w:rtl w:val="true"/>
        </w:rPr>
        <w:t xml:space="preserve">, </w:t>
      </w:r>
      <w:r>
        <w:rPr>
          <w:rtl w:val="true"/>
        </w:rPr>
        <w:t>וכן בעבירה של הדחה בחקירה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2.7.2015</w:t>
      </w:r>
      <w:r>
        <w:rPr>
          <w:rtl w:val="true"/>
        </w:rPr>
        <w:t xml:space="preserve">), </w:t>
      </w:r>
      <w:r>
        <w:rPr>
          <w:rtl w:val="true"/>
        </w:rPr>
        <w:t xml:space="preserve">אישר בית המשפט העליון עונש מאסר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שנים ועונשים נלווים על נאשם </w:t>
      </w:r>
      <w:r>
        <w:rPr>
          <w:rtl w:val="true"/>
        </w:rPr>
        <w:t>(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שנטל חלק באינוס ובביצוע מעשה סדום בחבורה</w:t>
      </w:r>
      <w:r>
        <w:rPr>
          <w:rtl w:val="true"/>
        </w:rPr>
        <w:t xml:space="preserve">, </w:t>
      </w:r>
      <w:r>
        <w:rPr>
          <w:rtl w:val="true"/>
        </w:rPr>
        <w:t>תוך גרימת חבלה גופנית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5926/19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אבטרמרים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3.3.2021</w:t>
      </w:r>
      <w:r>
        <w:rPr>
          <w:rtl w:val="true"/>
        </w:rPr>
        <w:t xml:space="preserve">), </w:t>
      </w:r>
      <w:r>
        <w:rPr>
          <w:rtl w:val="true"/>
        </w:rPr>
        <w:t>לא מצא</w:t>
      </w:r>
      <w:r>
        <w:rPr>
          <w:rtl w:val="true"/>
        </w:rPr>
        <w:t xml:space="preserve"> בית המשפט העליון </w:t>
      </w:r>
      <w:r>
        <w:rPr>
          <w:rtl w:val="true"/>
        </w:rPr>
        <w:t>מקום להתערב</w:t>
      </w:r>
      <w:r>
        <w:rPr>
          <w:rtl w:val="true"/>
        </w:rPr>
        <w:t xml:space="preserve"> בעונש שהושת</w:t>
      </w:r>
      <w:r>
        <w:rPr>
          <w:rtl w:val="true"/>
        </w:rPr>
        <w:t xml:space="preserve"> על המערערים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בגין מעורבותם בפרשה</w:t>
      </w:r>
      <w:r>
        <w:rPr>
          <w:rtl w:val="true"/>
        </w:rPr>
        <w:t xml:space="preserve"> של אונס בחבורה בקבעו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העונשים שנגזרו</w:t>
      </w:r>
      <w:r>
        <w:rPr>
          <w:rtl w:val="true"/>
        </w:rPr>
        <w:t xml:space="preserve"> על הנאשמים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הולמים את חומרת המעשים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>מטבע הדברים הפנו המערערים לפסקי דין שיש בהם כדי ללמד על מתחמי ענישה ומיקומי עונש מקלים 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 שעיינתי בהם אני סבור שאין הנדון דומה לראייה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 ארחיב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קריאת התסקיר בעניינו של המתלונן מציגה תמונה קשה מאוד</w:t>
      </w:r>
      <w:r>
        <w:rPr>
          <w:rtl w:val="true"/>
        </w:rPr>
        <w:t xml:space="preserve">. </w:t>
      </w:r>
      <w:r>
        <w:rPr>
          <w:rtl w:val="true"/>
        </w:rPr>
        <w:t>המערערים גרמו למתלונן פגיעות שאין להן שיעור</w:t>
      </w:r>
      <w:r>
        <w:rPr>
          <w:rtl w:val="true"/>
        </w:rPr>
        <w:t xml:space="preserve">, </w:t>
      </w:r>
      <w:r>
        <w:rPr>
          <w:rtl w:val="true"/>
        </w:rPr>
        <w:t>אשר נצרבו בנבכי נפשו וטלטלו את כל עולמו</w:t>
      </w:r>
      <w:r>
        <w:rPr>
          <w:rtl w:val="true"/>
        </w:rPr>
        <w:t xml:space="preserve">. </w:t>
      </w:r>
      <w:r>
        <w:rPr>
          <w:rtl w:val="true"/>
        </w:rPr>
        <w:t>המעשים המזעזעים שחווה הובילו להתדרדרות קשה במצבו התפקודי והנפשי ואף להסתבכות חוזרת בפלילים</w:t>
      </w:r>
      <w:r>
        <w:rPr>
          <w:rtl w:val="true"/>
        </w:rPr>
        <w:t xml:space="preserve">. </w:t>
      </w:r>
      <w:r>
        <w:rPr>
          <w:rtl w:val="true"/>
        </w:rPr>
        <w:t>מאז האירוע</w:t>
      </w:r>
      <w:r>
        <w:rPr>
          <w:rtl w:val="true"/>
        </w:rPr>
        <w:t xml:space="preserve">, </w:t>
      </w:r>
      <w:r>
        <w:rPr>
          <w:rtl w:val="true"/>
        </w:rPr>
        <w:t>חי המתלונן בתחושה של פחד</w:t>
      </w:r>
      <w:r>
        <w:rPr>
          <w:rtl w:val="true"/>
        </w:rPr>
        <w:t xml:space="preserve">, </w:t>
      </w:r>
      <w:r>
        <w:rPr>
          <w:rtl w:val="true"/>
        </w:rPr>
        <w:t>אימה וחוסר ביטחון</w:t>
      </w:r>
      <w:r>
        <w:rPr>
          <w:rtl w:val="true"/>
        </w:rPr>
        <w:t xml:space="preserve">. </w:t>
      </w:r>
      <w:r>
        <w:rPr>
          <w:rtl w:val="true"/>
        </w:rPr>
        <w:t>המתלונן מתקשה להתאושש מהאירוע שחווה</w:t>
      </w:r>
      <w:r>
        <w:rPr>
          <w:rtl w:val="true"/>
        </w:rPr>
        <w:t xml:space="preserve">, </w:t>
      </w:r>
      <w:r>
        <w:rPr>
          <w:rtl w:val="true"/>
        </w:rPr>
        <w:t>כאשר לא אחת הפגיעות מעוררות בו תחושות קשות של ייאוש</w:t>
      </w:r>
      <w:r>
        <w:rPr>
          <w:rtl w:val="true"/>
        </w:rPr>
        <w:t xml:space="preserve">, </w:t>
      </w:r>
      <w:r>
        <w:rPr>
          <w:rtl w:val="true"/>
        </w:rPr>
        <w:t>כאבים פיזיים</w:t>
      </w:r>
      <w:r>
        <w:rPr>
          <w:rtl w:val="true"/>
        </w:rPr>
        <w:t xml:space="preserve">, </w:t>
      </w:r>
      <w:r>
        <w:rPr>
          <w:rtl w:val="true"/>
        </w:rPr>
        <w:t>פגיעוּת ומחשבות אובדניות</w:t>
      </w:r>
      <w:r>
        <w:rPr>
          <w:rtl w:val="true"/>
        </w:rPr>
        <w:t xml:space="preserve">. </w:t>
      </w:r>
      <w:r>
        <w:rPr>
          <w:rtl w:val="true"/>
        </w:rPr>
        <w:t>על אלה מתווספות גם פגיעות בדימוי העצמי</w:t>
      </w:r>
      <w:r>
        <w:rPr>
          <w:rtl w:val="true"/>
        </w:rPr>
        <w:t xml:space="preserve">, </w:t>
      </w:r>
      <w:r>
        <w:rPr>
          <w:rtl w:val="true"/>
        </w:rPr>
        <w:t>בזהותו המינית ובקשריו החברתיים</w:t>
      </w:r>
      <w:r>
        <w:rPr>
          <w:rtl w:val="true"/>
        </w:rPr>
        <w:t xml:space="preserve">. </w:t>
      </w:r>
      <w:r>
        <w:rPr>
          <w:rtl w:val="true"/>
        </w:rPr>
        <w:t>הספרות המקצועית שפורטה בתסקיר מלמדת כיצד מצבו של המתלונן מאז האירוע תואמת את הפתולוגיה של נפגעי עבירות מין</w:t>
      </w:r>
      <w:r>
        <w:rPr>
          <w:rtl w:val="true"/>
        </w:rPr>
        <w:t xml:space="preserve">, </w:t>
      </w:r>
      <w:r>
        <w:rPr>
          <w:rtl w:val="true"/>
        </w:rPr>
        <w:t>ובעיקר של גברים שנפגעו כאמור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התסקיר מדובר במתלונן</w:t>
      </w:r>
      <w:r>
        <w:rPr>
          <w:rtl w:val="true"/>
        </w:rPr>
        <w:t xml:space="preserve">, </w:t>
      </w:r>
      <w:r>
        <w:rPr>
          <w:rtl w:val="true"/>
        </w:rPr>
        <w:t>שללא קשר לעבירות מושא הערעור</w:t>
      </w:r>
      <w:r>
        <w:rPr>
          <w:rtl w:val="true"/>
        </w:rPr>
        <w:t xml:space="preserve">, </w:t>
      </w:r>
      <w:r>
        <w:rPr>
          <w:rtl w:val="true"/>
        </w:rPr>
        <w:t>עבר מסכת חיים מורכבת ללא מעטפת תמיכה ואחזקה</w:t>
      </w:r>
      <w:r>
        <w:rPr>
          <w:rtl w:val="true"/>
        </w:rPr>
        <w:t xml:space="preserve">, </w:t>
      </w:r>
      <w:r>
        <w:rPr>
          <w:rtl w:val="true"/>
        </w:rPr>
        <w:t>אך למרות זאת ניסה לשרוד</w:t>
      </w:r>
      <w:r>
        <w:rPr>
          <w:rtl w:val="true"/>
        </w:rPr>
        <w:t xml:space="preserve">, </w:t>
      </w:r>
      <w:r>
        <w:rPr>
          <w:rtl w:val="true"/>
        </w:rPr>
        <w:t>להחזיק את עצמו ולהתקדם בחייו</w:t>
      </w:r>
      <w:r>
        <w:rPr>
          <w:rtl w:val="true"/>
        </w:rPr>
        <w:t xml:space="preserve">. </w:t>
      </w:r>
      <w:r>
        <w:rPr>
          <w:rtl w:val="true"/>
        </w:rPr>
        <w:t>מעשיהם של המערערים כמו רמסו עד יסוד את מאמציו והשתדלותו</w:t>
      </w:r>
      <w:r>
        <w:rPr>
          <w:rtl w:val="true"/>
        </w:rPr>
        <w:t xml:space="preserve">, </w:t>
      </w:r>
      <w:r>
        <w:rPr>
          <w:rtl w:val="true"/>
        </w:rPr>
        <w:t>וחיסלו את מעט הביטחון והאמון שרכש בנוגע לעצמו ולסובבים אותו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בקביעת העונש בתוך המתחמים שהצעתי לקבוע לעיל </w:t>
      </w:r>
      <w:r>
        <w:rPr>
          <w:rtl w:val="true"/>
        </w:rPr>
        <w:t>(</w:t>
      </w:r>
      <w:r>
        <w:rPr/>
        <w:t>18-12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למערער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למערער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אין למצוא נסיבות מקלות מיוחדות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. </w:t>
      </w:r>
      <w:r>
        <w:rPr>
          <w:rtl w:val="true"/>
        </w:rPr>
        <w:t>בהינתן עברו הפלילי שכולל הרשעה בעבירה של התעללות בקטין בידי אחראי</w:t>
      </w:r>
      <w:r>
        <w:rPr>
          <w:rtl w:val="true"/>
        </w:rPr>
        <w:t xml:space="preserve">, </w:t>
      </w:r>
      <w:r>
        <w:rPr>
          <w:rtl w:val="true"/>
        </w:rPr>
        <w:t>כלפי שני אחייניו</w:t>
      </w:r>
      <w:r>
        <w:rPr>
          <w:rtl w:val="true"/>
        </w:rPr>
        <w:t xml:space="preserve">, </w:t>
      </w:r>
      <w:r>
        <w:rPr>
          <w:rtl w:val="true"/>
        </w:rPr>
        <w:t>מה שמלמד על אופיו האלים והאכזרי</w:t>
      </w:r>
      <w:r>
        <w:rPr>
          <w:rtl w:val="true"/>
        </w:rPr>
        <w:t xml:space="preserve">, </w:t>
      </w:r>
      <w:r>
        <w:rPr>
          <w:rtl w:val="true"/>
        </w:rPr>
        <w:t>כפי שבא לידי ביטוי ביתר שאת במקרה שלפנינו</w:t>
      </w:r>
      <w:r>
        <w:rPr>
          <w:rtl w:val="true"/>
        </w:rPr>
        <w:t xml:space="preserve">; </w:t>
      </w:r>
      <w:r>
        <w:rPr>
          <w:rtl w:val="true"/>
        </w:rPr>
        <w:t xml:space="preserve">בהינתן שהמערער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נרתע מלבצע את שיוחס לו בכתב האישום למרות מאסר מותנה שמרחף מעל לראשו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בהינתן שהודאתו בכתב האישום המתוקן ניתנה אחרי עדות המתלונן</w:t>
      </w:r>
      <w:r>
        <w:rPr>
          <w:rtl w:val="true"/>
        </w:rPr>
        <w:t xml:space="preserve">, </w:t>
      </w:r>
      <w:r>
        <w:rPr>
          <w:rtl w:val="true"/>
        </w:rPr>
        <w:t>מה שמפחית את אלמנט הקולה בעצם ההודאה</w:t>
      </w:r>
      <w:r>
        <w:rPr>
          <w:rtl w:val="true"/>
        </w:rPr>
        <w:t xml:space="preserve">; </w:t>
      </w:r>
      <w:r>
        <w:rPr>
          <w:rtl w:val="true"/>
        </w:rPr>
        <w:t>ובהינתן חוסר האמפתיה שגילה כלפי המתלונן וסבלו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על קולת העונש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4215/21</w:t>
      </w:r>
      <w:r>
        <w:rPr>
          <w:rtl w:val="true"/>
        </w:rPr>
        <w:t xml:space="preserve"> </w:t>
      </w:r>
      <w:r>
        <w:rPr>
          <w:rtl w:val="true"/>
        </w:rPr>
        <w:t>ולדחות את הערעור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4433/21</w:t>
      </w:r>
      <w:r>
        <w:rPr>
          <w:rtl w:val="true"/>
        </w:rPr>
        <w:t xml:space="preserve"> </w:t>
      </w:r>
      <w:r>
        <w:rPr>
          <w:rtl w:val="true"/>
        </w:rPr>
        <w:t>על חומרת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כך שעונשו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יעמוד על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 בגין העבירות בהן הורשע בנוסף לרכיבי העונש הנוספים שנגזרו עליו לרבות הפעלת המאסר המותנה באופן מצטבר</w:t>
      </w:r>
      <w:r>
        <w:rPr>
          <w:rtl w:val="true"/>
        </w:rPr>
        <w:t xml:space="preserve">, </w:t>
      </w:r>
      <w:r>
        <w:rPr>
          <w:rtl w:val="true"/>
        </w:rPr>
        <w:t xml:space="preserve">כך שבסך הכל ירצה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מאסר בפועל לתקופה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זאת רק משום ההלכה לפיה ערכאת הערעור לא ממצה את הדין עם הנאשם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19.8.2018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8720/15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rtl w:val="true"/>
        </w:rPr>
        <w:t>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לנוכח חלקו המשמעותי במעשים שבוצעו</w:t>
      </w:r>
      <w:r>
        <w:rPr>
          <w:rtl w:val="true"/>
        </w:rPr>
        <w:t xml:space="preserve">, </w:t>
      </w:r>
      <w:r>
        <w:rPr>
          <w:rtl w:val="true"/>
        </w:rPr>
        <w:t xml:space="preserve">כמפורט בכתב האישום המתוקן ובסעיף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על קולת העונש גם לגביו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אין לו עבר פלילי תיזקף לזכותו במיקום עונשו לכדי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 בנוסף לעונשים הנלווים שנגזרו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המשנה לנשיאה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החולניים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ומשביצעו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שמשליכות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שמצטיירת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הפתיחה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בשפל</w:t>
      </w:r>
      <w:r>
        <w:rPr>
          <w:rtl w:val="true"/>
        </w:rPr>
        <w:t xml:space="preserve">, </w:t>
      </w:r>
      <w:r>
        <w:rPr>
          <w:rtl w:val="true"/>
        </w:rPr>
        <w:t>לראייתי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שוחט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יוחמר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שוחט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17.3.2022</w:t>
      </w:r>
      <w:r>
        <w:rPr>
          <w:rtl w:val="true"/>
        </w:rPr>
        <w:t xml:space="preserve">). </w:t>
      </w:r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21042150</w:t>
      </w:r>
      <w:r>
        <w:rPr>
          <w:sz w:val="16"/>
          <w:rtl w:val="true"/>
        </w:rPr>
        <w:t>_</w:t>
      </w:r>
      <w:r>
        <w:rPr>
          <w:sz w:val="16"/>
        </w:rPr>
        <w:t>W03.docx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54678313-4215/21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4215/21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4255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5.b.2" TargetMode="External"/><Relationship Id="rId7" Type="http://schemas.openxmlformats.org/officeDocument/2006/relationships/hyperlink" Target="http://www.nevo.co.il/law/70301/345.b.5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case/25842551" TargetMode="External"/><Relationship Id="rId11" Type="http://schemas.openxmlformats.org/officeDocument/2006/relationships/hyperlink" Target="http://www.nevo.co.il/law/70301/347.b" TargetMode="External"/><Relationship Id="rId12" Type="http://schemas.openxmlformats.org/officeDocument/2006/relationships/hyperlink" Target="http://www.nevo.co.il/law/70301/345.b.2" TargetMode="External"/><Relationship Id="rId13" Type="http://schemas.openxmlformats.org/officeDocument/2006/relationships/hyperlink" Target="http://www.nevo.co.il/law/70301/345.b.5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/347.b" TargetMode="External"/><Relationship Id="rId19" Type="http://schemas.openxmlformats.org/officeDocument/2006/relationships/hyperlink" Target="http://www.nevo.co.il/law/70301/345.b.2" TargetMode="External"/><Relationship Id="rId20" Type="http://schemas.openxmlformats.org/officeDocument/2006/relationships/hyperlink" Target="http://www.nevo.co.il/law/70301/345.b.5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48.b" TargetMode="External"/><Relationship Id="rId23" Type="http://schemas.openxmlformats.org/officeDocument/2006/relationships/hyperlink" Target="http://www.nevo.co.il/law/70301/345.b.2" TargetMode="External"/><Relationship Id="rId24" Type="http://schemas.openxmlformats.org/officeDocument/2006/relationships/hyperlink" Target="http://www.nevo.co.il/law/70301/345.b.5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case/21856087" TargetMode="External"/><Relationship Id="rId28" Type="http://schemas.openxmlformats.org/officeDocument/2006/relationships/hyperlink" Target="http://www.nevo.co.il/case/20053803" TargetMode="External"/><Relationship Id="rId29" Type="http://schemas.openxmlformats.org/officeDocument/2006/relationships/hyperlink" Target="http://www.nevo.co.il/case/6247428" TargetMode="External"/><Relationship Id="rId30" Type="http://schemas.openxmlformats.org/officeDocument/2006/relationships/hyperlink" Target="http://www.nevo.co.il/case/6241014" TargetMode="External"/><Relationship Id="rId31" Type="http://schemas.openxmlformats.org/officeDocument/2006/relationships/hyperlink" Target="http://www.nevo.co.il/case/26773045" TargetMode="External"/><Relationship Id="rId32" Type="http://schemas.openxmlformats.org/officeDocument/2006/relationships/hyperlink" Target="http://www.nevo.co.il/case/5772329" TargetMode="External"/><Relationship Id="rId33" Type="http://schemas.openxmlformats.org/officeDocument/2006/relationships/hyperlink" Target="http://www.nevo.co.il/case/5614674" TargetMode="External"/><Relationship Id="rId34" Type="http://schemas.openxmlformats.org/officeDocument/2006/relationships/hyperlink" Target="http://www.nevo.co.il/case/6026806" TargetMode="External"/><Relationship Id="rId35" Type="http://schemas.openxmlformats.org/officeDocument/2006/relationships/hyperlink" Target="http://www.nevo.co.il/case/20455747" TargetMode="External"/><Relationship Id="rId36" Type="http://schemas.openxmlformats.org/officeDocument/2006/relationships/hyperlink" Target="http://www.nevo.co.il/case/5729694" TargetMode="External"/><Relationship Id="rId37" Type="http://schemas.openxmlformats.org/officeDocument/2006/relationships/hyperlink" Target="http://www.nevo.co.il/law/70301/347.b" TargetMode="External"/><Relationship Id="rId38" Type="http://schemas.openxmlformats.org/officeDocument/2006/relationships/hyperlink" Target="http://www.nevo.co.il/law/70301/348.b" TargetMode="External"/><Relationship Id="rId39" Type="http://schemas.openxmlformats.org/officeDocument/2006/relationships/hyperlink" Target="http://www.nevo.co.il/case/24140505" TargetMode="External"/><Relationship Id="rId40" Type="http://schemas.openxmlformats.org/officeDocument/2006/relationships/hyperlink" Target="http://www.nevo.co.il/case/5969169" TargetMode="External"/><Relationship Id="rId41" Type="http://schemas.openxmlformats.org/officeDocument/2006/relationships/hyperlink" Target="http://www.nevo.co.il/case/26773045" TargetMode="External"/><Relationship Id="rId42" Type="http://schemas.openxmlformats.org/officeDocument/2006/relationships/hyperlink" Target="http://www.nevo.co.il/case/18718573" TargetMode="External"/><Relationship Id="rId43" Type="http://schemas.openxmlformats.org/officeDocument/2006/relationships/hyperlink" Target="http://www.nevo.co.il/case/7980147" TargetMode="External"/><Relationship Id="rId44" Type="http://schemas.openxmlformats.org/officeDocument/2006/relationships/hyperlink" Target="http://www.nevo.co.il/case/25997968" TargetMode="External"/><Relationship Id="rId45" Type="http://schemas.openxmlformats.org/officeDocument/2006/relationships/hyperlink" Target="http://www.nevo.co.il/case/24285475" TargetMode="External"/><Relationship Id="rId46" Type="http://schemas.openxmlformats.org/officeDocument/2006/relationships/hyperlink" Target="http://www.nevo.co.il/case/21479221" TargetMode="External"/><Relationship Id="rId47" Type="http://schemas.openxmlformats.org/officeDocument/2006/relationships/hyperlink" Target="https://supreme.court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2022-03-20T10:18:00Z</dcterms:created>
  <dc:creator>h4</dc:creator>
  <dc:description/>
  <cp:keywords/>
  <dc:language>en-IL</dc:language>
  <cp:lastModifiedBy>orly</cp:lastModifiedBy>
  <cp:lastPrinted>2022-03-17T13:33:00Z</cp:lastPrinted>
  <dcterms:modified xsi:type="dcterms:W3CDTF">2022-03-20T10:18:00Z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עמאש;אניס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25842551:2;21856087;20053803;6247428;6241014;26773045:2;5772329;5614674;6026806;20455747;5729694;24140505;5969169;18718573;7980147;25997968;24285475;21479221</vt:lpwstr>
  </property>
  <property fmtid="{D5CDD505-2E9C-101B-9397-08002B2CF9AE}" pid="9" name="CITY">
    <vt:lpwstr/>
  </property>
  <property fmtid="{D5CDD505-2E9C-101B-9397-08002B2CF9AE}" pid="10" name="DATE">
    <vt:lpwstr>20220317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ברון;ש' שוחט;נ' הנדל</vt:lpwstr>
  </property>
  <property fmtid="{D5CDD505-2E9C-101B-9397-08002B2CF9AE}" pid="14" name="LAWLISTTMP1">
    <vt:lpwstr>70301/347.b:3;345.b.2:3;345.b.5:3;029:4;192:2;348.b:2</vt:lpwstr>
  </property>
  <property fmtid="{D5CDD505-2E9C-101B-9397-08002B2CF9AE}" pid="15" name="LAWYER">
    <vt:lpwstr>מיכל קורן;צבי אבנון;רוני זלושינסקי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מתחם הענישה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8988;8995;14985</vt:lpwstr>
  </property>
  <property fmtid="{D5CDD505-2E9C-101B-9397-08002B2CF9AE}" pid="59" name="PADIDATE">
    <vt:lpwstr>20220320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4215;4433</vt:lpwstr>
  </property>
  <property fmtid="{D5CDD505-2E9C-101B-9397-08002B2CF9AE}" pid="65" name="PROCYEAR">
    <vt:lpwstr>21;21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410120220317</vt:lpwstr>
  </property>
  <property fmtid="{D5CDD505-2E9C-101B-9397-08002B2CF9AE}" pid="69" name="TYPE_N_DATE">
    <vt:lpwstr>41020220317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