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4225/23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מאק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קלמנוביץ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ליפשיץ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פריבס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כדורי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20.4.2023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51256-06-22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הישיבה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ט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טבת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  <w:rtl w:val="true"/>
              </w:rPr>
              <w:t>‏</w:t>
            </w:r>
            <w:r>
              <w:rPr>
                <w:sz w:val="26"/>
                <w:szCs w:val="26"/>
              </w:rPr>
              <w:t>27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2023</w:t>
            </w:r>
            <w:r>
              <w:rPr>
                <w:sz w:val="26"/>
                <w:szCs w:val="26"/>
                <w:rtl w:val="true"/>
              </w:rPr>
              <w:t>)</w:t>
            </w:r>
            <w:r>
              <w:rPr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סואעד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בלומנטל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1"/>
        <w:gridCol w:w="5132"/>
      </w:tblGrid>
      <w:tr>
        <w:trPr/>
        <w:tc>
          <w:tcPr>
            <w:tcW w:w="32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מדאח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379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כשזה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וחמורות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לגילו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ולסיכויי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וסיכויי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באיזון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לסיכוי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לשיקום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ולאפשרות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החזרתו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לתפקוד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נורמטיבי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בחברה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לנסיבותיו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במידת העונש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מתוקן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סדום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במשפחה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ותקיפה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שתיהן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10-8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רכיב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מספיק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טוען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נטען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פעמית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וקצרה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בזמן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שנעשתה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ידועה היא כי ערכאת הערעור תיטה שלא להתערב בעונש שהוטל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במקרים חריגים שבהם עולה כי נפלה טעות מהותית בגזר הדין או כאשר מתגלה סטייה ניכרת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דנן אינו נמנה עם אותם מקרים חריגים המצדיקים התערבות 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טוען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להיבט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ולהסתפק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כשזה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וחמורות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לגילו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ולסיכויי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וסיכויי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באיזון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לסיכוי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לשיקום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ולאפשרות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החזרתו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לתפקוד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נורמטיבי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בחברה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האינדיבידואליות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סמוך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האחריות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הפלילית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שביצעה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הבגירות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מגלה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הפנמה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וחרטה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ומכחיש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נזקקות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טיפולית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שהועלו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בוצעה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סמוך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הבגירות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התקיפה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בוצעה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Style w:val="Ruller4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Ruller4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וכפי שפורט בתסקיר שירות המבחן</w:t>
      </w:r>
      <w:r>
        <w:rPr>
          <w:rStyle w:val="Ruller4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Ruller4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החשד לקיומו של ליקוי קוגניטיבי שעלה בעבר בעניינו של המערער</w:t>
      </w:r>
      <w:r>
        <w:rPr>
          <w:rStyle w:val="Ruller4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Ruller4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נשלל באבחון שנערך לו</w:t>
      </w:r>
      <w:r>
        <w:rPr>
          <w:rStyle w:val="Ruller4"/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Style w:val="Ruller4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ושלישית</w:t>
      </w:r>
      <w:r>
        <w:rPr>
          <w:rStyle w:val="Ruller4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Ruller4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נטל אחריות לעבירת המין החמורה שביצע</w:t>
      </w:r>
      <w:r>
        <w:rPr>
          <w:rStyle w:val="Ruller4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Ruller4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שלל כל </w:t>
      </w:r>
      <w:r>
        <w:rPr>
          <w:rFonts w:ascii="Times New Roman" w:hAnsi="Times New Roman" w:cs="Times New Roman"/>
          <w:spacing w:val="0"/>
          <w:szCs w:val="26"/>
          <w:rtl w:val="true"/>
        </w:rPr>
        <w:t>בעייתיות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בתחום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עבריינות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המין</w:t>
      </w:r>
      <w:r>
        <w:rPr>
          <w:rStyle w:val="Ruller4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ועל אף ניסיונות חוזרים לשלבו בהליך טיפולי</w:t>
      </w:r>
      <w:r>
        <w:rPr>
          <w:rStyle w:val="Ruller4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Ruller4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גילה כל נכונות לעשות לשיקומו</w:t>
      </w:r>
      <w:r>
        <w:rPr>
          <w:rStyle w:val="Ruller4"/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Style w:val="Ruller4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זה</w:t>
      </w:r>
      <w:r>
        <w:rPr>
          <w:rStyle w:val="Ruller4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Ruller4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העריך </w:t>
      </w:r>
      <w:r>
        <w:rPr>
          <w:rFonts w:ascii="Times New Roman" w:hAnsi="Times New Roman" w:cs="Times New Roman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נשקף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סיכון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פוגענית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בהמלצה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טיפולית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המליץ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הטלת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מוחשית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בתסקיר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צוין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צוין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נזקקות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לטיפול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בתחומי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ההתמכרויות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עבריינות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משולב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בטיפול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ניסיונות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שנערכו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לשילובו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מוטיבציה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הפנמה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ובהעדר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אפיק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העשוי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להפחית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הסיכון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להקלה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גילו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אפוא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בולטת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היותו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הודאתו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ושקל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לקולא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היתרה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הנזקים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העמוקים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שנגרמו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הביא בחשבון את מכלול השיקולים הצריכים לעניין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איזן ביניהם כראוי והטיל על המערער עונש הולם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כנפי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שטייניץ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לפנינו ערעור על גזר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קלמנוביץ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פריבס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כדורי</w:t>
      </w:r>
      <w:r>
        <w:rPr>
          <w:rtl w:val="true"/>
        </w:rPr>
        <w:t xml:space="preserve">) </w:t>
      </w:r>
      <w:r>
        <w:rPr>
          <w:rtl w:val="true"/>
        </w:rPr>
        <w:t xml:space="preserve">מיום </w:t>
      </w:r>
      <w:r>
        <w:rPr/>
        <w:t>20.4.2023</w:t>
      </w:r>
      <w:r>
        <w:rPr>
          <w:rtl w:val="true"/>
        </w:rPr>
        <w:t xml:space="preserve"> </w:t>
      </w:r>
      <w:r>
        <w:rPr>
          <w:rtl w:val="true"/>
        </w:rPr>
        <w:t>בתפ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51256-06-22</w:t>
      </w:r>
      <w:r>
        <w:rPr>
          <w:rtl w:val="true"/>
        </w:rPr>
        <w:t xml:space="preserve">, </w:t>
      </w:r>
      <w:r>
        <w:rPr>
          <w:rtl w:val="true"/>
        </w:rPr>
        <w:t>בגדרו נגזרו על המערער</w:t>
      </w:r>
      <w:r>
        <w:rPr>
          <w:rtl w:val="true"/>
        </w:rPr>
        <w:t xml:space="preserve">, </w:t>
      </w:r>
      <w:r>
        <w:rPr>
          <w:rtl w:val="true"/>
        </w:rPr>
        <w:t>בגין עבירות שביצע בבת משפחתו</w:t>
      </w:r>
      <w:r>
        <w:rPr>
          <w:rtl w:val="true"/>
        </w:rPr>
        <w:t xml:space="preserve">, </w:t>
      </w:r>
      <w:r>
        <w:rPr>
          <w:rtl w:val="true"/>
        </w:rPr>
        <w:t xml:space="preserve">עונש מאסר בפועל 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בניכוי ימי מעצרו</w:t>
      </w:r>
      <w:r>
        <w:rPr>
          <w:rtl w:val="true"/>
        </w:rPr>
        <w:t xml:space="preserve">, </w:t>
      </w:r>
      <w:r>
        <w:rPr>
          <w:rtl w:val="true"/>
        </w:rPr>
        <w:t>ועונשים נלווים</w:t>
      </w:r>
      <w:r>
        <w:rPr>
          <w:rtl w:val="true"/>
        </w:rPr>
        <w:t xml:space="preserve">. </w:t>
      </w:r>
      <w:r>
        <w:rPr>
          <w:rtl w:val="true"/>
        </w:rPr>
        <w:t>הערעור נסוב על חומרת עונש המאסר בפועל שהוטל על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br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הודה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>בכתב אישום מתוקן המייחס לו עבירות של ניסיון למעשה סדום ותקיפה</w:t>
      </w:r>
      <w:r>
        <w:rPr>
          <w:rtl w:val="true"/>
        </w:rPr>
        <w:t xml:space="preserve">, </w:t>
      </w:r>
      <w:r>
        <w:rPr>
          <w:rtl w:val="true"/>
        </w:rPr>
        <w:t>אשר בוצעו שתיהן כלפי אחותו</w:t>
      </w:r>
      <w:r>
        <w:rPr>
          <w:rtl w:val="true"/>
        </w:rPr>
        <w:t xml:space="preserve">, </w:t>
      </w:r>
      <w:r>
        <w:rPr>
          <w:rtl w:val="true"/>
        </w:rPr>
        <w:t xml:space="preserve">ילידת שנת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 xml:space="preserve">בעודה קטינה כבת </w:t>
      </w:r>
      <w:r>
        <w:rPr/>
        <w:t>10-8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>במועד שאינו ידוע במדויק</w:t>
      </w:r>
      <w:r>
        <w:rPr>
          <w:rtl w:val="true"/>
        </w:rPr>
        <w:t xml:space="preserve">, </w:t>
      </w:r>
      <w:r>
        <w:rPr>
          <w:rtl w:val="true"/>
        </w:rPr>
        <w:t>בעת שהמתלוננת הייתה בכיתה ג</w:t>
      </w:r>
      <w:r>
        <w:rPr>
          <w:rtl w:val="true"/>
        </w:rPr>
        <w:t xml:space="preserve">' </w:t>
      </w:r>
      <w:r>
        <w:rPr>
          <w:rtl w:val="true"/>
        </w:rPr>
        <w:t>או ד</w:t>
      </w:r>
      <w:r>
        <w:rPr>
          <w:rtl w:val="true"/>
        </w:rPr>
        <w:t xml:space="preserve">', </w:t>
      </w:r>
      <w:r>
        <w:rPr>
          <w:rtl w:val="true"/>
        </w:rPr>
        <w:t>שהו המערער והמתלוננת בבית הוריהם</w:t>
      </w:r>
      <w:r>
        <w:rPr>
          <w:rtl w:val="true"/>
        </w:rPr>
        <w:t xml:space="preserve">. </w:t>
      </w:r>
      <w:r>
        <w:rPr>
          <w:rtl w:val="true"/>
        </w:rPr>
        <w:t>באותו מועד</w:t>
      </w:r>
      <w:r>
        <w:rPr>
          <w:rtl w:val="true"/>
        </w:rPr>
        <w:t xml:space="preserve">, </w:t>
      </w:r>
      <w:r>
        <w:rPr>
          <w:rtl w:val="true"/>
        </w:rPr>
        <w:t>קרא המערער למתלוננת להיכנס לחדר בו שהה ונעל את דלת החדר</w:t>
      </w:r>
      <w:r>
        <w:rPr>
          <w:rtl w:val="true"/>
        </w:rPr>
        <w:t xml:space="preserve">. </w:t>
      </w:r>
      <w:r>
        <w:rPr>
          <w:rtl w:val="true"/>
        </w:rPr>
        <w:t>המערער הוריד את מכנסיה ותחתוניה של המתלוננת וכן את אלה שלו</w:t>
      </w:r>
      <w:r>
        <w:rPr>
          <w:rtl w:val="true"/>
        </w:rPr>
        <w:t xml:space="preserve">, </w:t>
      </w:r>
      <w:r>
        <w:rPr>
          <w:rtl w:val="true"/>
        </w:rPr>
        <w:t>שכב על המיטה והושיב את המתלוננת עליו</w:t>
      </w:r>
      <w:r>
        <w:rPr>
          <w:rtl w:val="true"/>
        </w:rPr>
        <w:t xml:space="preserve">. </w:t>
      </w:r>
      <w:r>
        <w:rPr>
          <w:rtl w:val="true"/>
        </w:rPr>
        <w:t>המערער החל להתנועע כשאיבר מינו בתוך ישבנה של המתלוננת וניסה להחדירו לפי הטבעת שלה מספר פעמים</w:t>
      </w:r>
      <w:r>
        <w:rPr>
          <w:rtl w:val="true"/>
        </w:rPr>
        <w:t xml:space="preserve">. </w:t>
      </w:r>
      <w:r>
        <w:rPr>
          <w:rtl w:val="true"/>
        </w:rPr>
        <w:t>המערער המשיך במעשיו חרף כאבה ובכייה של המתלוננת וחדל ממעשיו רק כאשר ביקשה המתלוננת ללכת לשירותים</w:t>
      </w:r>
      <w:r>
        <w:rPr>
          <w:rtl w:val="true"/>
        </w:rPr>
        <w:t xml:space="preserve">. </w:t>
      </w:r>
      <w:r>
        <w:rPr>
          <w:rtl w:val="true"/>
        </w:rPr>
        <w:t>לאחר מכן הגיע המערער לפורקן מיני במקלחת הסמוכה ואמר למתלוננת לא לספר על המעשה לאיש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כי במועד שאינו ידוע במדויק בשנת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עת שיחקה המתלוננת במכשיר סלולרי בביתה</w:t>
      </w:r>
      <w:r>
        <w:rPr>
          <w:rtl w:val="true"/>
        </w:rPr>
        <w:t xml:space="preserve">, </w:t>
      </w:r>
      <w:r>
        <w:rPr>
          <w:rtl w:val="true"/>
        </w:rPr>
        <w:t>דרש המערער מן מתלוננת להפסיק לשחק</w:t>
      </w:r>
      <w:r>
        <w:rPr>
          <w:rtl w:val="true"/>
        </w:rPr>
        <w:t xml:space="preserve">, </w:t>
      </w:r>
      <w:r>
        <w:rPr>
          <w:rtl w:val="true"/>
        </w:rPr>
        <w:t>ומשזו לא נענתה לדרישתו</w:t>
      </w:r>
      <w:r>
        <w:rPr>
          <w:rtl w:val="true"/>
        </w:rPr>
        <w:t xml:space="preserve">, </w:t>
      </w:r>
      <w:r>
        <w:rPr>
          <w:rtl w:val="true"/>
        </w:rPr>
        <w:t>ניגש אליה המערער</w:t>
      </w:r>
      <w:r>
        <w:rPr>
          <w:rtl w:val="true"/>
        </w:rPr>
        <w:t xml:space="preserve">, </w:t>
      </w:r>
      <w:r>
        <w:rPr>
          <w:rtl w:val="true"/>
        </w:rPr>
        <w:t>סטר לה בפניה והכה אותה בידה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 </w:t>
      </w:r>
      <w:r>
        <w:rPr>
          <w:rtl w:val="true"/>
        </w:rPr>
        <w:t>דחף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כיסא</w:t>
      </w:r>
      <w:r>
        <w:rPr>
          <w:rtl w:val="true"/>
        </w:rPr>
        <w:t xml:space="preserve"> </w:t>
      </w:r>
      <w:r>
        <w:rPr>
          <w:rtl w:val="true"/>
        </w:rPr>
        <w:t>פלסטיק</w:t>
      </w:r>
      <w:r>
        <w:rPr>
          <w:rtl w:val="true"/>
        </w:rPr>
        <w:t xml:space="preserve"> </w:t>
      </w:r>
      <w:r>
        <w:rPr>
          <w:rtl w:val="true"/>
        </w:rPr>
        <w:t>וכתוצאה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 </w:t>
      </w:r>
      <w:r>
        <w:rPr>
          <w:rtl w:val="true"/>
        </w:rPr>
        <w:t>נשבר</w:t>
      </w:r>
      <w:r>
        <w:rPr>
          <w:rtl w:val="true"/>
        </w:rPr>
        <w:t xml:space="preserve"> </w:t>
      </w:r>
      <w:r>
        <w:rPr>
          <w:rtl w:val="true"/>
        </w:rPr>
        <w:t>הכיסא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בשל מעשים אלה</w:t>
      </w:r>
      <w:r>
        <w:rPr>
          <w:rtl w:val="true"/>
        </w:rPr>
        <w:t xml:space="preserve">, </w:t>
      </w:r>
      <w:r>
        <w:rPr>
          <w:rtl w:val="true"/>
        </w:rPr>
        <w:t>הורשע המערער על פי הודאתו</w:t>
      </w:r>
      <w:r>
        <w:rPr>
          <w:rtl w:val="true"/>
        </w:rPr>
        <w:t xml:space="preserve">, </w:t>
      </w:r>
      <w:r>
        <w:rPr>
          <w:rtl w:val="true"/>
        </w:rPr>
        <w:t>בעביר</w:t>
      </w:r>
      <w:r>
        <w:rPr>
          <w:rtl w:val="true"/>
        </w:rPr>
        <w:t xml:space="preserve">ה של </w:t>
      </w:r>
      <w:r>
        <w:rPr>
          <w:rtl w:val="true"/>
        </w:rPr>
        <w:t>ניסיון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 במשפחה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 xml:space="preserve">בנסיבות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ובנסיבות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בצירוף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ובצירוף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הורשע המערער בתקיפה סתם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הסדר הטיעון לא כלל הסכמה עונשית</w:t>
      </w:r>
      <w:r>
        <w:rPr>
          <w:rtl w:val="true"/>
        </w:rPr>
        <w:t xml:space="preserve">. </w:t>
      </w:r>
      <w:r>
        <w:rPr>
          <w:rtl w:val="true"/>
        </w:rPr>
        <w:t>לקראת גזירת עונשו של המערער הוגשו לבית המשפט המחוזי תסקיר שירות מבחן בעניינו של המערער וכן תסקיר נפגעת עבירה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בעזובה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, </w:t>
      </w:r>
      <w:r>
        <w:rPr>
          <w:rtl w:val="true"/>
        </w:rPr>
        <w:t>חינוכית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ותפקודית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לקוי</w:t>
      </w:r>
      <w:r>
        <w:rPr>
          <w:rtl w:val="true"/>
        </w:rPr>
        <w:t xml:space="preserve">, </w:t>
      </w:r>
      <w:r>
        <w:rPr>
          <w:rtl w:val="true"/>
        </w:rPr>
        <w:t>הוצאו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>-</w:t>
      </w:r>
      <w:r>
        <w:rPr>
          <w:rtl w:val="true"/>
        </w:rPr>
        <w:t>ביתיות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מאופיינת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ובוויסות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ודחפים</w:t>
      </w:r>
      <w:r>
        <w:rPr>
          <w:rtl w:val="true"/>
        </w:rPr>
        <w:t xml:space="preserve">,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לאחיותיו</w:t>
      </w:r>
      <w:r>
        <w:rPr>
          <w:rtl w:val="true"/>
        </w:rPr>
        <w:t xml:space="preserve">, </w:t>
      </w:r>
      <w:r>
        <w:rPr>
          <w:rtl w:val="true"/>
        </w:rPr>
        <w:t>כלפיהן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וכפייתיות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רצונותיו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אחיותיו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מתפקד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המינית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סיוטי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והיזקקות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תרופתי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וממשפחתה</w:t>
      </w:r>
      <w:r>
        <w:rPr>
          <w:rtl w:val="true"/>
        </w:rPr>
        <w:t xml:space="preserve">, </w:t>
      </w:r>
      <w:r>
        <w:rPr>
          <w:rtl w:val="true"/>
        </w:rPr>
        <w:t>פחדה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וכאבה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שאחראית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בגזר דינו עמד בית המשפט המחוזי על הערכים המוגנים שנפגעו כתוצאה ממעשיו של המערער </w:t>
      </w:r>
      <w:r>
        <w:rPr>
          <w:rtl w:val="true"/>
        </w:rPr>
        <w:t>–</w:t>
      </w:r>
      <w:r>
        <w:rPr>
          <w:rtl w:val="true"/>
        </w:rPr>
        <w:t xml:space="preserve"> זכותה של המתלוננת לאוטונומיה ולשמירה על שלמות גופה</w:t>
      </w:r>
      <w:r>
        <w:rPr>
          <w:rtl w:val="true"/>
        </w:rPr>
        <w:t xml:space="preserve">, </w:t>
      </w:r>
      <w:r>
        <w:rPr>
          <w:rtl w:val="true"/>
        </w:rPr>
        <w:t>פרטיותה וצנעת הפרט שלה</w:t>
      </w:r>
      <w:r>
        <w:rPr>
          <w:rtl w:val="true"/>
        </w:rPr>
        <w:t xml:space="preserve">. </w:t>
      </w:r>
      <w:r>
        <w:rPr>
          <w:rtl w:val="true"/>
        </w:rPr>
        <w:t>צוין כי עוצמת הפגיעה בערכים אלו גדלה נוכח פער הגילים בין המערער למתלוננת</w:t>
      </w:r>
      <w:r>
        <w:rPr>
          <w:rtl w:val="true"/>
        </w:rPr>
        <w:t xml:space="preserve">, </w:t>
      </w:r>
      <w:r>
        <w:rPr>
          <w:rtl w:val="true"/>
        </w:rPr>
        <w:t xml:space="preserve">שהייתה כבת </w:t>
      </w:r>
      <w:r>
        <w:rPr/>
        <w:t>9-8</w:t>
      </w:r>
      <w:r>
        <w:rPr>
          <w:rtl w:val="true"/>
        </w:rPr>
        <w:t xml:space="preserve"> </w:t>
      </w:r>
      <w:r>
        <w:rPr>
          <w:rtl w:val="true"/>
        </w:rPr>
        <w:t>שנים עת בוצעה בה עבירת המין</w:t>
      </w:r>
      <w:r>
        <w:rPr>
          <w:rtl w:val="true"/>
        </w:rPr>
        <w:t xml:space="preserve">. </w:t>
      </w:r>
      <w:r>
        <w:rPr>
          <w:rtl w:val="true"/>
        </w:rPr>
        <w:t>עוד עמד בית המשפט המחוזי על חומרתן היתרה של עבירות מין המבוצעות כלפי קטינים ועל הצורך בהרתעת עברייני מין פוטנציאליים</w:t>
      </w:r>
      <w:r>
        <w:rPr>
          <w:rtl w:val="true"/>
        </w:rPr>
        <w:t xml:space="preserve">, </w:t>
      </w:r>
      <w:r>
        <w:rPr>
          <w:rtl w:val="true"/>
        </w:rPr>
        <w:t>זאת במיוחד במקרים בהם אלה בוצעו כלפי קטין שהוא בן משפחתו של הנאשם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מתסקיר נפגעת העבירה עולה כי מעשיו של המערער הותירו במתלוננת נזק נפשי כבד</w:t>
      </w:r>
      <w:r>
        <w:rPr>
          <w:rtl w:val="true"/>
        </w:rPr>
        <w:t xml:space="preserve">, </w:t>
      </w:r>
      <w:r>
        <w:rPr>
          <w:rtl w:val="true"/>
        </w:rPr>
        <w:t>תוך שתואר כי היא סובלת מפחדים וחרדות אשר הביאו אותה לניסיונו</w:t>
      </w:r>
      <w:r>
        <w:rPr>
          <w:rtl w:val="true"/>
        </w:rPr>
        <w:t>ת</w:t>
      </w:r>
      <w:r>
        <w:rPr>
          <w:rtl w:val="true"/>
        </w:rPr>
        <w:t xml:space="preserve"> אובדניים</w:t>
      </w:r>
      <w:r>
        <w:rPr>
          <w:rtl w:val="true"/>
        </w:rPr>
        <w:t xml:space="preserve">; </w:t>
      </w:r>
      <w:r>
        <w:rPr>
          <w:rtl w:val="true"/>
        </w:rPr>
        <w:t>וכן כי היא סובלת מנתק מהוריה מחמת חשיפת המעשים ותמיכתם במערער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כשיקולים לקולא צוינו 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בהם גילו הצעיר והיותו קטין כבן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בעת ביצוע עבירת המין</w:t>
      </w:r>
      <w:r>
        <w:rPr>
          <w:rtl w:val="true"/>
        </w:rPr>
        <w:t xml:space="preserve">; </w:t>
      </w:r>
      <w:r>
        <w:rPr>
          <w:rtl w:val="true"/>
        </w:rPr>
        <w:t>וכן מסכת חייו הקשה עת גדל ללא מערכת הורית מיטיבה</w:t>
      </w:r>
      <w:r>
        <w:rPr>
          <w:rtl w:val="true"/>
        </w:rPr>
        <w:t xml:space="preserve">, </w:t>
      </w:r>
      <w:r>
        <w:rPr>
          <w:rtl w:val="true"/>
        </w:rPr>
        <w:t>חבר לנערים בשולי החברה</w:t>
      </w:r>
      <w:r>
        <w:rPr>
          <w:rtl w:val="true"/>
        </w:rPr>
        <w:t xml:space="preserve">, </w:t>
      </w:r>
      <w:r>
        <w:rPr>
          <w:rtl w:val="true"/>
        </w:rPr>
        <w:t>נטל סמים וגילה ביטויי אלימות</w:t>
      </w:r>
      <w:r>
        <w:rPr>
          <w:rtl w:val="true"/>
        </w:rPr>
        <w:t xml:space="preserve">; </w:t>
      </w:r>
      <w:r>
        <w:rPr>
          <w:rtl w:val="true"/>
        </w:rPr>
        <w:t>עוד לקח בית המשפט המחוזי בחשבון את הודאתו של המערער במיוחס לו בכתב האישום המתוקן</w:t>
      </w:r>
      <w:r>
        <w:rPr>
          <w:rtl w:val="true"/>
        </w:rPr>
        <w:t xml:space="preserve">, </w:t>
      </w:r>
      <w:r>
        <w:rPr>
          <w:rtl w:val="true"/>
        </w:rPr>
        <w:t>אשר חסכה מן המתלוננת את הצורך להעיד</w:t>
      </w:r>
      <w:r>
        <w:rPr>
          <w:rtl w:val="true"/>
        </w:rPr>
        <w:t xml:space="preserve">. </w:t>
      </w:r>
      <w:r>
        <w:rPr>
          <w:rtl w:val="true"/>
        </w:rPr>
        <w:t>כשיקולים לחומרה נלקחו בחשבון ניצול המערער את פער הגילים בינו ובין המתלוננת</w:t>
      </w:r>
      <w:r>
        <w:rPr>
          <w:rtl w:val="true"/>
        </w:rPr>
        <w:t xml:space="preserve">, </w:t>
      </w:r>
      <w:r>
        <w:rPr>
          <w:rtl w:val="true"/>
        </w:rPr>
        <w:t>אשר נאלצה לסור למרותו בשגרת חיי היומיום נוכח תפקודם הלקוי של הוריהם</w:t>
      </w:r>
      <w:r>
        <w:rPr>
          <w:rtl w:val="true"/>
        </w:rPr>
        <w:t xml:space="preserve">. </w:t>
      </w:r>
      <w:r>
        <w:rPr>
          <w:rtl w:val="true"/>
        </w:rPr>
        <w:t>צוין כי במצב דברים זה</w:t>
      </w:r>
      <w:r>
        <w:rPr>
          <w:rtl w:val="true"/>
        </w:rPr>
        <w:t xml:space="preserve">, </w:t>
      </w:r>
      <w:r>
        <w:rPr>
          <w:rtl w:val="true"/>
        </w:rPr>
        <w:t xml:space="preserve">מצאה עצמה המתלוננת חסרת אונים גם נוכח מעמדו </w:t>
      </w:r>
      <w:r>
        <w:rPr>
          <w:rtl w:val="true"/>
        </w:rPr>
        <w:t>"</w:t>
      </w:r>
      <w:r>
        <w:rPr>
          <w:rtl w:val="true"/>
        </w:rPr>
        <w:t>ההורי</w:t>
      </w:r>
      <w:r>
        <w:rPr>
          <w:rtl w:val="true"/>
        </w:rPr>
        <w:t xml:space="preserve">" </w:t>
      </w:r>
      <w:r>
        <w:rPr>
          <w:rtl w:val="true"/>
        </w:rPr>
        <w:t>של המערער כלפיה</w:t>
      </w:r>
      <w:r>
        <w:rPr>
          <w:rtl w:val="true"/>
        </w:rPr>
        <w:t xml:space="preserve">, </w:t>
      </w:r>
      <w:r>
        <w:rPr>
          <w:rtl w:val="true"/>
        </w:rPr>
        <w:t>אותו ניצל המערער לסיפוק יצריו</w:t>
      </w:r>
      <w:r>
        <w:rPr>
          <w:rtl w:val="true"/>
        </w:rPr>
        <w:t xml:space="preserve">. </w:t>
      </w:r>
      <w:r>
        <w:rPr>
          <w:rtl w:val="true"/>
        </w:rPr>
        <w:t>כן צוין כי לאחר הפגיעה המינית נטע המערער במתלוננת פחד לבל תשתף אחרים במעשה</w:t>
      </w:r>
      <w:r>
        <w:rPr>
          <w:rtl w:val="true"/>
        </w:rPr>
        <w:t xml:space="preserve">, </w:t>
      </w:r>
      <w:r>
        <w:rPr>
          <w:rtl w:val="true"/>
        </w:rPr>
        <w:t>וזו נותרה בבדידותה עם חרדותיה עד לחשיפת המעשה</w:t>
      </w:r>
      <w:r>
        <w:rPr>
          <w:rtl w:val="true"/>
        </w:rPr>
        <w:t xml:space="preserve">, </w:t>
      </w:r>
      <w:r>
        <w:rPr>
          <w:rtl w:val="true"/>
        </w:rPr>
        <w:t>לאחר הוצאתה למסגרת חוץ ביתית בצו בית 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הוסיף וציין כי מתסקיר שירות המבחן עולה כי המערער לא ביטא כל נכונות לטיפול</w:t>
      </w:r>
      <w:r>
        <w:rPr>
          <w:rtl w:val="true"/>
        </w:rPr>
        <w:t xml:space="preserve">, </w:t>
      </w:r>
      <w:r>
        <w:rPr>
          <w:rtl w:val="true"/>
        </w:rPr>
        <w:t>וכי הוא אינו מכיר בקשייו</w:t>
      </w:r>
      <w:r>
        <w:rPr>
          <w:rtl w:val="true"/>
        </w:rPr>
        <w:t xml:space="preserve">. </w:t>
      </w:r>
      <w:r>
        <w:rPr>
          <w:rtl w:val="true"/>
        </w:rPr>
        <w:t>כן צוין כי המערער אמנם הודה במיוחס לו בכתב אישום המתוקן</w:t>
      </w:r>
      <w:r>
        <w:rPr>
          <w:rtl w:val="true"/>
        </w:rPr>
        <w:t xml:space="preserve">, </w:t>
      </w:r>
      <w:r>
        <w:rPr>
          <w:rtl w:val="true"/>
        </w:rPr>
        <w:t>אך בה בעת הטיל אחריות על המתלוננת בטענה כי זו הגישה נגדו תלונת שווא כתוצאה מלחצים שהופעלו עליה מצד שירותי הרווחה</w:t>
      </w:r>
      <w:r>
        <w:rPr>
          <w:rtl w:val="true"/>
        </w:rPr>
        <w:t xml:space="preserve">. </w:t>
      </w:r>
      <w:r>
        <w:rPr>
          <w:rtl w:val="true"/>
        </w:rPr>
        <w:t>צוין כי דברים אלה מלמדים על העדר אמפתיה למתלוננת והביאו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להערכת שירות המבחן שלפיה קיים סיכון להישנות עבירות מסוג 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tl w:val="true"/>
        </w:rPr>
        <w:t>לאחר כל אלה</w:t>
      </w:r>
      <w:r>
        <w:rPr>
          <w:rtl w:val="true"/>
        </w:rPr>
        <w:t xml:space="preserve">, </w:t>
      </w:r>
      <w:r>
        <w:rPr>
          <w:rtl w:val="true"/>
        </w:rPr>
        <w:t>ותוך מתן משקל לקולא להיותו של המערער קטין בעת ביצוע עבירת המין</w:t>
      </w:r>
      <w:r>
        <w:rPr>
          <w:rtl w:val="true"/>
        </w:rPr>
        <w:t xml:space="preserve">, </w:t>
      </w:r>
      <w:r>
        <w:rPr>
          <w:rtl w:val="true"/>
        </w:rPr>
        <w:t>גזר בית המשפט המחוזי על המערער שלוש שנות מאסר בפועל בניכוי ימי מעצרו</w:t>
      </w:r>
      <w:r>
        <w:rPr>
          <w:rtl w:val="true"/>
        </w:rPr>
        <w:t xml:space="preserve">, </w:t>
      </w:r>
      <w:r>
        <w:rPr>
          <w:rtl w:val="true"/>
        </w:rPr>
        <w:t>מאסר מותנה של ששה חודשים לתקופה של שלוש שנים מיום שחרורו ממאסרו</w:t>
      </w:r>
      <w:r>
        <w:rPr>
          <w:rtl w:val="true"/>
        </w:rPr>
        <w:t xml:space="preserve">, </w:t>
      </w:r>
      <w:r>
        <w:rPr>
          <w:rtl w:val="true"/>
        </w:rPr>
        <w:t xml:space="preserve">ופיצוי בסך </w:t>
      </w:r>
      <w:r>
        <w:rPr/>
        <w:t>20,000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>.</w:t>
      </w:r>
      <w:r>
        <w:rPr>
          <w:color w:val="FF0000"/>
          <w:rtl w:val="true"/>
        </w:rPr>
        <w:br/>
      </w:r>
      <w:r>
        <w:rPr>
          <w:rtl w:val="true"/>
        </w:rPr>
        <w:br/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הערער נסוב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 חומרת רכיב המאסר לריצוי בפועל שהוטל על המערער</w:t>
      </w:r>
      <w:r>
        <w:rPr>
          <w:rtl w:val="true"/>
        </w:rPr>
        <w:t xml:space="preserve">. </w:t>
      </w:r>
      <w:r>
        <w:rPr>
          <w:rtl w:val="true"/>
        </w:rPr>
        <w:t>המערער טוען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לא נתן משקל מספיק לעובדה שהיה קטין בעת ביצוע עבירת המין</w:t>
      </w:r>
      <w:r>
        <w:rPr>
          <w:rtl w:val="true"/>
        </w:rPr>
        <w:t xml:space="preserve">. </w:t>
      </w:r>
      <w:r>
        <w:rPr>
          <w:rtl w:val="true"/>
        </w:rPr>
        <w:t>כן הוא טוען כי העונש שנגזר עליו אינו נותן ביטוי ראוי למדיניות הענישה הנוהגת בעניינ</w:t>
      </w:r>
      <w:r>
        <w:rPr>
          <w:rtl w:val="true"/>
        </w:rPr>
        <w:t>ם</w:t>
      </w:r>
      <w:r>
        <w:rPr>
          <w:rtl w:val="true"/>
        </w:rPr>
        <w:t xml:space="preserve"> של קטינים</w:t>
      </w:r>
      <w:r>
        <w:rPr>
          <w:rtl w:val="true"/>
        </w:rPr>
        <w:t xml:space="preserve">, </w:t>
      </w:r>
      <w:r>
        <w:rPr>
          <w:rtl w:val="true"/>
        </w:rPr>
        <w:t>ולפיה יש ליתן מעמד בכורה לשיקומו של הקטין אף אם ביצע עבירה חמורה</w:t>
      </w:r>
      <w:r>
        <w:rPr>
          <w:rtl w:val="true"/>
        </w:rPr>
        <w:t xml:space="preserve">. </w:t>
      </w:r>
      <w:r>
        <w:rPr>
          <w:rtl w:val="true"/>
        </w:rPr>
        <w:t>בהקשר זה נטען</w:t>
      </w:r>
      <w:r>
        <w:rPr>
          <w:rtl w:val="true"/>
        </w:rPr>
        <w:t xml:space="preserve">, </w:t>
      </w:r>
      <w:r>
        <w:rPr>
          <w:rtl w:val="true"/>
        </w:rPr>
        <w:t>כי שירות המבחן התעלם מצרכיו המיוחדים של המערער ולא בחן עבורו אפיק טיפולי המתאים לצרכיו אלה</w:t>
      </w:r>
      <w:r>
        <w:rPr>
          <w:rtl w:val="true"/>
        </w:rPr>
        <w:t xml:space="preserve">. </w:t>
      </w:r>
      <w:r>
        <w:rPr>
          <w:rtl w:val="true"/>
        </w:rPr>
        <w:t>כן נטען כי שיקומו של קטין אינו מתבטא בשילובו בהליך טיפולי בלבד</w:t>
      </w:r>
      <w:r>
        <w:rPr>
          <w:rtl w:val="true"/>
        </w:rPr>
        <w:t xml:space="preserve">, </w:t>
      </w:r>
      <w:r>
        <w:rPr>
          <w:rtl w:val="true"/>
        </w:rPr>
        <w:t>אלא גם במניעת גזירתו של מאסר ממושך מאחורי סורג ובריח</w:t>
      </w:r>
      <w:r>
        <w:rPr>
          <w:rtl w:val="true"/>
        </w:rPr>
        <w:t xml:space="preserve">, </w:t>
      </w:r>
      <w:r>
        <w:rPr>
          <w:rtl w:val="true"/>
        </w:rPr>
        <w:t>במיוחד כאשר מדובר כבענייננו בקטין חסר עבר פלילי שהתקשה להסתגל לתנאי מעצרו</w:t>
      </w:r>
      <w:r>
        <w:rPr>
          <w:rtl w:val="true"/>
        </w:rPr>
        <w:t xml:space="preserve">, </w:t>
      </w:r>
      <w:r>
        <w:rPr>
          <w:rtl w:val="true"/>
        </w:rPr>
        <w:t>כמפורט בתסקיר שירות המבחן שהוגש בעניינו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יתן משקל רב יותר לנסיבותיו האישיות הקשות של המערער</w:t>
      </w:r>
      <w:r>
        <w:rPr>
          <w:rtl w:val="true"/>
        </w:rPr>
        <w:t xml:space="preserve">, </w:t>
      </w:r>
      <w:r>
        <w:rPr>
          <w:rtl w:val="true"/>
        </w:rPr>
        <w:t>בהן תפקוד הורי לקוי</w:t>
      </w:r>
      <w:r>
        <w:rPr>
          <w:rtl w:val="true"/>
        </w:rPr>
        <w:t xml:space="preserve">, </w:t>
      </w:r>
      <w:r>
        <w:rPr>
          <w:rtl w:val="true"/>
        </w:rPr>
        <w:t>הזנחה רגשית והוצאתו למסגרות חוץ</w:t>
      </w:r>
      <w:r>
        <w:rPr>
          <w:rtl w:val="true"/>
        </w:rPr>
        <w:t>-</w:t>
      </w:r>
      <w:r>
        <w:rPr>
          <w:rtl w:val="true"/>
        </w:rPr>
        <w:t>ביתיות אשר לא נתנו מענה לצרכיו המיוחדים</w:t>
      </w:r>
      <w:r>
        <w:rPr>
          <w:rtl w:val="true"/>
        </w:rPr>
        <w:t xml:space="preserve">; </w:t>
      </w:r>
      <w:r>
        <w:rPr>
          <w:rtl w:val="true"/>
        </w:rPr>
        <w:t>להערכה פסיכולוגית שניתנה בעניינו בה עלה חשד שהוא סובל ממגבלה בתחום הקוגניטיבי</w:t>
      </w:r>
      <w:r>
        <w:rPr>
          <w:rtl w:val="true"/>
        </w:rPr>
        <w:t xml:space="preserve">; </w:t>
      </w:r>
      <w:r>
        <w:rPr>
          <w:rtl w:val="true"/>
        </w:rPr>
        <w:t>להודאתו באשמה</w:t>
      </w:r>
      <w:r>
        <w:rPr>
          <w:rtl w:val="true"/>
        </w:rPr>
        <w:t xml:space="preserve">; </w:t>
      </w:r>
      <w:r>
        <w:rPr>
          <w:rtl w:val="true"/>
        </w:rPr>
        <w:t>וכן לנ</w:t>
      </w:r>
      <w:r>
        <w:rPr>
          <w:rtl w:val="true"/>
        </w:rPr>
        <w:t>סיבות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ת המין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 </w:t>
      </w:r>
      <w:r>
        <w:rPr>
          <w:rtl w:val="true"/>
        </w:rPr>
        <w:t>וקצרה</w:t>
      </w:r>
      <w:r>
        <w:rPr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, </w:t>
      </w:r>
      <w:r>
        <w:rPr>
          <w:rtl w:val="true"/>
        </w:rPr>
        <w:t>שנעשתה</w:t>
      </w:r>
      <w:r>
        <w:rPr>
          <w:rtl w:val="true"/>
        </w:rPr>
        <w:t xml:space="preserve">, </w:t>
      </w:r>
      <w:r>
        <w:rPr>
          <w:rtl w:val="true"/>
        </w:rPr>
        <w:t>לדברי המערער</w:t>
      </w:r>
      <w:r>
        <w:rPr>
          <w:rtl w:val="true"/>
        </w:rPr>
        <w:t>, "</w:t>
      </w:r>
      <w:r>
        <w:rPr>
          <w:rtl w:val="true"/>
        </w:rPr>
        <w:t>ללא שימוש בכוח</w:t>
      </w:r>
      <w:r>
        <w:rPr>
          <w:rtl w:val="true"/>
        </w:rPr>
        <w:t xml:space="preserve">". </w:t>
      </w:r>
      <w:r>
        <w:rPr>
          <w:rtl w:val="true"/>
        </w:rPr>
        <w:t>המערער הוסיף כי בניגוד לאמור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הוא לא </w:t>
      </w:r>
      <w:r>
        <w:rPr>
          <w:rtl w:val="true"/>
        </w:rPr>
        <w:t>"</w:t>
      </w:r>
      <w:r>
        <w:rPr>
          <w:rtl w:val="true"/>
        </w:rPr>
        <w:t>איים</w:t>
      </w:r>
      <w:r>
        <w:rPr>
          <w:rtl w:val="true"/>
        </w:rPr>
        <w:t xml:space="preserve">" </w:t>
      </w:r>
      <w:r>
        <w:rPr>
          <w:rtl w:val="true"/>
        </w:rPr>
        <w:t>על המתלוננת לבל תשתף אחרים במעשה</w:t>
      </w:r>
      <w:r>
        <w:rPr>
          <w:rtl w:val="true"/>
        </w:rPr>
        <w:t xml:space="preserve">, </w:t>
      </w:r>
      <w:r>
        <w:rPr>
          <w:rtl w:val="true"/>
        </w:rPr>
        <w:t>אלא אך אמר לה לא לספר על כך לאיש</w:t>
      </w:r>
      <w:r>
        <w:rPr>
          <w:rtl w:val="true"/>
        </w:rPr>
        <w:t xml:space="preserve">. </w:t>
      </w: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 xml:space="preserve">טען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סמך</w:t>
      </w:r>
      <w:r>
        <w:rPr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 xml:space="preserve">שעסקו </w:t>
      </w:r>
      <w:r>
        <w:rPr>
          <w:rtl w:val="true"/>
        </w:rPr>
        <w:t>בעניי</w:t>
      </w:r>
      <w:r>
        <w:rPr>
          <w:rtl w:val="true"/>
        </w:rPr>
        <w:t>נם של</w:t>
      </w:r>
      <w:r>
        <w:rPr>
          <w:rtl w:val="true"/>
        </w:rPr>
        <w:t xml:space="preserve"> </w:t>
      </w:r>
      <w:r>
        <w:rPr>
          <w:rtl w:val="true"/>
        </w:rPr>
        <w:t>בגירים</w:t>
      </w:r>
      <w:r>
        <w:rPr>
          <w:rtl w:val="true"/>
        </w:rPr>
        <w:t xml:space="preserve"> </w:t>
      </w:r>
      <w:r>
        <w:rPr>
          <w:rtl w:val="true"/>
        </w:rPr>
        <w:t>ובמקרים</w:t>
      </w:r>
      <w:r>
        <w:rPr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וכי בהתחשב בכל האמור היה על בית המשפט המחוזי להסתפק בעונש מאסר מתון בצורה ניכרת מהעונש שהוטל עליו בסופו של יום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cs="Miriam"/>
          <w:b/>
          <w:spacing w:val="0"/>
          <w:szCs w:val="24"/>
        </w:rPr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סומכת ידה על גזר הדין ומבקשת כי נדחה את הערעור</w:t>
      </w:r>
      <w:r>
        <w:rPr>
          <w:rtl w:val="true"/>
        </w:rPr>
        <w:t xml:space="preserve">. </w:t>
      </w:r>
      <w:r>
        <w:rPr>
          <w:rtl w:val="true"/>
        </w:rPr>
        <w:t>המשיבה טוענת כי העונש שנגזר על המערער הולם את חומרת מעשיו</w:t>
      </w:r>
      <w:r>
        <w:rPr>
          <w:rtl w:val="true"/>
        </w:rPr>
        <w:t xml:space="preserve">, </w:t>
      </w:r>
      <w:r>
        <w:rPr>
          <w:rtl w:val="true"/>
        </w:rPr>
        <w:t>ואת העובדה כי אלו בוצעו בתוך המשפחה</w:t>
      </w:r>
      <w:r>
        <w:rPr>
          <w:rtl w:val="true"/>
        </w:rPr>
        <w:t xml:space="preserve">. </w:t>
      </w:r>
      <w:r>
        <w:rPr>
          <w:rtl w:val="true"/>
        </w:rPr>
        <w:t>עוד טענה</w:t>
      </w:r>
      <w:r>
        <w:rPr>
          <w:rtl w:val="true"/>
        </w:rPr>
        <w:t xml:space="preserve">, </w:t>
      </w:r>
      <w:r>
        <w:rPr>
          <w:rtl w:val="true"/>
        </w:rPr>
        <w:t>כי המערער לא נטל אחריות על מעשיו וכי לאורך ההליך שהתנהל בפני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ואף לפני שירות המבחן</w:t>
      </w:r>
      <w:r>
        <w:rPr>
          <w:rtl w:val="true"/>
        </w:rPr>
        <w:t xml:space="preserve">, </w:t>
      </w:r>
      <w:r>
        <w:rPr>
          <w:rtl w:val="true"/>
        </w:rPr>
        <w:t>הכחיש את עבירת המין שביצע במתלוננת</w:t>
      </w:r>
      <w:r>
        <w:rPr>
          <w:rtl w:val="true"/>
        </w:rPr>
        <w:t xml:space="preserve">. </w:t>
      </w:r>
      <w:r>
        <w:rPr>
          <w:rtl w:val="true"/>
        </w:rPr>
        <w:t>המשיבה הוסיפה ופירטה אודות הנזק שנגרם למתלוננת</w:t>
      </w:r>
      <w:r>
        <w:rPr>
          <w:rtl w:val="true"/>
        </w:rPr>
        <w:t xml:space="preserve">, </w:t>
      </w:r>
      <w:r>
        <w:rPr>
          <w:rtl w:val="true"/>
        </w:rPr>
        <w:t>אשר סובלת מפגיעה נפשית קשה</w:t>
      </w:r>
      <w:r>
        <w:rPr>
          <w:rtl w:val="true"/>
        </w:rPr>
        <w:t xml:space="preserve">, </w:t>
      </w:r>
      <w:r>
        <w:rPr>
          <w:rtl w:val="true"/>
        </w:rPr>
        <w:t>המתבטאת בין היתר בהתפרצויות בכי בלתי נשלטות ובניסיונו</w:t>
      </w:r>
      <w:r>
        <w:rPr>
          <w:rtl w:val="true"/>
        </w:rPr>
        <w:t>ת</w:t>
      </w:r>
      <w:r>
        <w:rPr>
          <w:rtl w:val="true"/>
        </w:rPr>
        <w:t xml:space="preserve"> אובדניים</w:t>
      </w:r>
      <w:r>
        <w:rPr>
          <w:rtl w:val="true"/>
        </w:rPr>
        <w:t xml:space="preserve">. </w:t>
      </w:r>
      <w:r>
        <w:rPr>
          <w:rtl w:val="true"/>
        </w:rPr>
        <w:t>כן צוין כי המתלוננת סובלת מנידוי מצד משפחתה לנוכח חשיפת המעשים ותמיכת המשפחה במערער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עיון בכתב הערעור על נספחיו ובתיק בית המשפט המחוזי</w:t>
      </w:r>
      <w:r>
        <w:rPr>
          <w:rtl w:val="true"/>
        </w:rPr>
        <w:t xml:space="preserve">, </w:t>
      </w:r>
      <w:r>
        <w:rPr>
          <w:rtl w:val="true"/>
        </w:rPr>
        <w:t>ולאחר שנשמעו טענות הצדדים בדיון שנערך לפנינו</w:t>
      </w:r>
      <w:r>
        <w:rPr>
          <w:rtl w:val="true"/>
        </w:rPr>
        <w:t xml:space="preserve">, </w:t>
      </w:r>
      <w:r>
        <w:rPr>
          <w:rtl w:val="true"/>
        </w:rPr>
        <w:t xml:space="preserve">באתי לכלל מסקנה כי דין הערעור להידחות </w:t>
      </w:r>
      <w:r>
        <w:rPr>
          <w:rtl w:val="true"/>
        </w:rPr>
        <w:t>–</w:t>
      </w:r>
      <w:r>
        <w:rPr>
          <w:rtl w:val="true"/>
        </w:rPr>
        <w:t xml:space="preserve"> וכך אציע לחבריי שנעשה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הלכה</w:t>
      </w:r>
      <w:r>
        <w:rPr>
          <w:rtl w:val="true"/>
        </w:rPr>
        <w:t xml:space="preserve"> ידועה</w:t>
      </w:r>
      <w:r>
        <w:rPr>
          <w:rtl w:val="true"/>
        </w:rPr>
        <w:t xml:space="preserve"> היא כי ערכאת הערעור </w:t>
      </w:r>
      <w:r>
        <w:rPr>
          <w:rtl w:val="true"/>
        </w:rPr>
        <w:t>תיטה שלא</w:t>
      </w:r>
      <w:r>
        <w:rPr>
          <w:rtl w:val="true"/>
        </w:rPr>
        <w:t xml:space="preserve"> להתערב בעונש שהוטל על</w:t>
      </w:r>
      <w:r>
        <w:rPr>
          <w:rtl w:val="true"/>
        </w:rPr>
        <w:t>-</w:t>
      </w:r>
      <w:r>
        <w:rPr>
          <w:rtl w:val="true"/>
        </w:rPr>
        <w:t>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>
          <w:rtl w:val="true"/>
        </w:rPr>
        <w:t>במקרים חריגים שבהם עולה כי נפלה טעות מהותית בגזר הדין או כאשר מתגלה</w:t>
      </w:r>
      <w:r>
        <w:rPr>
          <w:rtl w:val="true"/>
        </w:rPr>
        <w:t xml:space="preserve"> סטייה ניכרת ממדיניות הענישה הנוהגת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 xml:space="preserve">: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9.11.2022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1074/22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מוחסן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20.7.2022</w:t>
      </w:r>
      <w:r>
        <w:rPr>
          <w:rtl w:val="true"/>
        </w:rPr>
        <w:t xml:space="preserve">)). </w:t>
      </w:r>
      <w:r>
        <w:rPr>
          <w:rtl w:val="true"/>
        </w:rPr>
        <w:t>המקרה שלפנינו אינו נמנה עם אותם מקרים חריגים המצדיקים התערבות כאמור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היה על בית המשפט המחוזי ליתן משקל רב יותר להיבט השיקומי בגזירת עונשו</w:t>
      </w:r>
      <w:r>
        <w:rPr>
          <w:rtl w:val="true"/>
        </w:rPr>
        <w:t xml:space="preserve">, </w:t>
      </w:r>
      <w:r>
        <w:rPr>
          <w:rtl w:val="true"/>
        </w:rPr>
        <w:t>ולהסתפק בעונש מאסר מתון משמעותית</w:t>
      </w:r>
      <w:r>
        <w:rPr>
          <w:rtl w:val="true"/>
        </w:rPr>
        <w:t xml:space="preserve">, </w:t>
      </w:r>
      <w:r>
        <w:rPr>
          <w:rtl w:val="true"/>
        </w:rPr>
        <w:t>בשל היותו קטין בעת ביצוע העבירה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 דומה ענישת קטין לענישת בגיר</w:t>
      </w:r>
      <w:r>
        <w:rPr>
          <w:rtl w:val="true"/>
        </w:rPr>
        <w:t xml:space="preserve">. </w:t>
      </w:r>
      <w:r>
        <w:rPr>
          <w:rtl w:val="true"/>
        </w:rPr>
        <w:t>בעת גזירת עונשו של קטין</w:t>
      </w:r>
      <w:r>
        <w:rPr>
          <w:rtl w:val="true"/>
        </w:rPr>
        <w:t xml:space="preserve">, </w:t>
      </w:r>
      <w:r>
        <w:rPr>
          <w:rtl w:val="true"/>
        </w:rPr>
        <w:t>גם כאשר זה הורשע בעבירות קשות וחמורות</w:t>
      </w:r>
      <w:r>
        <w:rPr>
          <w:rtl w:val="true"/>
        </w:rPr>
        <w:t xml:space="preserve">, </w:t>
      </w:r>
      <w:r>
        <w:rPr>
          <w:rtl w:val="true"/>
        </w:rPr>
        <w:t>יש ליתן משקל רב לנסיבותיו האישיות</w:t>
      </w:r>
      <w:r>
        <w:rPr>
          <w:rtl w:val="true"/>
        </w:rPr>
        <w:t xml:space="preserve">, </w:t>
      </w:r>
      <w:r>
        <w:rPr>
          <w:rtl w:val="true"/>
        </w:rPr>
        <w:t>לגילו בעת ביצוע העבירה ולסיכויי שיקומו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אין בשיקולי קטינות וסיכויי שיקום</w:t>
      </w:r>
      <w:r>
        <w:rPr>
          <w:rtl w:val="true"/>
        </w:rPr>
        <w:t xml:space="preserve">, </w:t>
      </w:r>
      <w:r>
        <w:rPr>
          <w:rtl w:val="true"/>
        </w:rPr>
        <w:t>כדי לייתר את הצורך באיזון שיקולים אלה אל מול שיקולי ענישה נוספים</w:t>
      </w:r>
      <w:r>
        <w:rPr>
          <w:rtl w:val="true"/>
        </w:rPr>
        <w:t xml:space="preserve">, </w:t>
      </w:r>
      <w:r>
        <w:rPr>
          <w:rtl w:val="true"/>
        </w:rPr>
        <w:t xml:space="preserve">אולם יש ליתן משקל של ממש לסיכוי לשיקומו של הקטין ולאפשרות החזרתו לתפקוד נורמטיבי בחברה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3203/13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20.11.2013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4150/09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5.8.2009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7-6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8.3.2009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3582/08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6.11.2008</w:t>
      </w:r>
      <w:r>
        <w:rPr>
          <w:rtl w:val="true"/>
        </w:rPr>
        <w:t xml:space="preserve">)).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הובהר לא אחת כי יש לשקול כל מקרה לנסיבותיו ולייחס משקל ראוי לנסיבותיו האינדיבידואליות של הנאשם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אין דומה קטין שביצע את העבירה סמוך לגיל האחריות הפלילית לקטין שביצעה על סף גיל הבגירות</w:t>
      </w:r>
      <w:r>
        <w:rPr>
          <w:rtl w:val="true"/>
        </w:rPr>
        <w:t xml:space="preserve">; </w:t>
      </w:r>
      <w:r>
        <w:rPr>
          <w:rtl w:val="true"/>
        </w:rPr>
        <w:t>ואין דומה קטין הנוטל אחריות</w:t>
      </w:r>
      <w:r>
        <w:rPr>
          <w:rtl w:val="true"/>
        </w:rPr>
        <w:t xml:space="preserve">, </w:t>
      </w:r>
      <w:r>
        <w:rPr>
          <w:rtl w:val="true"/>
        </w:rPr>
        <w:t>מגלה הבנה לחומרת מעשיו ומצוי בהליך שיקומי</w:t>
      </w:r>
      <w:r>
        <w:rPr>
          <w:rtl w:val="true"/>
        </w:rPr>
        <w:t xml:space="preserve">, </w:t>
      </w:r>
      <w:r>
        <w:rPr>
          <w:rtl w:val="true"/>
        </w:rPr>
        <w:t xml:space="preserve">לקטין שאינו מגלה הפנמה וחרטה ומכחיש כל נזקקות טיפולית </w:t>
      </w:r>
      <w:r>
        <w:rPr>
          <w:rStyle w:val="Ruller4"/>
          <w:rtl w:val="true"/>
        </w:rPr>
        <w:t>(</w:t>
      </w:r>
      <w:r>
        <w:rPr>
          <w:rStyle w:val="Ruller4"/>
          <w:rtl w:val="true"/>
        </w:rPr>
        <w:t>וראו</w:t>
      </w:r>
      <w:r>
        <w:rPr>
          <w:rStyle w:val="Ruller4"/>
          <w:rtl w:val="true"/>
        </w:rPr>
        <w:t xml:space="preserve">: </w:t>
      </w:r>
      <w:hyperlink r:id="rId22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</w:rPr>
          <w:t>8197/22</w:t>
        </w:r>
      </w:hyperlink>
      <w:r>
        <w:rPr>
          <w:rStyle w:val="Ruller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Style w:val="Ruller4"/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Style w:val="Ruller4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4"/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 xml:space="preserve">פסקה </w:t>
      </w:r>
      <w:r>
        <w:rPr>
          <w:rStyle w:val="Ruller4"/>
        </w:rPr>
        <w:t>28</w:t>
      </w:r>
      <w:r>
        <w:rPr>
          <w:rStyle w:val="Ruller4"/>
          <w:rtl w:val="true"/>
        </w:rPr>
        <w:t xml:space="preserve"> </w:t>
      </w:r>
      <w:r>
        <w:rPr>
          <w:rStyle w:val="Ruller4"/>
          <w:rtl w:val="true"/>
        </w:rPr>
        <w:t xml:space="preserve">והאסמכתאות הנזכרות שם </w:t>
      </w:r>
      <w:r>
        <w:rPr>
          <w:rStyle w:val="Ruller4"/>
          <w:rFonts w:cs="David" w:ascii="Times New Roman" w:hAnsi="Times New Roman"/>
          <w:spacing w:val="0"/>
          <w:szCs w:val="24"/>
          <w:rtl w:val="true"/>
        </w:rPr>
        <w:t>[</w:t>
      </w:r>
      <w:r>
        <w:rPr>
          <w:rStyle w:val="Ruller4"/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Style w:val="Ruller4"/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Style w:val="Ruller4"/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Style w:val="Ruller4"/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Style w:val="Ruller4"/>
          <w:rtl w:val="true"/>
        </w:rPr>
        <w:t>(</w:t>
      </w:r>
      <w:r>
        <w:rPr>
          <w:rStyle w:val="Ruller4"/>
        </w:rPr>
        <w:t>22.11.23</w:t>
      </w:r>
      <w:r>
        <w:rPr>
          <w:rStyle w:val="Ruller4"/>
          <w:rtl w:val="true"/>
        </w:rPr>
        <w:t>)</w:t>
      </w:r>
      <w:r>
        <w:rPr>
          <w:rtl w:val="true"/>
        </w:rPr>
        <w:t xml:space="preserve">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9828/06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11-10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10.6.2007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7113/08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6-5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/>
        <w:t>15.12.2008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ענייננו</w:t>
      </w:r>
      <w:r>
        <w:rPr>
          <w:rtl w:val="true"/>
        </w:rPr>
        <w:t xml:space="preserve">, </w:t>
      </w:r>
      <w:r>
        <w:rPr>
          <w:rtl w:val="true"/>
        </w:rPr>
        <w:t>אין בשיקולים שהועלו על</w:t>
      </w:r>
      <w:r>
        <w:rPr>
          <w:rtl w:val="true"/>
        </w:rPr>
        <w:t>-</w:t>
      </w:r>
      <w:r>
        <w:rPr>
          <w:rtl w:val="true"/>
        </w:rPr>
        <w:t>ידי בא כוח המערער משום טעם להתערבות בגזר דינו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היותו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tl w:val="true"/>
        </w:rPr>
        <w:t xml:space="preserve"> </w:t>
      </w:r>
      <w:r>
        <w:rPr/>
        <w:t>17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סמוך לגיל הבגירות</w:t>
      </w:r>
      <w:r>
        <w:rPr>
          <w:rtl w:val="true"/>
        </w:rPr>
        <w:t xml:space="preserve">, </w:t>
      </w:r>
      <w:r>
        <w:rPr>
          <w:rtl w:val="true"/>
        </w:rPr>
        <w:t xml:space="preserve">ואילו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שנית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וכפי שפורט בתסקיר שירות המבחן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החשד לקיומו של ליקוי קוגניטיבי שעלה בעבר בעניינו של המערער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 xml:space="preserve">נשלל באבחון שנערך לו ביום </w:t>
      </w:r>
      <w:r>
        <w:rPr>
          <w:rStyle w:val="Ruller4"/>
        </w:rPr>
        <w:t>17.6.2022</w:t>
      </w:r>
      <w:r>
        <w:rPr>
          <w:rStyle w:val="Ruller4"/>
          <w:rtl w:val="true"/>
        </w:rPr>
        <w:t xml:space="preserve">. </w:t>
      </w:r>
      <w:r>
        <w:rPr>
          <w:rStyle w:val="Ruller4"/>
          <w:rtl w:val="true"/>
        </w:rPr>
        <w:t>ושלישית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המערער לא נטל אחריות לעבירת המין החמורה שביצע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 xml:space="preserve">שלל כל </w:t>
      </w:r>
      <w:r>
        <w:rPr>
          <w:rtl w:val="true"/>
        </w:rPr>
        <w:t>בעייתיות בתחום עבריינות המין</w:t>
      </w:r>
      <w:r>
        <w:rPr>
          <w:rStyle w:val="Ruller4"/>
          <w:rtl w:val="true"/>
        </w:rPr>
        <w:t xml:space="preserve"> ועל אף ניסיונות חוזרים לשלבו בהליך טיפולי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לא גילה כל נכונות לעשות לשיקומו</w:t>
      </w:r>
      <w:r>
        <w:rPr>
          <w:rStyle w:val="Ruller4"/>
          <w:rtl w:val="true"/>
        </w:rPr>
        <w:t xml:space="preserve">. </w:t>
      </w:r>
      <w:r>
        <w:rPr>
          <w:rStyle w:val="Ruller4"/>
          <w:rtl w:val="true"/>
        </w:rPr>
        <w:t>על רקע זה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 xml:space="preserve">העריך </w:t>
      </w:r>
      <w:r>
        <w:rPr>
          <w:rtl w:val="true"/>
        </w:rPr>
        <w:t>שירות המבחן כי נשקף מן המערער סיכון להישנות התנהגות פוגענית</w:t>
      </w:r>
      <w:r>
        <w:rPr>
          <w:rtl w:val="true"/>
        </w:rPr>
        <w:t xml:space="preserve">, </w:t>
      </w:r>
      <w:r>
        <w:rPr>
          <w:rtl w:val="true"/>
        </w:rPr>
        <w:t>ולפיכך לא בא בהמלצה טיפולית בעניינו</w:t>
      </w:r>
      <w:r>
        <w:rPr>
          <w:rtl w:val="true"/>
        </w:rPr>
        <w:t xml:space="preserve">, </w:t>
      </w:r>
      <w:r>
        <w:rPr>
          <w:rtl w:val="true"/>
        </w:rPr>
        <w:t>ואף המליץ על הטלת ענישה מוחשית</w:t>
      </w:r>
      <w:r>
        <w:rPr>
          <w:rtl w:val="true"/>
        </w:rPr>
        <w:t xml:space="preserve">. </w:t>
      </w:r>
      <w:r>
        <w:rPr>
          <w:rtl w:val="true"/>
        </w:rPr>
        <w:t>אף בתסקיר המשלים שהוגש לבית משפט זה לקראת הדיון בערעורו</w:t>
      </w:r>
      <w:r>
        <w:rPr>
          <w:rtl w:val="true"/>
        </w:rPr>
        <w:t xml:space="preserve">, </w:t>
      </w:r>
      <w:r>
        <w:rPr>
          <w:rtl w:val="true"/>
        </w:rPr>
        <w:t>צוין כי גם כיום המערער אינו מכיר בעבירת המין שביצע כלפי המתלוננת</w:t>
      </w:r>
      <w:r>
        <w:rPr>
          <w:rtl w:val="true"/>
        </w:rPr>
        <w:t xml:space="preserve">. </w:t>
      </w:r>
      <w:r>
        <w:rPr>
          <w:rtl w:val="true"/>
        </w:rPr>
        <w:t>כן צוין כי חרף נזקקותו של המערער לטיפול בתחומי ההתמכרויות</w:t>
      </w:r>
      <w:r>
        <w:rPr>
          <w:rtl w:val="true"/>
        </w:rPr>
        <w:t xml:space="preserve">, </w:t>
      </w:r>
      <w:r>
        <w:rPr>
          <w:rtl w:val="true"/>
        </w:rPr>
        <w:t>עבריינות מין ואלימות במשפחה</w:t>
      </w:r>
      <w:r>
        <w:rPr>
          <w:rtl w:val="true"/>
        </w:rPr>
        <w:t xml:space="preserve">, </w:t>
      </w:r>
      <w:r>
        <w:rPr>
          <w:rtl w:val="true"/>
        </w:rPr>
        <w:t>המערער אינו משולב בטיפול במסגרת שירות בתי הסוהר</w:t>
      </w:r>
      <w:r>
        <w:rPr>
          <w:rtl w:val="true"/>
        </w:rPr>
        <w:t xml:space="preserve">, </w:t>
      </w:r>
      <w:r>
        <w:rPr>
          <w:rtl w:val="true"/>
        </w:rPr>
        <w:t>חרף מספר ניסיונו</w:t>
      </w:r>
      <w:r>
        <w:rPr>
          <w:rtl w:val="true"/>
        </w:rPr>
        <w:t>ת</w:t>
      </w:r>
      <w:r>
        <w:rPr>
          <w:rtl w:val="true"/>
        </w:rPr>
        <w:t xml:space="preserve"> שנערכו לשילובו בטיפול</w:t>
      </w:r>
      <w:r>
        <w:rPr>
          <w:rtl w:val="true"/>
        </w:rPr>
        <w:t xml:space="preserve">, </w:t>
      </w:r>
      <w:r>
        <w:rPr>
          <w:rtl w:val="true"/>
        </w:rPr>
        <w:t>בשל העדר מוטיבציה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בהעדר הפנמה של חומרת מעשיו ובהעדר כל אפיק שיקומי העשוי להפחית את הסיכון להישנות העבירה</w:t>
      </w:r>
      <w:r>
        <w:rPr>
          <w:rtl w:val="true"/>
        </w:rPr>
        <w:t xml:space="preserve">, </w:t>
      </w:r>
      <w:r>
        <w:rPr>
          <w:rtl w:val="true"/>
        </w:rPr>
        <w:t>אין בשיקולי שיקום כדי להצדיק הקלה בעונשו של המערער מעבר להקלה בה זכה בשל גילו בעת ביצוע העבירות</w:t>
      </w:r>
      <w:r>
        <w:rPr>
          <w:rtl w:val="true"/>
        </w:rPr>
        <w:t xml:space="preserve">, </w:t>
      </w:r>
      <w:r>
        <w:rPr>
          <w:rtl w:val="true"/>
        </w:rPr>
        <w:t>כפי שבאה לידי ביטוי בגזר דינו של בית המשפט המחוזי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tl w:val="true"/>
        </w:rPr>
        <w:t>העונש שהושת על המערער הולם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את הנסיבות שתוארו</w:t>
      </w:r>
      <w:r>
        <w:rPr>
          <w:rtl w:val="true"/>
        </w:rPr>
        <w:t xml:space="preserve">, </w:t>
      </w:r>
      <w:r>
        <w:rPr>
          <w:rtl w:val="true"/>
        </w:rPr>
        <w:t>ואינו מגלה טעות בולטת המצדיקה התערבותו של בית משפט זה</w:t>
      </w:r>
      <w:r>
        <w:rPr>
          <w:rtl w:val="true"/>
        </w:rPr>
        <w:t xml:space="preserve">. </w:t>
      </w:r>
      <w:r>
        <w:rPr>
          <w:rtl w:val="true"/>
        </w:rPr>
        <w:t>בית המשפט המחוזי נתן דעתו לנסיבותיו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ובהן גילו הצעיר</w:t>
      </w:r>
      <w:r>
        <w:rPr>
          <w:rtl w:val="true"/>
        </w:rPr>
        <w:t xml:space="preserve">; </w:t>
      </w:r>
      <w:r>
        <w:rPr>
          <w:rtl w:val="true"/>
        </w:rPr>
        <w:t>היותו של המערער קטין בעת ביצוע עבירת המין</w:t>
      </w:r>
      <w:r>
        <w:rPr>
          <w:rtl w:val="true"/>
        </w:rPr>
        <w:t xml:space="preserve">; </w:t>
      </w:r>
      <w:r>
        <w:rPr>
          <w:rtl w:val="true"/>
        </w:rPr>
        <w:t>הודאתו באשמה</w:t>
      </w:r>
      <w:r>
        <w:rPr>
          <w:rtl w:val="true"/>
        </w:rPr>
        <w:t xml:space="preserve">; </w:t>
      </w:r>
      <w:r>
        <w:rPr>
          <w:rtl w:val="true"/>
        </w:rPr>
        <w:t xml:space="preserve">ונסיבות חייו הקשות </w:t>
      </w:r>
      <w:r>
        <w:rPr>
          <w:rtl w:val="true"/>
        </w:rPr>
        <w:t>–</w:t>
      </w:r>
      <w:r>
        <w:rPr>
          <w:rtl w:val="true"/>
        </w:rPr>
        <w:t xml:space="preserve"> ושקל שיקולים אלו כשיקולים לקולא עת גזר את דינו של המערער</w:t>
      </w:r>
      <w:r>
        <w:rPr>
          <w:rtl w:val="true"/>
        </w:rPr>
        <w:t>.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מנגד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שקל בית המשפט המחוזי את</w:t>
      </w:r>
      <w:r>
        <w:rPr>
          <w:rtl w:val="true"/>
        </w:rPr>
        <w:t xml:space="preserve"> חומרתן היתרה של העבירות</w:t>
      </w:r>
      <w:r>
        <w:rPr>
          <w:rtl w:val="true"/>
        </w:rPr>
        <w:t xml:space="preserve">; </w:t>
      </w:r>
      <w:r>
        <w:rPr>
          <w:rtl w:val="true"/>
        </w:rPr>
        <w:t>את נסיבות ביצוע עבירת המין ועבירת האלימות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; </w:t>
      </w:r>
      <w:r>
        <w:rPr>
          <w:rtl w:val="true"/>
        </w:rPr>
        <w:t xml:space="preserve">ואת </w:t>
      </w:r>
      <w:r>
        <w:rPr>
          <w:sz w:val="22"/>
          <w:sz w:val="22"/>
          <w:rtl w:val="true"/>
        </w:rPr>
        <w:t>הנזקים העמוקים שנגרמו למתלוננת בעקבות פגיעתו של המערער</w:t>
      </w:r>
      <w:r>
        <w:rPr>
          <w:rtl w:val="true"/>
        </w:rPr>
        <w:t>.</w:t>
      </w:r>
      <w:r>
        <w:rPr>
          <w:rFonts w:cs="Arial TUR" w:ascii="Arial TUR" w:hAnsi="Arial TUR"/>
          <w:sz w:val="22"/>
          <w:rtl w:val="true"/>
        </w:rPr>
        <w:t xml:space="preserve"> </w:t>
      </w:r>
      <w:r>
        <w:rPr>
          <w:rtl w:val="true"/>
        </w:rPr>
        <w:t>בית המשפט המחוזי</w:t>
      </w:r>
      <w:r>
        <w:rPr>
          <w:rtl w:val="true"/>
        </w:rPr>
        <w:t>,</w:t>
      </w:r>
      <w:r>
        <w:rPr>
          <w:rFonts w:cs="Arial TUR" w:ascii="Arial TUR" w:hAnsi="Arial TUR"/>
          <w:sz w:val="22"/>
          <w:rtl w:val="true"/>
        </w:rPr>
        <w:t xml:space="preserve"> </w:t>
      </w:r>
      <w:r>
        <w:rPr>
          <w:rFonts w:ascii="Arial TUR" w:hAnsi="Arial TUR" w:cs="Arial TUR"/>
          <w:sz w:val="22"/>
          <w:sz w:val="22"/>
          <w:rtl w:val="true"/>
        </w:rPr>
        <w:t>הביא</w:t>
      </w:r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Fonts w:ascii="Arial TUR" w:hAnsi="Arial TUR" w:cs="Arial TUR"/>
          <w:sz w:val="22"/>
          <w:sz w:val="22"/>
          <w:rtl w:val="true"/>
        </w:rPr>
        <w:t>בחשבון</w:t>
      </w:r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Fonts w:ascii="Arial TUR" w:hAnsi="Arial TUR" w:cs="Arial TUR"/>
          <w:sz w:val="22"/>
          <w:sz w:val="22"/>
          <w:rtl w:val="true"/>
        </w:rPr>
        <w:t>את</w:t>
      </w:r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Fonts w:ascii="Arial TUR" w:hAnsi="Arial TUR" w:cs="Arial TUR"/>
          <w:sz w:val="22"/>
          <w:sz w:val="22"/>
          <w:rtl w:val="true"/>
        </w:rPr>
        <w:t>מכלול</w:t>
      </w:r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Fonts w:ascii="Arial TUR" w:hAnsi="Arial TUR" w:cs="Arial TUR"/>
          <w:sz w:val="22"/>
          <w:sz w:val="22"/>
          <w:rtl w:val="true"/>
        </w:rPr>
        <w:t>השיקולים</w:t>
      </w:r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Fonts w:ascii="Arial TUR" w:hAnsi="Arial TUR" w:cs="Arial TUR"/>
          <w:sz w:val="22"/>
          <w:sz w:val="22"/>
          <w:rtl w:val="true"/>
        </w:rPr>
        <w:t>הצריכים</w:t>
      </w:r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Fonts w:ascii="Arial TUR" w:hAnsi="Arial TUR" w:cs="Arial TUR"/>
          <w:sz w:val="22"/>
          <w:sz w:val="22"/>
          <w:rtl w:val="true"/>
        </w:rPr>
        <w:t>לעניין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איזן</w:t>
      </w:r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Fonts w:ascii="Arial TUR" w:hAnsi="Arial TUR" w:cs="Arial TUR"/>
          <w:sz w:val="22"/>
          <w:sz w:val="22"/>
          <w:rtl w:val="true"/>
        </w:rPr>
        <w:t>ביניהם</w:t>
      </w:r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Fonts w:ascii="Arial TUR" w:hAnsi="Arial TUR" w:cs="Arial TUR"/>
          <w:sz w:val="22"/>
          <w:sz w:val="22"/>
          <w:rtl w:val="true"/>
        </w:rPr>
        <w:t>כראוי</w:t>
      </w:r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Fonts w:ascii="Arial TUR" w:hAnsi="Arial TUR" w:cs="Arial TUR"/>
          <w:sz w:val="22"/>
          <w:sz w:val="22"/>
          <w:rtl w:val="true"/>
        </w:rPr>
        <w:t>והטיל</w:t>
      </w:r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Fonts w:ascii="Arial TUR" w:hAnsi="Arial TUR" w:cs="Arial TUR"/>
          <w:sz w:val="22"/>
          <w:sz w:val="22"/>
          <w:rtl w:val="true"/>
        </w:rPr>
        <w:t>על</w:t>
      </w:r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Fonts w:ascii="Arial TUR" w:hAnsi="Arial TUR" w:cs="Arial TUR"/>
          <w:sz w:val="22"/>
          <w:sz w:val="22"/>
          <w:rtl w:val="true"/>
        </w:rPr>
        <w:t>המערער</w:t>
      </w:r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Fonts w:ascii="Arial TUR" w:hAnsi="Arial TUR" w:cs="Arial TUR"/>
          <w:sz w:val="22"/>
          <w:sz w:val="22"/>
          <w:rtl w:val="true"/>
        </w:rPr>
        <w:t>עונש</w:t>
      </w:r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Fonts w:ascii="Arial TUR" w:hAnsi="Arial TUR" w:cs="Arial TUR"/>
          <w:sz w:val="22"/>
          <w:sz w:val="22"/>
          <w:rtl w:val="true"/>
        </w:rPr>
        <w:t xml:space="preserve">הולם </w:t>
      </w:r>
      <w:r>
        <w:rPr>
          <w:rFonts w:ascii="Arial TUR" w:hAnsi="Arial TUR" w:cs="Arial TUR"/>
          <w:sz w:val="22"/>
          <w:sz w:val="22"/>
          <w:rtl w:val="true"/>
        </w:rPr>
        <w:t>בנסיבות</w:t>
      </w:r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Fonts w:ascii="Arial TUR" w:hAnsi="Arial TUR" w:cs="Arial TUR"/>
          <w:sz w:val="22"/>
          <w:sz w:val="22"/>
          <w:rtl w:val="true"/>
        </w:rPr>
        <w:t>העניין</w:t>
      </w:r>
      <w:r>
        <w:rPr>
          <w:rFonts w:cs="Arial TUR" w:ascii="Arial TUR" w:hAnsi="Arial TUR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Fonts w:ascii="Arial TUR" w:hAnsi="Arial TUR" w:cs="Arial TUR"/>
          <w:sz w:val="22"/>
          <w:sz w:val="22"/>
          <w:rtl w:val="true"/>
        </w:rPr>
        <w:t>ולבסוף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tl w:val="true"/>
        </w:rPr>
        <w:t>אין בטענת המערער</w:t>
      </w:r>
      <w:r>
        <w:rPr>
          <w:rtl w:val="true"/>
        </w:rPr>
        <w:t xml:space="preserve">, </w:t>
      </w:r>
      <w:r>
        <w:rPr>
          <w:rtl w:val="true"/>
        </w:rPr>
        <w:t>שלפיה בית המשפט המחוזי העניק בגזירת העונש משקל לכך שהמערער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איים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לבל</w:t>
      </w:r>
      <w:r>
        <w:rPr>
          <w:rtl w:val="true"/>
        </w:rPr>
        <w:t xml:space="preserve"> </w:t>
      </w:r>
      <w:r>
        <w:rPr>
          <w:rtl w:val="true"/>
        </w:rPr>
        <w:t>תשתף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 xml:space="preserve">, </w:t>
      </w:r>
      <w:r>
        <w:rPr>
          <w:rtl w:val="true"/>
        </w:rPr>
        <w:t xml:space="preserve">כלשון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כדי להצדיק התערבות בגזר דינו</w:t>
      </w:r>
      <w:r>
        <w:rPr>
          <w:rtl w:val="true"/>
        </w:rPr>
        <w:t xml:space="preserve">. </w:t>
      </w:r>
      <w:r>
        <w:rPr>
          <w:rtl w:val="true"/>
        </w:rPr>
        <w:t>אף אם בחירת המילים של בית המשפט המחוזי לא היית</w:t>
      </w:r>
      <w:r>
        <w:rPr>
          <w:rtl w:val="true"/>
        </w:rPr>
        <w:t>ה</w:t>
      </w:r>
      <w:r>
        <w:rPr>
          <w:rtl w:val="true"/>
        </w:rPr>
        <w:t xml:space="preserve"> מדויקת</w:t>
      </w:r>
      <w:r>
        <w:rPr>
          <w:rtl w:val="true"/>
        </w:rPr>
        <w:t xml:space="preserve">, </w:t>
      </w:r>
      <w:r>
        <w:rPr>
          <w:rtl w:val="true"/>
        </w:rPr>
        <w:t>משלא יוחס למערער כל איום</w:t>
      </w:r>
      <w:r>
        <w:rPr>
          <w:rtl w:val="true"/>
        </w:rPr>
        <w:t xml:space="preserve">, </w:t>
      </w:r>
      <w:r>
        <w:rPr>
          <w:rtl w:val="true"/>
        </w:rPr>
        <w:t>לא שוכנעתי שהיה בכך</w:t>
      </w:r>
      <w:r>
        <w:rPr>
          <w:rtl w:val="true"/>
        </w:rPr>
        <w:t xml:space="preserve">, </w:t>
      </w:r>
      <w:r>
        <w:rPr>
          <w:rtl w:val="true"/>
        </w:rPr>
        <w:t>בשים לב לעבירות בהן הורשע</w:t>
      </w:r>
      <w:r>
        <w:rPr>
          <w:rtl w:val="true"/>
        </w:rPr>
        <w:t xml:space="preserve">, </w:t>
      </w:r>
      <w:r>
        <w:rPr>
          <w:rtl w:val="true"/>
        </w:rPr>
        <w:t xml:space="preserve">כדי להחמיר את עונשו של המערער </w:t>
      </w:r>
      <w:r>
        <w:rPr>
          <w:rtl w:val="true"/>
        </w:rPr>
        <w:t>–</w:t>
      </w:r>
      <w:r>
        <w:rPr>
          <w:rtl w:val="true"/>
        </w:rPr>
        <w:t xml:space="preserve"> ולפיכך לא נמצא טעם לשנות מן התוצאה אליה הגיע בית המשפט המחוזי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Arial TUR" w:hAnsi="Arial TUR" w:cs="Arial TUR"/>
          <w:sz w:val="22"/>
        </w:rPr>
      </w:pPr>
      <w:r>
        <w:rPr>
          <w:rFonts w:cs="Arial TUR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אציע לחבריי כי נדחה את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ישכיל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4.2.2024</w:t>
      </w:r>
      <w:r>
        <w:rPr>
          <w:rtl w:val="true"/>
        </w:rPr>
        <w:t xml:space="preserve">). </w:t>
      </w:r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23042250</w:t>
      </w:r>
      <w:r>
        <w:rPr>
          <w:sz w:val="16"/>
          <w:rtl w:val="true"/>
        </w:rPr>
        <w:t>_</w:t>
      </w:r>
      <w:r>
        <w:rPr>
          <w:sz w:val="16"/>
        </w:rPr>
        <w:t>X09.docx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מנ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וילנר </w:t>
      </w:r>
      <w:r>
        <w:rPr>
          <w:rFonts w:cs="David" w:ascii="David" w:hAnsi="David"/>
          <w:color w:val="000000"/>
          <w:szCs w:val="22"/>
        </w:rPr>
        <w:t>54678313-4225/23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4225/23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7.b" TargetMode="External"/><Relationship Id="rId7" Type="http://schemas.openxmlformats.org/officeDocument/2006/relationships/hyperlink" Target="http://www.nevo.co.il/law/70301/351.a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01/351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7.b" TargetMode="External"/><Relationship Id="rId12" Type="http://schemas.openxmlformats.org/officeDocument/2006/relationships/hyperlink" Target="http://www.nevo.co.il/law/70301/345.b.1" TargetMode="External"/><Relationship Id="rId13" Type="http://schemas.openxmlformats.org/officeDocument/2006/relationships/hyperlink" Target="http://www.nevo.co.il/law/70301/345.a.1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/379" TargetMode="External"/><Relationship Id="rId16" Type="http://schemas.openxmlformats.org/officeDocument/2006/relationships/hyperlink" Target="http://www.nevo.co.il/case/27648809" TargetMode="External"/><Relationship Id="rId17" Type="http://schemas.openxmlformats.org/officeDocument/2006/relationships/hyperlink" Target="http://www.nevo.co.il/case/28313643" TargetMode="External"/><Relationship Id="rId18" Type="http://schemas.openxmlformats.org/officeDocument/2006/relationships/hyperlink" Target="http://www.nevo.co.il/case/10486492" TargetMode="External"/><Relationship Id="rId19" Type="http://schemas.openxmlformats.org/officeDocument/2006/relationships/hyperlink" Target="http://www.nevo.co.il/case/5900955" TargetMode="External"/><Relationship Id="rId20" Type="http://schemas.openxmlformats.org/officeDocument/2006/relationships/hyperlink" Target="http://www.nevo.co.il/case/2237972" TargetMode="External"/><Relationship Id="rId21" Type="http://schemas.openxmlformats.org/officeDocument/2006/relationships/hyperlink" Target="http://www.nevo.co.il/case/6245051" TargetMode="External"/><Relationship Id="rId22" Type="http://schemas.openxmlformats.org/officeDocument/2006/relationships/hyperlink" Target="http://www.nevo.co.il/case/29181044" TargetMode="External"/><Relationship Id="rId23" Type="http://schemas.openxmlformats.org/officeDocument/2006/relationships/hyperlink" Target="http://www.nevo.co.il/case/6240786" TargetMode="External"/><Relationship Id="rId24" Type="http://schemas.openxmlformats.org/officeDocument/2006/relationships/hyperlink" Target="http://www.nevo.co.il/case/6247596" TargetMode="External"/><Relationship Id="rId25" Type="http://schemas.openxmlformats.org/officeDocument/2006/relationships/hyperlink" Target="https://supreme.court.gov.il/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2024-02-05T16:01:00Z</dcterms:created>
  <dc:creator>h4</dc:creator>
  <dc:description/>
  <cp:keywords/>
  <dc:language>en-IL</dc:language>
  <cp:lastModifiedBy>h2</cp:lastModifiedBy>
  <cp:lastPrinted>2024-02-04T16:03:00Z</cp:lastPrinted>
  <dcterms:modified xsi:type="dcterms:W3CDTF">2024-02-05T16:01:00Z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27648809;28313643;10486492;5900955;2237972;6245051;29181044;6240786;6247596</vt:lpwstr>
  </property>
  <property fmtid="{D5CDD505-2E9C-101B-9397-08002B2CF9AE}" pid="9" name="CITY">
    <vt:lpwstr/>
  </property>
  <property fmtid="{D5CDD505-2E9C-101B-9397-08002B2CF9AE}" pid="10" name="DATE">
    <vt:lpwstr>20240204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וילנר;א' שטיין;ג' כנפי שטייניץ</vt:lpwstr>
  </property>
  <property fmtid="{D5CDD505-2E9C-101B-9397-08002B2CF9AE}" pid="14" name="LAWLISTTMP1">
    <vt:lpwstr>70301/351.a;347.b;345.b.1;345.a.1;025;379</vt:lpwstr>
  </property>
  <property fmtid="{D5CDD505-2E9C-101B-9397-08002B2CF9AE}" pid="15" name="LAWYER">
    <vt:lpwstr>מיכל בלומנטל;ריאד סואעד;ליאור שני;היאם מדאח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ערעור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1446;1446;504</vt:lpwstr>
  </property>
  <property fmtid="{D5CDD505-2E9C-101B-9397-08002B2CF9AE}" pid="48" name="NOSE31">
    <vt:lpwstr>מדיניות ענישה: קטינים</vt:lpwstr>
  </property>
  <property fmtid="{D5CDD505-2E9C-101B-9397-08002B2CF9AE}" pid="49" name="NOSE310">
    <vt:lpwstr/>
  </property>
  <property fmtid="{D5CDD505-2E9C-101B-9397-08002B2CF9AE}" pid="50" name="NOSE32">
    <vt:lpwstr>קטינים</vt:lpwstr>
  </property>
  <property fmtid="{D5CDD505-2E9C-101B-9397-08002B2CF9AE}" pid="51" name="NOSE33">
    <vt:lpwstr>אי-התערבות במידת העונש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15724;14248;17039</vt:lpwstr>
  </property>
  <property fmtid="{D5CDD505-2E9C-101B-9397-08002B2CF9AE}" pid="59" name="PADIDATE">
    <vt:lpwstr>20240205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4225</vt:lpwstr>
  </property>
  <property fmtid="{D5CDD505-2E9C-101B-9397-08002B2CF9AE}" pid="65" name="PROCYEAR">
    <vt:lpwstr>23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410120240204</vt:lpwstr>
  </property>
  <property fmtid="{D5CDD505-2E9C-101B-9397-08002B2CF9AE}" pid="69" name="TYPE_N_DATE">
    <vt:lpwstr>41020240204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