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4232/20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012394-09-19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05.05.2020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צרפתי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גלפז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מוקדי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29.10.2020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 היתירה הגלומה בביצוע עבירות מין בכלל ובעבירת האינוס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גם בעבירה של ניסיון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למצוא בעבירות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ניסיון 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מנעד רחב של מתחמי ענישה בשל שוני בנסיבות הקשורות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כתלות בנסיבותי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האישיות של הנאש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כל 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להיגזר מנסיבותיו הקונקרטיות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היטב בין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מכלול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שיקולי הענישה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הרלוונטיים ואינו מחמיר עימו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אינוס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של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 על המערער עונש של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שהורשע על פי הודייתו בעבירות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של ניסיון 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ומעשה מגונה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בוצעו בסמוך לאחר פרידת המתלוננת ובן זוגה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הוא בן זוגה של אימו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בוצעו לאחר שהמתלוננת הגיע למקום עבודתו של המערער ו</w:t>
      </w:r>
      <w:r>
        <w:rPr>
          <w:rFonts w:ascii="Times New Roman" w:hAnsi="Times New Roman" w:cs="Times New Roman"/>
          <w:spacing w:val="0"/>
          <w:szCs w:val="26"/>
          <w:rtl w:val="true"/>
        </w:rPr>
        <w:t>שוחחה עמו על הפרידה מא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תוך </w:t>
      </w:r>
      <w:r>
        <w:rPr>
          <w:rFonts w:ascii="Times New Roman" w:hAnsi="Times New Roman" w:cs="Times New Roman"/>
          <w:spacing w:val="0"/>
          <w:szCs w:val="26"/>
          <w:rtl w:val="true"/>
        </w:rPr>
        <w:t>ניצול מצוקתה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שקמה ונמלטה מהמקום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השופטים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נוטה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דרך הכלל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 בעונש שנגזר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נפל פגם מהותי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העונש שנקבע סוטה באופן קיצוני ממדיניות הענישה הנוהגת בעבירות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לערכאה הדיונית שיקול דעת רחב בקביעת מתחם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וערכאת הערעור לא תתערב בו כאשר העונש שנגזר על המערער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 שב ועמד על החומרה היתירה הגלומה בביצוע עבירות מין בכלל ובעבירת האינוס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הצורך להחמיר בענישה בגינן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הנזק העצום הנגרם לקורבנות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וכדי להרתיע עבריינים פוטנציאליים מפני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בעבר כי חומרה זו קיימת גם בעבירה של ניסיון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הפגיעה הקשה בגופ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ובנפש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מת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אף כאשר העבירה לא הושלמה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למצוא בעבירות אלו מנעד רחב של מתחמי ענישה בשל שוני בנסיבות הקשורות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כתלות בנסיבותי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האישיות של הנאש</w:t>
      </w:r>
      <w:r>
        <w:rPr>
          <w:rFonts w:ascii="Times New Roman" w:hAnsi="Times New Roman" w:cs="Times New Roman"/>
          <w:spacing w:val="0"/>
          <w:szCs w:val="26"/>
          <w:rtl w:val="true"/>
        </w:rPr>
        <w:t>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 הענישה לעולם אינה מתמטית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ועליה להיגזר מנסיבותיו הקונקרטיות של כל מקרה לגופו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שהוטל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 עמו כל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לפיה העבירות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התבצעו באלימות פיזית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שעליה נסמך המערער בערעורו – מוקשית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כיצד ניתן לומר כי נגיעות חוזרות ונשנות באיבר מינה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התנגדותה הברורה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העקבית והמפורשת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ניסיון לחדור למקום האינטימי ביותר בגופה ללא הסכמתה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עולים כדי אלימות פיזית ממשית נגדה</w:t>
      </w:r>
      <w:r>
        <w:rPr>
          <w:rFonts w:cs="Times New Roman" w:ascii="Times New Roman" w:hAnsi="Times New Roman"/>
          <w:spacing w:val="0"/>
          <w:szCs w:val="26"/>
          <w:rtl w:val="true"/>
        </w:rPr>
        <w:t>?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לשכוח את פערי הכוחות שבין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אחד ניצב המערער – בן זוגה של אמו של א</w:t>
      </w:r>
      <w:r>
        <w:rPr>
          <w:rFonts w:cs="Times New Roman" w:ascii="Times New Roman" w:hAnsi="Times New Roman"/>
          <w:spacing w:val="0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שממנו נפרדה המתלוננת </w:t>
      </w:r>
      <w:r>
        <w:rPr>
          <w:rFonts w:ascii="Times New Roman" w:hAnsi="Times New Roman" w:cs="Times New Roman"/>
          <w:spacing w:val="0"/>
          <w:szCs w:val="26"/>
          <w:rtl w:val="true"/>
        </w:rPr>
        <w:t>זה לא מכבר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המבוגר ממנה בלמעלה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מהצד השני ניצבת המתלוננת – במצב נפשי מורכב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זמן קצר קודם לכן </w:t>
      </w:r>
      <w:r>
        <w:rPr>
          <w:rFonts w:ascii="Times New Roman" w:hAnsi="Times New Roman" w:cs="Times New Roman"/>
          <w:spacing w:val="0"/>
          <w:szCs w:val="26"/>
          <w:rtl w:val="true"/>
        </w:rPr>
        <w:t>מיררה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בבכי מולו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צער הפרידה הטריה מבן זוגה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מזימת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לספק את תאוותו המינית </w:t>
      </w:r>
      <w:r>
        <w:rPr>
          <w:rFonts w:ascii="Times New Roman" w:hAnsi="Times New Roman" w:cs="Times New Roman"/>
          <w:spacing w:val="0"/>
          <w:szCs w:val="26"/>
          <w:rtl w:val="true"/>
        </w:rPr>
        <w:t>נמנעה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בחלקה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רק הודות לתושיית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הצליחה להשתחרר מהקיפאון שאחז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להדוף 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ולהימלט על נפשה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נסיבותיו המקלות של המערער קיבלו את משקלן המלא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 שהושת עליו מאזן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היטב בין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מכלול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שיקולי הענישה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</w:t>
      </w:r>
      <w:r>
        <w:rPr>
          <w:rtl w:val="true"/>
        </w:rPr>
        <w:t xml:space="preserve">בית המשפט המחוזי בנצרת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ascii="David;Times New Roman" w:hAnsi="David;Times New Roman" w:cs="David;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קולה</w:t>
      </w:r>
      <w:r>
        <w:rPr>
          <w:rFonts w:cs="David;Times New Roman" w:ascii="David;Times New Roman" w:hAnsi="David;Times New Roman"/>
          <w:b/>
          <w:sz w:val="26"/>
          <w:szCs w:val="26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צרפתי</w:t>
      </w:r>
      <w:r>
        <w:rPr>
          <w:rFonts w:ascii="David;Times New Roman" w:hAnsi="David;Times New Roman" w:cs="David;Times New Roman"/>
          <w:b/>
          <w:b/>
          <w:sz w:val="26"/>
          <w:sz w:val="26"/>
          <w:szCs w:val="26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גלפז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מוקדי</w:t>
      </w:r>
      <w:r>
        <w:rPr>
          <w:rtl w:val="true"/>
        </w:rPr>
        <w:t>)</w:t>
      </w:r>
      <w:r>
        <w:rPr>
          <w:rFonts w:cs="David;Times New Roman" w:ascii="David;Times New Roman" w:hAnsi="David;Times New Roman"/>
          <w:sz w:val="26"/>
          <w:szCs w:val="26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12394-09-19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5.5.2020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 על המערער עונש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לאחר שהורשע על פי הודייתו בעבירות </w:t>
      </w:r>
      <w:r>
        <w:rPr>
          <w:rtl w:val="true"/>
        </w:rPr>
        <w:t>של ניסיון אינוס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 w:cs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ומעשה מגונה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 המתוקן שהוגש נגדו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התגורר עם בת זוגו ועם בנה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כאשר המתלוננת וא</w:t>
      </w:r>
      <w:r>
        <w:rPr>
          <w:rtl w:val="true"/>
        </w:rPr>
        <w:t xml:space="preserve">' </w:t>
      </w:r>
      <w:r>
        <w:rPr>
          <w:rtl w:val="true"/>
        </w:rPr>
        <w:t>קיימו מערכת יחסים זוגית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25.8.2019</w:t>
      </w:r>
      <w:r>
        <w:rPr>
          <w:rtl w:val="true"/>
        </w:rPr>
        <w:t xml:space="preserve">, </w:t>
      </w:r>
      <w:r>
        <w:rPr>
          <w:rtl w:val="true"/>
        </w:rPr>
        <w:t xml:space="preserve">סמוך </w:t>
      </w:r>
      <w:r>
        <w:rPr>
          <w:rtl w:val="true"/>
        </w:rPr>
        <w:t>לפרידתם של</w:t>
      </w:r>
      <w:r>
        <w:rPr>
          <w:rtl w:val="true"/>
        </w:rPr>
        <w:t xml:space="preserve"> א</w:t>
      </w:r>
      <w:r>
        <w:rPr>
          <w:rtl w:val="true"/>
        </w:rPr>
        <w:t xml:space="preserve">' </w:t>
      </w:r>
      <w:r>
        <w:rPr>
          <w:rtl w:val="true"/>
        </w:rPr>
        <w:t>והמתלוננת</w:t>
      </w:r>
      <w:r>
        <w:rPr>
          <w:rtl w:val="true"/>
        </w:rPr>
        <w:t xml:space="preserve"> זה מזו</w:t>
      </w:r>
      <w:r>
        <w:rPr>
          <w:rtl w:val="true"/>
        </w:rPr>
        <w:t xml:space="preserve">, </w:t>
      </w:r>
      <w:r>
        <w:rPr>
          <w:rtl w:val="true"/>
        </w:rPr>
        <w:t>הגיעה האחרונה למקום עבודתו של המערער</w:t>
      </w:r>
      <w:r>
        <w:rPr>
          <w:rtl w:val="true"/>
        </w:rPr>
        <w:t xml:space="preserve">, </w:t>
      </w:r>
      <w:r>
        <w:rPr>
          <w:rtl w:val="true"/>
        </w:rPr>
        <w:t>שוחחה עמו על הפרידה מא</w:t>
      </w:r>
      <w:r>
        <w:rPr>
          <w:rtl w:val="true"/>
        </w:rPr>
        <w:t xml:space="preserve">', </w:t>
      </w:r>
      <w:r>
        <w:rPr>
          <w:rtl w:val="true"/>
        </w:rPr>
        <w:t>ובשלב מסוים החלה לבכות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דמעותיה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שַדַה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מאצבעותיו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פיסק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התעשתה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מהקיפאון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דחפה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שמיעת עדות המתלוננת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במסגרתו יודה המערער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והצדדים יהיו חופשיים </w:t>
      </w:r>
      <w:r>
        <w:rPr>
          <w:rtl w:val="true"/>
        </w:rPr>
        <w:t>לטעון לענין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נפגעת העבירה</w:t>
      </w:r>
      <w:r>
        <w:rPr>
          <w:rtl w:val="true"/>
        </w:rPr>
        <w:t xml:space="preserve">, </w:t>
      </w:r>
      <w:r>
        <w:rPr>
          <w:rtl w:val="true"/>
        </w:rPr>
        <w:t>עמד שירות המבחן על הנזק הרב שנגרם למתלוננת כתוצאה מפגיעת המערער בה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בתסקיר המתייחס למערער</w:t>
      </w:r>
      <w:r>
        <w:rPr>
          <w:rtl w:val="true"/>
        </w:rPr>
        <w:t xml:space="preserve">, </w:t>
      </w:r>
      <w:r>
        <w:rPr>
          <w:rtl w:val="true"/>
        </w:rPr>
        <w:t>התרשם שירות המבחן כי המערער נטל אחריות פורמאלית בלבד למעשיו</w:t>
      </w:r>
      <w:r>
        <w:rPr>
          <w:rtl w:val="true"/>
        </w:rPr>
        <w:t xml:space="preserve">, </w:t>
      </w:r>
      <w:r>
        <w:rPr>
          <w:rtl w:val="true"/>
        </w:rPr>
        <w:t xml:space="preserve">וצוין כי </w:t>
      </w:r>
      <w:r>
        <w:rPr>
          <w:rtl w:val="true"/>
        </w:rPr>
        <w:t>"</w:t>
      </w:r>
      <w:r>
        <w:rPr>
          <w:rtl w:val="true"/>
        </w:rPr>
        <w:t xml:space="preserve">קיימת רמת סיכון </w:t>
      </w:r>
      <w:r>
        <w:rPr>
          <w:rtl w:val="true"/>
        </w:rPr>
        <w:t>להישנות מקרים דומים בעתיד</w:t>
      </w:r>
      <w:r>
        <w:rPr>
          <w:rtl w:val="true"/>
        </w:rPr>
        <w:t xml:space="preserve">".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כמו גם לנוכח חומרת העבירה</w:t>
      </w:r>
      <w:r>
        <w:rPr>
          <w:rtl w:val="true"/>
        </w:rPr>
        <w:t xml:space="preserve">, </w:t>
      </w:r>
      <w:r>
        <w:rPr>
          <w:rtl w:val="true"/>
        </w:rPr>
        <w:t>קשייו להכיר בצרכיו הטיפוליים</w:t>
      </w:r>
      <w:r>
        <w:rPr>
          <w:rtl w:val="true"/>
        </w:rPr>
        <w:t xml:space="preserve">, </w:t>
      </w:r>
      <w:r>
        <w:rPr>
          <w:rtl w:val="true"/>
        </w:rPr>
        <w:t>והקושי לקבל אחריות על מעשיו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טיפולית בקהילה בעניינו של המערער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המשפט המחוזי על הערכים המוגנים שנפגעו מביצוע העבירות</w:t>
      </w:r>
      <w:r>
        <w:rPr>
          <w:rtl w:val="true"/>
        </w:rPr>
        <w:t xml:space="preserve">, </w:t>
      </w:r>
      <w:r>
        <w:rPr>
          <w:rtl w:val="true"/>
        </w:rPr>
        <w:t>שעניינם בהגנה על נשים מפני פגיעה מינית</w:t>
      </w:r>
      <w:r>
        <w:rPr>
          <w:rtl w:val="true"/>
        </w:rPr>
        <w:t xml:space="preserve">, </w:t>
      </w:r>
      <w:r>
        <w:rPr>
          <w:rtl w:val="true"/>
        </w:rPr>
        <w:t>תוך שמירה על כבודן</w:t>
      </w:r>
      <w:r>
        <w:rPr>
          <w:rtl w:val="true"/>
        </w:rPr>
        <w:t xml:space="preserve">, </w:t>
      </w:r>
      <w:r>
        <w:rPr>
          <w:rtl w:val="true"/>
        </w:rPr>
        <w:t>ביטחונן</w:t>
      </w:r>
      <w:r>
        <w:rPr>
          <w:rtl w:val="true"/>
        </w:rPr>
        <w:t xml:space="preserve">, </w:t>
      </w:r>
      <w:r>
        <w:rPr>
          <w:rtl w:val="true"/>
        </w:rPr>
        <w:t>פרטיותן והאוטונומיה שלהן על גופן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נקבע כי מעשי המערער פגעו בערכים אלו במידה גבוהה</w:t>
      </w:r>
      <w:r>
        <w:rPr>
          <w:rtl w:val="true"/>
        </w:rPr>
        <w:t xml:space="preserve">, </w:t>
      </w:r>
      <w:r>
        <w:rPr>
          <w:rtl w:val="true"/>
        </w:rPr>
        <w:t>לנוכח פערי הגילים שבין המערער למתלוננת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ניצול מצוקתה על ידו</w:t>
      </w:r>
      <w:r>
        <w:rPr>
          <w:rtl w:val="true"/>
        </w:rPr>
        <w:t xml:space="preserve">; </w:t>
      </w:r>
      <w:r>
        <w:rPr>
          <w:rtl w:val="true"/>
        </w:rPr>
        <w:t>והעובדה שהמשיך במעשיו חרף בקשותיה החוזרות ונשנות כי יניח לה</w:t>
      </w:r>
      <w:r>
        <w:rPr>
          <w:rtl w:val="true"/>
        </w:rPr>
        <w:t xml:space="preserve">, </w:t>
      </w:r>
      <w:r>
        <w:rPr>
          <w:rtl w:val="true"/>
        </w:rPr>
        <w:t>ולא חדל מניסיונותיו לבצע בה את זממו עד שקמה ונמלטה מהמקום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הוסיף וציין כי אינו מתעלם מכך ש</w:t>
      </w:r>
      <w:r>
        <w:rPr>
          <w:rtl w:val="true"/>
        </w:rPr>
        <w:t>"</w:t>
      </w:r>
      <w:r>
        <w:rPr>
          <w:rtl w:val="true"/>
        </w:rPr>
        <w:t xml:space="preserve">מעשיו של הנאשם </w:t>
      </w:r>
      <w:r>
        <w:rPr>
          <w:rtl w:val="true"/>
        </w:rPr>
        <w:t>[</w:t>
      </w:r>
      <w:r>
        <w:rPr>
          <w:rtl w:val="true"/>
        </w:rPr>
        <w:t xml:space="preserve">המערער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לא התבצעו באלימות פיזית ממשית</w:t>
      </w:r>
      <w:r>
        <w:rPr>
          <w:rtl w:val="true"/>
        </w:rPr>
        <w:t xml:space="preserve">, </w:t>
      </w:r>
      <w:r>
        <w:rPr>
          <w:rtl w:val="true"/>
        </w:rPr>
        <w:t>איומים והפחדה</w:t>
      </w:r>
      <w:r>
        <w:rPr>
          <w:rtl w:val="true"/>
        </w:rPr>
        <w:t xml:space="preserve">"; </w:t>
      </w:r>
      <w:r>
        <w:rPr>
          <w:rtl w:val="true"/>
        </w:rPr>
        <w:t>לא תוכננו או נעשו על פני פרק זמן ממושך</w:t>
      </w:r>
      <w:r>
        <w:rPr>
          <w:rtl w:val="true"/>
        </w:rPr>
        <w:t xml:space="preserve">; </w:t>
      </w:r>
      <w:r>
        <w:rPr>
          <w:rtl w:val="true"/>
        </w:rPr>
        <w:t>והמערער לא מנע ממנה לעזוב את 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ascii="FrankRuehl" w:hAnsi="FrankRueh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בעיקרו של דבר על מתחם העונש שנקבע לו</w:t>
      </w:r>
      <w:r>
        <w:rPr>
          <w:rtl w:val="true"/>
        </w:rPr>
        <w:t xml:space="preserve">, </w:t>
      </w:r>
      <w:r>
        <w:rPr>
          <w:rtl w:val="true"/>
        </w:rPr>
        <w:t>החורג לשיטתו באופן קיצוני ממדיניות הענישה הנהוגה במקרים דומים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בשורה של מקרים אישר בית משפט זה מתחמי ענישה קלים מזה שנקבע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; </w:t>
      </w:r>
      <w:r>
        <w:rPr>
          <w:rtl w:val="true"/>
        </w:rPr>
        <w:t>עמידתו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; </w:t>
      </w:r>
      <w:r>
        <w:rPr>
          <w:rtl w:val="true"/>
        </w:rPr>
        <w:t>ותרומתו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סומכת ידיה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תוך שהיא מדגישה</w:t>
      </w:r>
      <w:r>
        <w:rPr>
          <w:rtl w:val="true"/>
        </w:rPr>
        <w:t xml:space="preserve"> כי אין לייחס משקל לכך שמעשי המערער לא בוצעו תוך שימוש באלימות פיזית ממשית</w:t>
      </w:r>
      <w:r>
        <w:rPr>
          <w:rtl w:val="true"/>
        </w:rPr>
        <w:t xml:space="preserve">, </w:t>
      </w:r>
      <w:r>
        <w:rPr>
          <w:rtl w:val="true"/>
        </w:rPr>
        <w:t>איומים והפחדה</w:t>
      </w:r>
      <w:r>
        <w:rPr>
          <w:rtl w:val="true"/>
        </w:rPr>
        <w:t xml:space="preserve">, </w:t>
      </w:r>
      <w:r>
        <w:rPr>
          <w:rtl w:val="true"/>
        </w:rPr>
        <w:t>כנסיבה שיש בה להביא להקלה בעונשו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 xml:space="preserve">לנוכח </w:t>
      </w:r>
      <w:r>
        <w:rPr>
          <w:rtl w:val="true"/>
        </w:rPr>
        <w:t xml:space="preserve">נסיבות הענין ובפרט </w:t>
      </w:r>
      <w:r>
        <w:rPr>
          <w:rtl w:val="true"/>
        </w:rPr>
        <w:t>פערי הגילים שבין המערער למתלוננת</w:t>
      </w:r>
      <w:r>
        <w:rPr>
          <w:rtl w:val="true"/>
        </w:rPr>
        <w:t xml:space="preserve">; </w:t>
      </w:r>
      <w:r>
        <w:rPr>
          <w:rtl w:val="true"/>
        </w:rPr>
        <w:t>היותו בן זוג של אמו של א</w:t>
      </w:r>
      <w:r>
        <w:rPr>
          <w:rtl w:val="true"/>
        </w:rPr>
        <w:t xml:space="preserve">'; </w:t>
      </w:r>
      <w:r>
        <w:rPr>
          <w:rtl w:val="true"/>
        </w:rPr>
        <w:t xml:space="preserve">ומצבה הנפשי הקשה </w:t>
      </w:r>
      <w:r>
        <w:rPr>
          <w:rtl w:val="true"/>
        </w:rPr>
        <w:t xml:space="preserve">של המתלוננת </w:t>
      </w:r>
      <w:r>
        <w:rPr>
          <w:rtl w:val="true"/>
        </w:rPr>
        <w:t>בעת 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והשפעתם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שירות המבחן </w:t>
      </w:r>
      <w:r>
        <w:rPr>
          <w:rtl w:val="true"/>
        </w:rPr>
        <w:t xml:space="preserve">המשלים </w:t>
      </w:r>
      <w:r>
        <w:rPr>
          <w:rtl w:val="true"/>
        </w:rPr>
        <w:t xml:space="preserve">מיום </w:t>
      </w:r>
      <w:r>
        <w:rPr/>
        <w:t>25.10.2020</w:t>
      </w:r>
      <w:r>
        <w:rPr>
          <w:rtl w:val="true"/>
        </w:rPr>
        <w:t xml:space="preserve"> </w:t>
      </w:r>
      <w:r>
        <w:rPr>
          <w:rtl w:val="true"/>
        </w:rPr>
        <w:t xml:space="preserve">שהוגש לעיוננו </w:t>
      </w:r>
      <w:r>
        <w:rPr>
          <w:rtl w:val="true"/>
        </w:rPr>
        <w:t>נמסר כי המערער מביע נכונות לעבור תהליך טיפולי</w:t>
      </w:r>
      <w:r>
        <w:rPr>
          <w:rtl w:val="true"/>
        </w:rPr>
        <w:t xml:space="preserve">, </w:t>
      </w:r>
      <w:r>
        <w:rPr>
          <w:rtl w:val="true"/>
        </w:rPr>
        <w:t>לוקח אחריות על העבירות שביצע</w:t>
      </w:r>
      <w:r>
        <w:rPr>
          <w:rtl w:val="true"/>
        </w:rPr>
        <w:t xml:space="preserve">, </w:t>
      </w:r>
      <w:r>
        <w:rPr>
          <w:rtl w:val="true"/>
        </w:rPr>
        <w:t xml:space="preserve">ומעוניין להבין </w:t>
      </w:r>
      <w:r>
        <w:rPr>
          <w:rtl w:val="true"/>
        </w:rPr>
        <w:t>"</w:t>
      </w:r>
      <w:r>
        <w:rPr>
          <w:rtl w:val="true"/>
        </w:rPr>
        <w:t>את הטריגרים ועיוותי החשיבה שעמדו בבסיס העבירה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בשלב זה הוא מצוי אך בשלב ראשוני של ההליך הטיפולי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 ובנספחיו</w:t>
      </w:r>
      <w:r>
        <w:rPr>
          <w:rtl w:val="true"/>
        </w:rPr>
        <w:t xml:space="preserve">, </w:t>
      </w:r>
      <w:r>
        <w:rPr>
          <w:rtl w:val="true"/>
        </w:rPr>
        <w:t>ובחנתי את טענות באי</w:t>
      </w:r>
      <w:r>
        <w:rPr>
          <w:rtl w:val="true"/>
        </w:rPr>
        <w:t>-</w:t>
      </w:r>
      <w:r>
        <w:rPr>
          <w:rtl w:val="true"/>
        </w:rPr>
        <w:t>כוח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</w:t>
      </w:r>
      <w:r>
        <w:rPr>
          <w:rtl w:val="true"/>
        </w:rPr>
        <w:t xml:space="preserve">,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אם כן נפל פגם מהותי בגזר הדין</w:t>
      </w:r>
      <w:r>
        <w:rPr>
          <w:rtl w:val="true"/>
        </w:rPr>
        <w:t xml:space="preserve">, </w:t>
      </w:r>
      <w:r>
        <w:rPr>
          <w:rtl w:val="true"/>
        </w:rPr>
        <w:t>או כאשר העונש שנקבע סוטה באופן קיצוני ממדיניות הענישה הנוהגת בעבירות דומות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לערכאה הדיונית שיקול דעת רחב בקביעת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וערכאת הערעור לא תתערב בו כאשר העונש שנגזר על המערער הולם את חומרת מעשיו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שב ועמד על החומרה היתירה הגלומה בביצוע עבירות מין בכלל ובעבירת האינוס בפרט</w:t>
      </w:r>
      <w:r>
        <w:rPr>
          <w:rtl w:val="true"/>
        </w:rPr>
        <w:t xml:space="preserve">, </w:t>
      </w:r>
      <w:r>
        <w:rPr>
          <w:rtl w:val="true"/>
        </w:rPr>
        <w:t>ועל הצורך להחמיר בענישה בגינן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הנזק העצום הנגרם לקורבנות העבירה</w:t>
      </w:r>
      <w:r>
        <w:rPr>
          <w:rtl w:val="true"/>
        </w:rPr>
        <w:t xml:space="preserve">, </w:t>
      </w:r>
      <w:r>
        <w:rPr>
          <w:rtl w:val="true"/>
        </w:rPr>
        <w:t>וכדי להרתיע עבריינים פוטנציאליים מפני ביצוען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כבר נפסק בעבר כי חומרה זו קיימת גם בעבירה של ניסיון אינוס</w:t>
      </w:r>
      <w:r>
        <w:rPr>
          <w:rtl w:val="true"/>
        </w:rPr>
        <w:t xml:space="preserve">, </w:t>
      </w:r>
      <w:r>
        <w:rPr>
          <w:rtl w:val="true"/>
        </w:rPr>
        <w:t>לנוכח הפגיעה הקשה בגופ</w:t>
      </w:r>
      <w:r>
        <w:rPr>
          <w:rtl w:val="true"/>
        </w:rPr>
        <w:t>ה</w:t>
      </w:r>
      <w:r>
        <w:rPr>
          <w:rtl w:val="true"/>
        </w:rPr>
        <w:t xml:space="preserve"> ובנפש</w:t>
      </w:r>
      <w:r>
        <w:rPr>
          <w:rtl w:val="true"/>
        </w:rPr>
        <w:t>ה</w:t>
      </w:r>
      <w:r>
        <w:rPr>
          <w:rtl w:val="true"/>
        </w:rPr>
        <w:t xml:space="preserve"> של </w:t>
      </w:r>
      <w:r>
        <w:rPr>
          <w:rtl w:val="true"/>
        </w:rPr>
        <w:t>נפגעת</w:t>
      </w:r>
      <w:r>
        <w:rPr>
          <w:rtl w:val="true"/>
        </w:rPr>
        <w:t xml:space="preserve"> 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</w:t>
      </w:r>
      <w:r>
        <w:rPr>
          <w:rtl w:val="true"/>
        </w:rPr>
        <w:t xml:space="preserve">קיימת אף כאשר העבירה לא הושלמה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24.7.2016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 למצוא בעבירות אלו מנעד רחב של מתחמי ענישה בשל שוני בנסיבות הקשורות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או כתלות בנסיבותי</w:t>
      </w:r>
      <w:r>
        <w:rPr>
          <w:rtl w:val="true"/>
        </w:rPr>
        <w:t>הם</w:t>
      </w:r>
      <w:r>
        <w:rPr>
          <w:rtl w:val="true"/>
        </w:rPr>
        <w:t xml:space="preserve"> האישיות של הנאש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מלאכת הענישה לעולם אינה מתמטית</w:t>
      </w:r>
      <w:r>
        <w:rPr>
          <w:rtl w:val="true"/>
        </w:rPr>
        <w:t xml:space="preserve">, </w:t>
      </w:r>
      <w:r>
        <w:rPr>
          <w:rtl w:val="true"/>
        </w:rPr>
        <w:t>ועליה להיגזר מנסיבותיו הקונקרטיות של כל מקרה לגופו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איני סבור כי העונש שהוטל על המערער מחמיר עמו כל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עיקר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ניתן להמעיט בחומרת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כתב האישום המתוקן שבו הודה</w:t>
      </w:r>
      <w:r>
        <w:rPr>
          <w:rtl w:val="true"/>
        </w:rPr>
        <w:t xml:space="preserve">, </w:t>
      </w:r>
      <w:r>
        <w:rPr>
          <w:rtl w:val="true"/>
        </w:rPr>
        <w:t>מתאר את ניסיונות המערער החוזרים ונשנים להחדיר את אצבעותיו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תוך שהיא מבהירה לו </w:t>
      </w:r>
      <w:r>
        <w:rPr>
          <w:rtl w:val="true"/>
        </w:rPr>
        <w:t>שוב ושוב</w:t>
      </w:r>
      <w:r>
        <w:rPr>
          <w:rtl w:val="true"/>
        </w:rPr>
        <w:t xml:space="preserve">, </w:t>
      </w:r>
      <w:r>
        <w:rPr>
          <w:rtl w:val="true"/>
        </w:rPr>
        <w:t>במצוקתה הרבה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אינה מסכימה לכך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 לכך אף מתואר כי המערער חשף את איבר מינו</w:t>
      </w:r>
      <w:r>
        <w:rPr>
          <w:rtl w:val="true"/>
        </w:rPr>
        <w:t xml:space="preserve">, </w:t>
      </w:r>
      <w:r>
        <w:rPr>
          <w:rtl w:val="true"/>
        </w:rPr>
        <w:t>פיסק את רגליה של המתלוננת כשגבה אל הקיר</w:t>
      </w:r>
      <w:r>
        <w:rPr>
          <w:rtl w:val="true"/>
        </w:rPr>
        <w:t xml:space="preserve">, </w:t>
      </w:r>
      <w:r>
        <w:rPr>
          <w:rtl w:val="true"/>
        </w:rPr>
        <w:t>לאחר שניסתה להתרחק ממנו</w:t>
      </w:r>
      <w:r>
        <w:rPr>
          <w:rtl w:val="true"/>
        </w:rPr>
        <w:t xml:space="preserve">, </w:t>
      </w:r>
      <w:r>
        <w:rPr>
          <w:rtl w:val="true"/>
        </w:rPr>
        <w:t>וניסה לקרב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 לא הרפה מהמתלוננת עד שזו התעשתה ודחפה אותו מעליה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",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tl w:val="true"/>
        </w:rPr>
        <w:t xml:space="preserve">, </w:t>
      </w:r>
      <w:r>
        <w:rPr>
          <w:rtl w:val="true"/>
        </w:rPr>
        <w:t>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והמפורשת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)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מזימת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מהקיפאון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נעלמה מעיניי טענת המערער כי הפנים את חומרת מעשיו והביע חרטה כנה בתום ההליך הפלילי שהתנהל נגדו</w:t>
      </w:r>
      <w:r>
        <w:rPr>
          <w:rtl w:val="true"/>
        </w:rPr>
        <w:t xml:space="preserve">, </w:t>
      </w:r>
      <w:r>
        <w:rPr>
          <w:rtl w:val="true"/>
        </w:rPr>
        <w:t>ואף החל לאחרונה בהליך טיפולי בבית ה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כפי שציין שירות המבחן</w:t>
      </w:r>
      <w:r>
        <w:rPr>
          <w:rtl w:val="true"/>
        </w:rPr>
        <w:t xml:space="preserve">, </w:t>
      </w:r>
      <w:r>
        <w:rPr>
          <w:rtl w:val="true"/>
        </w:rPr>
        <w:t>המערער נמצא רק בתחילת דרכו הטיפולית בשלב זה</w:t>
      </w:r>
      <w:r>
        <w:rPr>
          <w:rtl w:val="true"/>
        </w:rPr>
        <w:t xml:space="preserve">, </w:t>
      </w:r>
      <w:r>
        <w:rPr>
          <w:rtl w:val="true"/>
        </w:rPr>
        <w:t>וטוב יעשה אם יתמיד במאמציו אלו במסגרת ריצוי עונשו</w:t>
      </w:r>
      <w:r>
        <w:rPr>
          <w:rtl w:val="true"/>
        </w:rPr>
        <w:t xml:space="preserve">, </w:t>
      </w:r>
      <w:r>
        <w:rPr>
          <w:rtl w:val="true"/>
        </w:rPr>
        <w:t>למענו ולטובת החברה כולה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ולהותיר על כנו את עונש המאסר בפועל שנגזר על המ</w:t>
      </w:r>
      <w:r>
        <w:rPr>
          <w:rtl w:val="true"/>
        </w:rPr>
        <w:t>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12.11.2020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20042320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54678313-4232/20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4232/20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case/26013206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8.c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://www.nevo.co.il/case/20455745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2020-11-15T09:28:00Z</dcterms:created>
  <dc:creator>h4</dc:creator>
  <dc:description/>
  <cp:keywords/>
  <dc:language>en-IL</dc:language>
  <cp:lastModifiedBy>orly</cp:lastModifiedBy>
  <cp:lastPrinted>2020-11-12T09:06:00Z</cp:lastPrinted>
  <dcterms:modified xsi:type="dcterms:W3CDTF">2020-11-15T09:28:00Z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26013206;21474168;20455745</vt:lpwstr>
  </property>
  <property fmtid="{D5CDD505-2E9C-101B-9397-08002B2CF9AE}" pid="9" name="CITY">
    <vt:lpwstr/>
  </property>
  <property fmtid="{D5CDD505-2E9C-101B-9397-08002B2CF9AE}" pid="10" name="DATE">
    <vt:lpwstr>20201112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אלרון;ע' גרוסקופף</vt:lpwstr>
  </property>
  <property fmtid="{D5CDD505-2E9C-101B-9397-08002B2CF9AE}" pid="14" name="LAWLISTTMP1">
    <vt:lpwstr>70301/345.a.1;025;348.c</vt:lpwstr>
  </property>
  <property fmtid="{D5CDD505-2E9C-101B-9397-08002B2CF9AE}" pid="15" name="LAWYER">
    <vt:lpwstr>הדס פרנקל;אילן מזרחי;ברכה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עבירות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1446;1443;1443;1446;1446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ניסיון</vt:lpwstr>
  </property>
  <property fmtid="{D5CDD505-2E9C-101B-9397-08002B2CF9AE}" pid="51" name="NOSE33">
    <vt:lpwstr>אינוס</vt:lpwstr>
  </property>
  <property fmtid="{D5CDD505-2E9C-101B-9397-08002B2CF9AE}" pid="52" name="NOSE34">
    <vt:lpwstr>מדיניות ענישה: שיקולים</vt:lpwstr>
  </property>
  <property fmtid="{D5CDD505-2E9C-101B-9397-08002B2CF9AE}" pid="53" name="NOSE35">
    <vt:lpwstr>התערבות ערכאת הערעור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8988;8866;8763;8994;8978</vt:lpwstr>
  </property>
  <property fmtid="{D5CDD505-2E9C-101B-9397-08002B2CF9AE}" pid="59" name="PADIDATE">
    <vt:lpwstr>20201115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4232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410120201112</vt:lpwstr>
  </property>
  <property fmtid="{D5CDD505-2E9C-101B-9397-08002B2CF9AE}" pid="69" name="TYPE_N_DATE">
    <vt:lpwstr>41020201112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