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276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4302/18</w:t>
            </w:r>
          </w:p>
        </w:tc>
      </w:tr>
    </w:tbl>
    <w:p>
      <w:pPr>
        <w:pStyle w:val="Normal"/>
        <w:spacing w:lineRule="auto" w:line="276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76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ספיר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בוקשטיין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1465-07-17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3.5.2018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נתיב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276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276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10"/>
          <w:sz w:val="24"/>
          <w:szCs w:val="28"/>
        </w:rPr>
      </w:pPr>
      <w:r>
        <w:rPr>
          <w:rFonts w:cs="FrankRuehl" w:ascii="FrankRuehl" w:hAnsi="FrankRuehl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חקיקה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תינוקות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שלומם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בגיבוש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במלאכתו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שטיפלה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והתעללה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הכאיבה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הבהילה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הטחתו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אנוש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לעכלה</w:t>
      </w:r>
      <w:r>
        <w:rPr>
          <w:rFonts w:cs="FrankRuehl"/>
          <w:sz w:val="24"/>
          <w:szCs w:val="26"/>
          <w:rtl w:val="true"/>
        </w:rPr>
        <w:t>...</w:t>
      </w:r>
      <w:r>
        <w:rPr>
          <w:rFonts w:cs="FrankRuehl"/>
          <w:sz w:val="24"/>
          <w:sz w:val="24"/>
          <w:szCs w:val="26"/>
          <w:rtl w:val="true"/>
        </w:rPr>
        <w:t>שלובים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ואכזריות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דוגמתם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טראומה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בהתפתחותו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ולהוביל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לתסמינים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רגשיים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זלזול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בתפקידה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כאחראית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להגדיל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לאמצה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שעומדים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במוקד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תינוקות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שלומם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פעוטות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בגיבוש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במלאכתו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וביכולתו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276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Garamond" w:hAnsi="Garamond" w:cs="Garamond"/>
          <w:b/>
          <w:spacing w:val="0"/>
          <w:sz w:val="24"/>
          <w:szCs w:val="24"/>
        </w:rPr>
      </w:pPr>
      <w:r>
        <w:rPr>
          <w:rFonts w:cs="Garamond" w:ascii="Garamond" w:hAnsi="Garamond"/>
          <w:b/>
          <w:spacing w:val="0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ותקיפה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שטיפלה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סגן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ופיצויים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pacing w:val="10"/>
          <w:sz w:val="24"/>
          <w:szCs w:val="28"/>
        </w:rPr>
      </w:pPr>
      <w:r>
        <w:rPr>
          <w:rFonts w:cs="Garamond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לפי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בימים </w:t>
      </w:r>
      <w:r>
        <w:rPr/>
        <w:t>19.2.2017</w:t>
      </w:r>
      <w:r>
        <w:rPr>
          <w:rtl w:val="true"/>
        </w:rPr>
        <w:t>–</w:t>
      </w:r>
      <w:r>
        <w:rPr/>
        <w:t>14.6.2017</w:t>
      </w:r>
      <w:r>
        <w:rPr>
          <w:rtl w:val="true"/>
        </w:rPr>
        <w:t xml:space="preserve"> </w:t>
      </w:r>
      <w:r>
        <w:rPr>
          <w:rtl w:val="true"/>
        </w:rPr>
        <w:t>עבדה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ילידת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 xml:space="preserve">כמטפלת בפעוט יליד </w:t>
      </w:r>
      <w:r>
        <w:rPr/>
        <w:t>11.9.2016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הפעוט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בתפקידה היא נדרשה להשגיח על הפעוט</w:t>
      </w:r>
      <w:r>
        <w:rPr>
          <w:rtl w:val="true"/>
        </w:rPr>
        <w:t xml:space="preserve">, </w:t>
      </w:r>
      <w:r>
        <w:rPr>
          <w:rtl w:val="true"/>
        </w:rPr>
        <w:t>לדאוג לבריאותו ולשלומו</w:t>
      </w:r>
      <w:r>
        <w:rPr>
          <w:rtl w:val="true"/>
        </w:rPr>
        <w:t xml:space="preserve">, </w:t>
      </w:r>
      <w:r>
        <w:rPr>
          <w:rtl w:val="true"/>
        </w:rPr>
        <w:t>ולספק את צרכיו היומיומיים</w:t>
      </w:r>
      <w:r>
        <w:rPr>
          <w:rtl w:val="true"/>
        </w:rPr>
        <w:t xml:space="preserve">. </w:t>
      </w:r>
      <w:r>
        <w:rPr>
          <w:rtl w:val="true"/>
        </w:rPr>
        <w:t>בתקופה זו התעללה המערערת בפעוט</w:t>
      </w:r>
      <w:r>
        <w:rPr>
          <w:rtl w:val="true"/>
        </w:rPr>
        <w:t xml:space="preserve">, </w:t>
      </w:r>
      <w:r>
        <w:rPr>
          <w:rtl w:val="true"/>
        </w:rPr>
        <w:t>תקפה אותו וגרמה לו חבלות של ממש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השליכה המערערת צעצוע פלסטיק קשיח על אפו של הפעוט והוא דימם מהאף</w:t>
      </w:r>
      <w:r>
        <w:rPr>
          <w:rtl w:val="true"/>
        </w:rPr>
        <w:t xml:space="preserve">. </w:t>
      </w:r>
      <w:r>
        <w:rPr>
          <w:rtl w:val="true"/>
        </w:rPr>
        <w:t>היא הפילה כמה פעמים את עגלת התינוק שבה ישב הפעוט קשור</w:t>
      </w:r>
      <w:r>
        <w:rPr>
          <w:rtl w:val="true"/>
        </w:rPr>
        <w:t xml:space="preserve">, </w:t>
      </w:r>
      <w:r>
        <w:rPr>
          <w:rtl w:val="true"/>
        </w:rPr>
        <w:t>באופן שהותיר אותו תלוי במאונך כשרגליו מטה וראשו שמוט לפנים</w:t>
      </w:r>
      <w:r>
        <w:rPr>
          <w:rtl w:val="true"/>
        </w:rPr>
        <w:t xml:space="preserve">. </w:t>
      </w:r>
      <w:r>
        <w:rPr>
          <w:rtl w:val="true"/>
        </w:rPr>
        <w:t>היא דחפה בכוח את אצבעותיה לעומק הגרון של הפעוט כמה פעמים</w:t>
      </w:r>
      <w:r>
        <w:rPr>
          <w:rtl w:val="true"/>
        </w:rPr>
        <w:t xml:space="preserve">; </w:t>
      </w:r>
      <w:r>
        <w:rPr>
          <w:rtl w:val="true"/>
        </w:rPr>
        <w:t>באחת מהן היא גרמה לו חבלה ופצע בקשר הלשון שבגינם נזקק לטיפול רפואי</w:t>
      </w:r>
      <w:r>
        <w:rPr>
          <w:rtl w:val="true"/>
        </w:rPr>
        <w:t xml:space="preserve">, </w:t>
      </w:r>
      <w:r>
        <w:rPr>
          <w:rtl w:val="true"/>
        </w:rPr>
        <w:t>ובאחרת היא גרמה לו זוב דם</w:t>
      </w:r>
      <w:r>
        <w:rPr>
          <w:rtl w:val="true"/>
        </w:rPr>
        <w:t xml:space="preserve">. </w:t>
      </w:r>
      <w:r>
        <w:rPr>
          <w:rtl w:val="true"/>
        </w:rPr>
        <w:t>בהזדמנות אחרת היא הניפה את הפעוט</w:t>
      </w:r>
      <w:r>
        <w:rPr>
          <w:rtl w:val="true"/>
        </w:rPr>
        <w:t xml:space="preserve">, </w:t>
      </w:r>
      <w:r>
        <w:rPr>
          <w:rtl w:val="true"/>
        </w:rPr>
        <w:t>הניחה אותו על גבו על הרצפה</w:t>
      </w:r>
      <w:r>
        <w:rPr>
          <w:rtl w:val="true"/>
        </w:rPr>
        <w:t xml:space="preserve">, </w:t>
      </w:r>
      <w:r>
        <w:rPr>
          <w:rtl w:val="true"/>
        </w:rPr>
        <w:t>תפסה בישבנו</w:t>
      </w:r>
      <w:r>
        <w:rPr>
          <w:rtl w:val="true"/>
        </w:rPr>
        <w:t xml:space="preserve">, </w:t>
      </w:r>
      <w:r>
        <w:rPr>
          <w:rtl w:val="true"/>
        </w:rPr>
        <w:t>קיפלה את גופו בכוח</w:t>
      </w:r>
      <w:r>
        <w:rPr>
          <w:rtl w:val="true"/>
        </w:rPr>
        <w:t xml:space="preserve">, </w:t>
      </w:r>
      <w:r>
        <w:rPr>
          <w:rtl w:val="true"/>
        </w:rPr>
        <w:t>גלגלה אותו כך שנשען על קודקוד ראשו ולחצה עליו בכוח כלפי הרצפה</w:t>
      </w:r>
      <w:r>
        <w:rPr>
          <w:rtl w:val="true"/>
        </w:rPr>
        <w:t xml:space="preserve">; </w:t>
      </w:r>
      <w:r>
        <w:rPr>
          <w:rtl w:val="true"/>
        </w:rPr>
        <w:t>בהמשך היא גלגלה את הפעוט על הרצפה כשהוא נופל לאחור על גבו וצורח בבכי</w:t>
      </w:r>
      <w:r>
        <w:rPr>
          <w:rtl w:val="true"/>
        </w:rPr>
        <w:t xml:space="preserve">, </w:t>
      </w:r>
      <w:r>
        <w:rPr>
          <w:rtl w:val="true"/>
        </w:rPr>
        <w:t>הניפה אותו באגרסיביות בעודה תופסת במותניו</w:t>
      </w:r>
      <w:r>
        <w:rPr>
          <w:rtl w:val="true"/>
        </w:rPr>
        <w:t xml:space="preserve">, </w:t>
      </w:r>
      <w:r>
        <w:rPr>
          <w:rtl w:val="true"/>
        </w:rPr>
        <w:t>והטיחה אותו בכוח לתוך העגלה</w:t>
      </w:r>
      <w:r>
        <w:rPr>
          <w:rtl w:val="true"/>
        </w:rPr>
        <w:t xml:space="preserve">. </w:t>
      </w:r>
      <w:r>
        <w:rPr>
          <w:rtl w:val="true"/>
        </w:rPr>
        <w:t>לאחר שחיתלה את הפעוט ששכב על גבו על ספה</w:t>
      </w:r>
      <w:r>
        <w:rPr>
          <w:rtl w:val="true"/>
        </w:rPr>
        <w:t xml:space="preserve">, </w:t>
      </w:r>
      <w:r>
        <w:rPr>
          <w:rtl w:val="true"/>
        </w:rPr>
        <w:t>היא לחצה על גופו בידיה וריתקה אותו בכוח לספה</w:t>
      </w:r>
      <w:r>
        <w:rPr>
          <w:rtl w:val="true"/>
        </w:rPr>
        <w:t xml:space="preserve">. </w:t>
      </w:r>
      <w:r>
        <w:rPr>
          <w:rtl w:val="true"/>
        </w:rPr>
        <w:t xml:space="preserve">בשל כל אלה הרשיע בית המשפט המחוזי בבאר שבע </w:t>
      </w:r>
      <w:r>
        <w:rPr>
          <w:rFonts w:ascii="Century" w:hAnsi="Century" w:cs="Century"/>
          <w:sz w:val="22"/>
          <w:sz w:val="22"/>
          <w:rtl w:val="true"/>
        </w:rPr>
        <w:t>את המערערת</w:t>
      </w:r>
      <w:r>
        <w:rPr>
          <w:rtl w:val="true"/>
        </w:rPr>
        <w:t xml:space="preserve"> ביום </w:t>
      </w:r>
      <w:r>
        <w:rPr/>
        <w:t>26.12.2017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יסוד הודאתה בהסדר טיעון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בעבירת התעללות בקטין חסר ישע על ידי אחראי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 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ובעבירת תקיפת קטין חסר ישע על ידי אחראי שגרמה לחבלה של ממש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בית המשפט הורה להכין תסקיר שירות מבחן בעניינה של המערערת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ותסקיר נפגעי עבירה בעניינם של הפעוט ובני משפחתו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מתביישת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</w:t>
      </w:r>
      <w:r>
        <w:rPr>
          <w:rtl w:val="true"/>
        </w:rPr>
        <w:t xml:space="preserve">, </w:t>
      </w:r>
      <w:r>
        <w:rPr>
          <w:rtl w:val="true"/>
        </w:rPr>
        <w:t>מתחרטת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ודואגת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הפוגעני</w:t>
      </w:r>
      <w:r>
        <w:rPr>
          <w:rtl w:val="true"/>
        </w:rPr>
        <w:t xml:space="preserve">,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והשפעותיו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</w:t>
      </w:r>
      <w:r>
        <w:rPr>
          <w:rtl w:val="true"/>
        </w:rPr>
        <w:t xml:space="preserve">, </w:t>
      </w:r>
      <w:r>
        <w:rPr>
          <w:rtl w:val="true"/>
        </w:rPr>
        <w:t>הגרעינית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והמורחבת</w:t>
      </w:r>
      <w:r>
        <w:rPr>
          <w:rtl w:val="true"/>
        </w:rPr>
        <w:t xml:space="preserve">, </w:t>
      </w:r>
      <w:r>
        <w:rPr>
          <w:rtl w:val="true"/>
        </w:rPr>
        <w:t>הושפעה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בפעוט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וכאב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שמגדירה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ושמעסיקה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מהכאב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 xml:space="preserve">בגזר הדין מיום </w:t>
      </w:r>
      <w:r>
        <w:rPr/>
        <w:t>3.5.2018</w:t>
      </w:r>
      <w:r>
        <w:rPr>
          <w:rtl w:val="true"/>
        </w:rPr>
        <w:t xml:space="preserve"> </w:t>
      </w:r>
      <w:r>
        <w:rPr>
          <w:rtl w:val="true"/>
        </w:rPr>
        <w:t>עמד בית המשפט על מדיניות הענישה הנוהגת בעבירות אלימות נגד תינוקות חסרי ישע</w:t>
      </w:r>
      <w:r>
        <w:rPr>
          <w:rtl w:val="true"/>
        </w:rPr>
        <w:t xml:space="preserve">. </w:t>
      </w:r>
      <w:r>
        <w:rPr>
          <w:rtl w:val="true"/>
        </w:rPr>
        <w:t>הוא פירט את נסיבות ביצוע העבירות במקרה דנא</w:t>
      </w:r>
      <w:r>
        <w:rPr>
          <w:rtl w:val="true"/>
        </w:rPr>
        <w:t xml:space="preserve">, </w:t>
      </w:r>
      <w:r>
        <w:rPr>
          <w:rtl w:val="true"/>
        </w:rPr>
        <w:t>ובהן הפרת החובה לשמור על פעוט חסר ישע</w:t>
      </w:r>
      <w:r>
        <w:rPr>
          <w:rtl w:val="true"/>
        </w:rPr>
        <w:t xml:space="preserve">; </w:t>
      </w:r>
      <w:r>
        <w:rPr>
          <w:rtl w:val="true"/>
        </w:rPr>
        <w:t>הכאב</w:t>
      </w:r>
      <w:r>
        <w:rPr>
          <w:rtl w:val="true"/>
        </w:rPr>
        <w:t xml:space="preserve">, </w:t>
      </w:r>
      <w:r>
        <w:rPr>
          <w:rtl w:val="true"/>
        </w:rPr>
        <w:t>הבהלה</w:t>
      </w:r>
      <w:r>
        <w:rPr>
          <w:rtl w:val="true"/>
        </w:rPr>
        <w:t xml:space="preserve">, </w:t>
      </w:r>
      <w:r>
        <w:rPr>
          <w:rtl w:val="true"/>
        </w:rPr>
        <w:t>והחבלות שנגרמו לפעוט</w:t>
      </w:r>
      <w:r>
        <w:rPr>
          <w:rtl w:val="true"/>
        </w:rPr>
        <w:t xml:space="preserve">; </w:t>
      </w:r>
      <w:r>
        <w:rPr>
          <w:rtl w:val="true"/>
        </w:rPr>
        <w:t>הנזק שנגרם למשפחת הפעוט</w:t>
      </w:r>
      <w:r>
        <w:rPr>
          <w:rtl w:val="true"/>
        </w:rPr>
        <w:t xml:space="preserve">; </w:t>
      </w:r>
      <w:r>
        <w:rPr>
          <w:rtl w:val="true"/>
        </w:rPr>
        <w:t>חזרתה של המערערת על מעשיה</w:t>
      </w:r>
      <w:r>
        <w:rPr>
          <w:rtl w:val="true"/>
        </w:rPr>
        <w:t xml:space="preserve">; </w:t>
      </w:r>
      <w:r>
        <w:rPr>
          <w:rtl w:val="true"/>
        </w:rPr>
        <w:t>ביצוע מעשי המערערת לבדה</w:t>
      </w:r>
      <w:r>
        <w:rPr>
          <w:rtl w:val="true"/>
        </w:rPr>
        <w:t xml:space="preserve">, </w:t>
      </w:r>
      <w:r>
        <w:rPr>
          <w:rtl w:val="true"/>
        </w:rPr>
        <w:t>ללא השפעת אחר</w:t>
      </w:r>
      <w:r>
        <w:rPr>
          <w:rtl w:val="true"/>
        </w:rPr>
        <w:t xml:space="preserve">; </w:t>
      </w:r>
      <w:r>
        <w:rPr>
          <w:rtl w:val="true"/>
        </w:rPr>
        <w:t>הסיכון לגרימת נזק חמור ביותר לפעוט</w:t>
      </w:r>
      <w:r>
        <w:rPr>
          <w:rtl w:val="true"/>
        </w:rPr>
        <w:t xml:space="preserve">; </w:t>
      </w:r>
      <w:r>
        <w:rPr>
          <w:rtl w:val="true"/>
        </w:rPr>
        <w:t>וניצול חוסר האונים המוחלט של הפעוט בעת ביצוע המעשים ולעיתים פעולה באכזריות כלפיו</w:t>
      </w:r>
      <w:r>
        <w:rPr>
          <w:rtl w:val="true"/>
        </w:rPr>
        <w:t xml:space="preserve">. </w:t>
      </w:r>
      <w:r>
        <w:rPr>
          <w:rtl w:val="true"/>
        </w:rPr>
        <w:t xml:space="preserve">בשל כל אלה קבע בית המשפט כי מתחם העונש ההולם למעשי המערערת הוא שנה עד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ציין את הצורך להרתיע את המערערת ואת הצורך להוקיע כל מעשה אלימות</w:t>
      </w:r>
      <w:r>
        <w:rPr>
          <w:rtl w:val="true"/>
        </w:rPr>
        <w:t xml:space="preserve">, </w:t>
      </w:r>
      <w:r>
        <w:rPr>
          <w:rtl w:val="true"/>
        </w:rPr>
        <w:t>כולל אלימות כלפי תינוקות</w:t>
      </w:r>
      <w:r>
        <w:rPr>
          <w:rtl w:val="true"/>
        </w:rPr>
        <w:t xml:space="preserve">, </w:t>
      </w:r>
      <w:r>
        <w:rPr>
          <w:rtl w:val="true"/>
        </w:rPr>
        <w:t>ודחה את המלצת שירות המבחן</w:t>
      </w:r>
      <w:r>
        <w:rPr>
          <w:rtl w:val="true"/>
        </w:rPr>
        <w:t xml:space="preserve">. </w:t>
      </w:r>
      <w:r>
        <w:rPr>
          <w:rtl w:val="true"/>
        </w:rPr>
        <w:t>לצורך קביעת העונש בתוך המתחם שקל בית המשפט לזכותה של המערערת את גילה הצעיר</w:t>
      </w:r>
      <w:r>
        <w:rPr>
          <w:rtl w:val="true"/>
        </w:rPr>
        <w:t xml:space="preserve">; </w:t>
      </w:r>
      <w:r>
        <w:rPr>
          <w:rtl w:val="true"/>
        </w:rPr>
        <w:t>את עברה הנקי</w:t>
      </w:r>
      <w:r>
        <w:rPr>
          <w:rtl w:val="true"/>
        </w:rPr>
        <w:t xml:space="preserve">; </w:t>
      </w:r>
      <w:r>
        <w:rPr>
          <w:rtl w:val="true"/>
        </w:rPr>
        <w:t>את אישיותה החלשה</w:t>
      </w:r>
      <w:r>
        <w:rPr>
          <w:rtl w:val="true"/>
        </w:rPr>
        <w:t xml:space="preserve">; </w:t>
      </w:r>
      <w:r>
        <w:rPr>
          <w:rtl w:val="true"/>
        </w:rPr>
        <w:t>את הפגיעות שחוותה בקשר זוגי ואת החשש שהמאסר יהיה לה קשה מהרגיל</w:t>
      </w:r>
      <w:r>
        <w:rPr>
          <w:rtl w:val="true"/>
        </w:rPr>
        <w:t xml:space="preserve">. </w:t>
      </w:r>
      <w:r>
        <w:rPr>
          <w:rtl w:val="true"/>
        </w:rPr>
        <w:t>כן ניתן משקל מסוים להודאתה</w:t>
      </w:r>
      <w:r>
        <w:rPr>
          <w:rtl w:val="true"/>
        </w:rPr>
        <w:t xml:space="preserve">, </w:t>
      </w:r>
      <w:r>
        <w:rPr>
          <w:rtl w:val="true"/>
        </w:rPr>
        <w:t>לחרטה שהביעה</w:t>
      </w:r>
      <w:r>
        <w:rPr>
          <w:rtl w:val="true"/>
        </w:rPr>
        <w:t xml:space="preserve">, </w:t>
      </w:r>
      <w:r>
        <w:rPr>
          <w:rtl w:val="true"/>
        </w:rPr>
        <w:t>להליכי הטיפול שהיא משתתפת בהם ולסיכויי שיקומה</w:t>
      </w:r>
      <w:r>
        <w:rPr>
          <w:rtl w:val="true"/>
        </w:rPr>
        <w:t xml:space="preserve">. </w:t>
      </w:r>
      <w:r>
        <w:rPr>
          <w:rtl w:val="true"/>
        </w:rPr>
        <w:t>בשל כל אלה גזר בית המשפט על המערערת את העונשים האמורים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המכוון לחומרת העונש שהושת על המערערת</w:t>
      </w:r>
      <w:r>
        <w:rPr>
          <w:rtl w:val="true"/>
        </w:rPr>
        <w:t xml:space="preserve">. </w:t>
      </w:r>
      <w:r>
        <w:rPr>
          <w:rtl w:val="true"/>
        </w:rPr>
        <w:t xml:space="preserve">יוער כי ביום </w:t>
      </w:r>
      <w:r>
        <w:rPr/>
        <w:t>3.6.2018</w:t>
      </w:r>
      <w:r>
        <w:rPr>
          <w:rtl w:val="true"/>
        </w:rPr>
        <w:t xml:space="preserve"> </w:t>
      </w:r>
      <w:r>
        <w:rPr>
          <w:rtl w:val="true"/>
        </w:rPr>
        <w:t xml:space="preserve">הורה בית משפט זה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עיכוב ביצוע עונש המאסר בפועל שהושת על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למתן פסק הדין בעניינה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המערערת טוענת כי בית המשפט המחוזי הטיל עליה עונש חמור מהראוי</w:t>
      </w:r>
      <w:r>
        <w:rPr>
          <w:rtl w:val="true"/>
        </w:rPr>
        <w:t xml:space="preserve">. </w:t>
      </w:r>
      <w:r>
        <w:rPr>
          <w:rtl w:val="true"/>
        </w:rPr>
        <w:t>היא סבורה כי בית המשפט לא ייחס משקל הולם לשיקולים לקולה</w:t>
      </w:r>
      <w:r>
        <w:rPr>
          <w:rtl w:val="true"/>
        </w:rPr>
        <w:t xml:space="preserve">, </w:t>
      </w:r>
      <w:r>
        <w:rPr>
          <w:rtl w:val="true"/>
        </w:rPr>
        <w:t>בין היתר קבלת האחריות של המערערת למעשיה וחרטתה</w:t>
      </w:r>
      <w:r>
        <w:rPr>
          <w:rtl w:val="true"/>
        </w:rPr>
        <w:t xml:space="preserve">, </w:t>
      </w:r>
      <w:r>
        <w:rPr>
          <w:rtl w:val="true"/>
        </w:rPr>
        <w:t>עברה הנקי</w:t>
      </w:r>
      <w:r>
        <w:rPr>
          <w:rtl w:val="true"/>
        </w:rPr>
        <w:t xml:space="preserve">, </w:t>
      </w:r>
      <w:r>
        <w:rPr>
          <w:rtl w:val="true"/>
        </w:rPr>
        <w:t>אישיותה החלשה והטראומה שנגרמה לה בקשר זוגי פוגעני ושהשפיעה על התנהגותה נושא כתב האישום</w:t>
      </w:r>
      <w:r>
        <w:rPr>
          <w:rtl w:val="true"/>
        </w:rPr>
        <w:t xml:space="preserve">. </w:t>
      </w:r>
      <w:r>
        <w:rPr>
          <w:rtl w:val="true"/>
        </w:rPr>
        <w:t>המערערת מזכירה את ההליך הטיפולי שהיא עוברת ואת המלצות הגורמים המטפלים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שגה בית המשפט בהערכת מדיניות הענישה הנוהגת במקרים דומים והתעלם מפסיקה שהוגשה לו</w:t>
      </w:r>
      <w:r>
        <w:rPr>
          <w:rtl w:val="true"/>
        </w:rPr>
        <w:t xml:space="preserve">. </w:t>
      </w:r>
      <w:r>
        <w:rPr>
          <w:rtl w:val="true"/>
        </w:rPr>
        <w:t xml:space="preserve">המערערת מציינת עוד את תקופת מעצרה במעצר בית </w:t>
      </w:r>
      <w:r>
        <w:rPr>
          <w:rtl w:val="true"/>
        </w:rPr>
        <w:t>(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 בעת הגשת הערעור</w:t>
      </w:r>
      <w:r>
        <w:rPr>
          <w:rtl w:val="true"/>
        </w:rPr>
        <w:t xml:space="preserve">). </w:t>
      </w:r>
      <w:r>
        <w:rPr>
          <w:rtl w:val="true"/>
        </w:rPr>
        <w:t>נטען כי היה מקום לקבל את המלצת שירות המבחן</w:t>
      </w:r>
      <w:r>
        <w:rPr>
          <w:rtl w:val="true"/>
        </w:rPr>
        <w:t xml:space="preserve">. </w:t>
      </w:r>
      <w:r>
        <w:rPr>
          <w:rtl w:val="true"/>
        </w:rPr>
        <w:t>המערערת מוסיפה כי בית המשפט ייחס חומרה יתרה למעשיה ולסיכון לפעוט</w:t>
      </w:r>
      <w:r>
        <w:rPr>
          <w:rtl w:val="true"/>
        </w:rPr>
        <w:t xml:space="preserve">, </w:t>
      </w:r>
      <w:r>
        <w:rPr>
          <w:rtl w:val="true"/>
        </w:rPr>
        <w:t>והכול על יסוד קביעות רפואיות בלתי מבוססות</w:t>
      </w:r>
      <w:r>
        <w:rPr>
          <w:rtl w:val="true"/>
        </w:rPr>
        <w:t xml:space="preserve">. </w:t>
      </w:r>
      <w:r>
        <w:rPr>
          <w:rtl w:val="true"/>
        </w:rPr>
        <w:t>המערערת משיגה על רכיב הפיצויים מפני שלא נקבעו נזקים מסוימים</w:t>
      </w:r>
      <w:r>
        <w:rPr>
          <w:rtl w:val="true"/>
        </w:rPr>
        <w:t xml:space="preserve">, </w:t>
      </w:r>
      <w:r>
        <w:rPr>
          <w:rtl w:val="true"/>
        </w:rPr>
        <w:t>ומפני שהפרוטה אינה מצויה בכיסה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בדיון שלפנינו סמכה המשיבה את ידיה על 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היא הדגישה כי אף שלא נמצא כי נגרם לפעוט נזק גופני צמית</w:t>
      </w:r>
      <w:r>
        <w:rPr>
          <w:rtl w:val="true"/>
        </w:rPr>
        <w:t xml:space="preserve">, </w:t>
      </w:r>
      <w:r>
        <w:rPr>
          <w:rtl w:val="true"/>
        </w:rPr>
        <w:t>גרמו המעשים נזק נפשי קשה לבני משפחתו</w:t>
      </w:r>
      <w:r>
        <w:rPr>
          <w:rtl w:val="true"/>
        </w:rPr>
        <w:t xml:space="preserve">, </w:t>
      </w:r>
      <w:r>
        <w:rPr>
          <w:rtl w:val="true"/>
        </w:rPr>
        <w:t>ובשל גילו קשה לעמוד על הנזק הנפשי שנגרם לפעוט</w:t>
      </w:r>
      <w:r>
        <w:rPr>
          <w:rtl w:val="true"/>
        </w:rPr>
        <w:t xml:space="preserve">.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ניתן משקל הולם לנסיבות האישיות של המערערת</w:t>
      </w:r>
      <w:r>
        <w:rPr>
          <w:rtl w:val="true"/>
        </w:rPr>
        <w:t xml:space="preserve">. </w:t>
      </w:r>
      <w:r>
        <w:rPr>
          <w:rtl w:val="true"/>
        </w:rPr>
        <w:t>נטען כי ההליך הטיפולי שהמערערת מצויה בו</w:t>
      </w:r>
      <w:r>
        <w:rPr>
          <w:rtl w:val="true"/>
        </w:rPr>
        <w:t xml:space="preserve">, </w:t>
      </w:r>
      <w:r>
        <w:rPr>
          <w:rtl w:val="true"/>
        </w:rPr>
        <w:t xml:space="preserve">אינו הליך שיקום שמצדיק 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חריגה ממתחם העונש ההולם</w:t>
      </w:r>
      <w:r>
        <w:rPr>
          <w:rtl w:val="true"/>
        </w:rPr>
        <w:t xml:space="preserve">, </w:t>
      </w:r>
      <w:r>
        <w:rPr>
          <w:rtl w:val="true"/>
        </w:rPr>
        <w:t>משום שאינו ממוקד בדפוסי עבריינות מושרשים</w:t>
      </w:r>
      <w:r>
        <w:rPr>
          <w:rtl w:val="true"/>
        </w:rPr>
        <w:t xml:space="preserve">. </w:t>
      </w:r>
      <w:r>
        <w:rPr>
          <w:rtl w:val="true"/>
        </w:rPr>
        <w:t>המשיבה מוסיפה כי ההערכות בדבר הסיכון לפעוט נסמכות על עניינים שבידיעה שיפוטית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 xml:space="preserve">הונח לפנינו תסקיר משלים מטעם שירות המבחן מיום </w:t>
      </w:r>
      <w:r>
        <w:rPr/>
        <w:t>31.12.2018</w:t>
      </w:r>
      <w:r>
        <w:rPr>
          <w:rtl w:val="true"/>
        </w:rPr>
        <w:t xml:space="preserve">. </w:t>
      </w:r>
      <w:r>
        <w:rPr>
          <w:rtl w:val="true"/>
        </w:rPr>
        <w:t>עולה ממנו כי המערערת משתתפת בקביעות בטיפול שנועד להתמודד עם גורמי הסיכון שעמדו ברקע התנהגותה הפוגענית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ההליך הטיפולי סייע למערערת לקשור בין מערכות יחסים פוגעניות שחוותה בעבר למעשיה כלפי הפעוט</w:t>
      </w:r>
      <w:r>
        <w:rPr>
          <w:rtl w:val="true"/>
        </w:rPr>
        <w:t xml:space="preserve">, </w:t>
      </w:r>
      <w:r>
        <w:rPr>
          <w:rtl w:val="true"/>
        </w:rPr>
        <w:t>וכי בעקבות הטיפול פחתה מסוכנותה במידה ממשית</w:t>
      </w:r>
      <w:r>
        <w:rPr>
          <w:rtl w:val="true"/>
        </w:rPr>
        <w:t xml:space="preserve">. </w:t>
      </w:r>
      <w:r>
        <w:rPr>
          <w:rtl w:val="true"/>
        </w:rPr>
        <w:t>הומלץ לתת משקל נכבד להליך השיקום שעברה המערערת ולאפשר לה להמשיך להשתתף בו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ביקש כי נדחה את הכרעתנו בערעור 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כדי לשלב את המערערת בקבוצה טיפולית ולגבש המלצה בתום המעקב אחר ההליך הטיפולי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ששקלנו את נימוקי הערעור והאזנו לטיעוני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הגענו למסקנה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בית משפט של ערעור יתערב בעונש שהשיתה הערכאה הדיונית רק מקום שבו נמצאה סטייה בולטת ממדיניות הענישה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שנפלה טעות מהותית בגזר הדין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5.2.2014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 מצאנו כי ענייננו מגלה עילה כאמור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עמד לא פעם על מדיניות הענישה המחמירה הנוהגת במעשים שכללו שימוש בכוח אכזרי כלפי פעוטות חסרי ישע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8.6.2014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9095/06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24.12.2007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7438/03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29.3.2004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מדיניות זו חלה ביתר שאת מקום שבו האחראי על הפעוט הוא שביצע את העבירה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5986/08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כחלון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10.11.2008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 xml:space="preserve">במקרה דנא תקפה המערערת את הפעוט </w:t>
      </w:r>
      <w:r>
        <w:rPr>
          <w:rtl w:val="true"/>
        </w:rPr>
        <w:t>–</w:t>
      </w:r>
      <w:r>
        <w:rPr>
          <w:rtl w:val="true"/>
        </w:rPr>
        <w:t xml:space="preserve"> ילד רך בשנים </w:t>
      </w:r>
      <w:r>
        <w:rPr>
          <w:rtl w:val="true"/>
        </w:rPr>
        <w:t>–</w:t>
      </w:r>
      <w:r>
        <w:rPr>
          <w:rtl w:val="true"/>
        </w:rPr>
        <w:t xml:space="preserve"> והתעללה בו שוב ושוב</w:t>
      </w:r>
      <w:r>
        <w:rPr>
          <w:rtl w:val="true"/>
        </w:rPr>
        <w:t xml:space="preserve">. </w:t>
      </w:r>
      <w:r>
        <w:rPr>
          <w:rtl w:val="true"/>
        </w:rPr>
        <w:t>היא הכאיבה לו</w:t>
      </w:r>
      <w:r>
        <w:rPr>
          <w:rtl w:val="true"/>
        </w:rPr>
        <w:t xml:space="preserve">, </w:t>
      </w:r>
      <w:r>
        <w:rPr>
          <w:rtl w:val="true"/>
        </w:rPr>
        <w:t>הבהילה אותו</w:t>
      </w:r>
      <w:r>
        <w:rPr>
          <w:rtl w:val="true"/>
        </w:rPr>
        <w:t xml:space="preserve">, </w:t>
      </w:r>
      <w:r>
        <w:rPr>
          <w:rtl w:val="true"/>
        </w:rPr>
        <w:t>חבלה בו ופצעה אותו</w:t>
      </w:r>
      <w:r>
        <w:rPr>
          <w:rtl w:val="true"/>
        </w:rPr>
        <w:t xml:space="preserve">. </w:t>
      </w:r>
      <w:r>
        <w:rPr>
          <w:rtl w:val="true"/>
        </w:rPr>
        <w:t>היא סיכנה את שלומו בהנפת גופו</w:t>
      </w:r>
      <w:r>
        <w:rPr>
          <w:rtl w:val="true"/>
        </w:rPr>
        <w:t xml:space="preserve">, </w:t>
      </w:r>
      <w:r>
        <w:rPr>
          <w:rtl w:val="true"/>
        </w:rPr>
        <w:t>הטחתו ברצפה והפעלת לחץ עליו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 xml:space="preserve">בלשונו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התנהגות </w:t>
      </w:r>
      <w:r>
        <w:rPr>
          <w:rtl w:val="true"/>
        </w:rPr>
        <w:t>שבן</w:t>
      </w:r>
      <w:r>
        <w:rPr>
          <w:rtl w:val="true"/>
        </w:rPr>
        <w:t>-</w:t>
      </w:r>
      <w:r>
        <w:rPr>
          <w:rtl w:val="true"/>
        </w:rPr>
        <w:t>אנוש מתקשה לעכלה</w:t>
      </w:r>
      <w:r>
        <w:rPr>
          <w:rtl w:val="true"/>
        </w:rPr>
        <w:t xml:space="preserve">, </w:t>
      </w:r>
      <w:r>
        <w:rPr>
          <w:rtl w:val="true"/>
        </w:rPr>
        <w:t>שהרי שלובים בה רוע ואכזריות כל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>]</w:t>
      </w:r>
      <w:r>
        <w:rPr>
          <w:rtl w:val="true"/>
        </w:rPr>
        <w:t>י קטינים חסרי ישע</w:t>
      </w:r>
      <w:r>
        <w:rPr>
          <w:rtl w:val="true"/>
        </w:rPr>
        <w:t xml:space="preserve">, </w:t>
      </w:r>
      <w:r>
        <w:rPr>
          <w:rtl w:val="true"/>
        </w:rPr>
        <w:t>אשר מעטים דוגמתם</w:t>
      </w:r>
      <w:r>
        <w:rPr>
          <w:rtl w:val="true"/>
        </w:rPr>
        <w:t>" 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5248/06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גוריאצקין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9.11.2006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טרם ניתן לעמוד על השלכות מעשיה של המערערת על נפש הפעוט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 שצוין בתסקיר נפגעי העבירה</w:t>
      </w:r>
      <w:r>
        <w:rPr>
          <w:rtl w:val="true"/>
        </w:rPr>
        <w:t xml:space="preserve">, </w:t>
      </w:r>
      <w:r>
        <w:rPr>
          <w:rtl w:val="true"/>
        </w:rPr>
        <w:t>טראומה חוזרת כזו שעבר הפעוט מידי המערערת עלולה לפגוע בהתפתחותו התקינה ולהוביל לתסמינים רגשיים ונפשיים קשים ביותר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מעשיה של המערערת מבטאים זלזול עמוק בתפקידה כאחראית על שלום הפעוט</w:t>
      </w:r>
      <w:r>
        <w:rPr>
          <w:rtl w:val="true"/>
        </w:rPr>
        <w:t xml:space="preserve">. </w:t>
      </w:r>
      <w:r>
        <w:rPr>
          <w:rtl w:val="true"/>
        </w:rPr>
        <w:t>לא זו בלבד שיש בכך כדי להגביר את חומרת מעשיה של המערערת</w:t>
      </w:r>
      <w:r>
        <w:rPr>
          <w:rtl w:val="true"/>
        </w:rPr>
        <w:t xml:space="preserve">, </w:t>
      </w:r>
      <w:r>
        <w:rPr>
          <w:rtl w:val="true"/>
        </w:rPr>
        <w:t>אלא שיש בכך כדי להגדיל את הנזק שנגרם למשפחת הפעוט</w:t>
      </w:r>
      <w:r>
        <w:rPr>
          <w:rtl w:val="true"/>
        </w:rPr>
        <w:t xml:space="preserve">. </w:t>
      </w:r>
      <w:r>
        <w:rPr>
          <w:rtl w:val="true"/>
        </w:rPr>
        <w:t xml:space="preserve">הורי הפעוט הפקידו בידי המערערת את היקר להם מכל </w:t>
      </w:r>
      <w:r>
        <w:rPr>
          <w:rtl w:val="true"/>
        </w:rPr>
        <w:t>–</w:t>
      </w:r>
      <w:r>
        <w:rPr>
          <w:rtl w:val="true"/>
        </w:rPr>
        <w:t xml:space="preserve"> והיא בגדה באמונם</w:t>
      </w:r>
      <w:r>
        <w:rPr>
          <w:rtl w:val="true"/>
        </w:rPr>
        <w:t xml:space="preserve">. </w:t>
      </w:r>
      <w:r>
        <w:rPr>
          <w:rtl w:val="true"/>
        </w:rPr>
        <w:t>ניתן רק לתאר את הצער ואת החרדה שעוד ילוו אותם בעתיד</w:t>
      </w:r>
      <w:r>
        <w:rPr>
          <w:rtl w:val="true"/>
        </w:rPr>
        <w:t xml:space="preserve">, </w:t>
      </w:r>
      <w:r>
        <w:rPr>
          <w:rtl w:val="true"/>
        </w:rPr>
        <w:t>ולקוות שישתקמו מהם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בית המשפט המחוזי הביא בחשבון את השיקולים השונים לקולה</w:t>
      </w:r>
      <w:r>
        <w:rPr>
          <w:rtl w:val="true"/>
        </w:rPr>
        <w:t xml:space="preserve">, </w:t>
      </w:r>
      <w:r>
        <w:rPr>
          <w:rtl w:val="true"/>
        </w:rPr>
        <w:t>ובהם תהליך הטיפול שהמערערת מצויה בו ונסיבותיה האישיות</w:t>
      </w:r>
      <w:r>
        <w:rPr>
          <w:rtl w:val="true"/>
        </w:rPr>
        <w:t xml:space="preserve">. </w:t>
      </w:r>
      <w:r>
        <w:rPr>
          <w:rtl w:val="true"/>
        </w:rPr>
        <w:t>בית המשפט נתן משקל לעמדת שירות המבחן באשר לסיכויי השיקום של המערערת</w:t>
      </w:r>
      <w:r>
        <w:rPr>
          <w:rtl w:val="true"/>
        </w:rPr>
        <w:t xml:space="preserve">, </w:t>
      </w:r>
      <w:r>
        <w:rPr>
          <w:rtl w:val="true"/>
        </w:rPr>
        <w:t>אך בחר שלא לאמצה</w:t>
      </w:r>
      <w:r>
        <w:rPr>
          <w:rtl w:val="true"/>
        </w:rPr>
        <w:t xml:space="preserve">. </w:t>
      </w:r>
      <w:r>
        <w:rPr>
          <w:rtl w:val="true"/>
        </w:rPr>
        <w:t>הוא עשה כן על יסוד שיקולי הענישה השונים שעומדים במוקד עניינה של המערערת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נשקל הצורך להוקיע אלימות כלפי תינוקות</w:t>
      </w:r>
      <w:r>
        <w:rPr>
          <w:rtl w:val="true"/>
        </w:rPr>
        <w:t xml:space="preserve">, </w:t>
      </w:r>
      <w:r>
        <w:rPr>
          <w:rtl w:val="true"/>
        </w:rPr>
        <w:t>ובפרט אלימות מצד האחראים על שלומם של פעוטות</w:t>
      </w:r>
      <w:r>
        <w:rPr>
          <w:rtl w:val="true"/>
        </w:rPr>
        <w:t xml:space="preserve">. </w:t>
      </w:r>
      <w:r>
        <w:rPr>
          <w:rtl w:val="true"/>
        </w:rPr>
        <w:t>שיקול זה ואחרים אינם נבחנים בגיבוש המלצותיו של שירות המבחן</w:t>
      </w:r>
      <w:r>
        <w:rPr>
          <w:rtl w:val="true"/>
        </w:rPr>
        <w:t xml:space="preserve">, </w:t>
      </w:r>
      <w:r>
        <w:rPr>
          <w:rtl w:val="true"/>
        </w:rPr>
        <w:t>ועל בית המשפט ליתן להם משקל ראוי במלאכתו</w:t>
      </w:r>
      <w:r>
        <w:rPr>
          <w:rtl w:val="true"/>
        </w:rPr>
        <w:t xml:space="preserve">. </w:t>
      </w:r>
      <w:r>
        <w:rPr>
          <w:rtl w:val="true"/>
        </w:rPr>
        <w:t>כלל ידוע הוא כי המלצת שירות המבחן אינם מחייבת את בית המשפט</w:t>
      </w:r>
      <w:r>
        <w:rPr>
          <w:rtl w:val="true"/>
        </w:rPr>
        <w:t xml:space="preserve">, </w:t>
      </w:r>
      <w:r>
        <w:rPr>
          <w:rtl w:val="true"/>
        </w:rPr>
        <w:t>וביכולתו לסטות ממנה מ</w:t>
      </w:r>
      <w:r>
        <w:rPr>
          <w:sz w:val="28"/>
          <w:sz w:val="28"/>
          <w:rtl w:val="true"/>
        </w:rPr>
        <w:t xml:space="preserve">טעמים המצדיקים זאת </w:t>
      </w:r>
      <w:r>
        <w:rPr>
          <w:sz w:val="28"/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14.11.2018</w:t>
      </w:r>
      <w:r>
        <w:rPr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בהינתן עקרון ההלימה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רמת הענישה הראויה והנסיבות שעליהן עמדנו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 קמה עילה להתערבותנו בעונש שנגזר על המערערת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 ת</w:t>
      </w:r>
      <w:r>
        <w:rPr>
          <w:rtl w:val="true"/>
        </w:rPr>
        <w:t>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עליה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3.2.2019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סוהר</w:t>
      </w:r>
      <w:r>
        <w:rPr>
          <w:rtl w:val="true"/>
        </w:rPr>
        <w:t xml:space="preserve"> נווה תרצה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tl w:val="true"/>
        </w:rPr>
        <w:t>ה</w:t>
      </w:r>
      <w:r>
        <w:rPr>
          <w:rtl w:val="true"/>
        </w:rPr>
        <w:t xml:space="preserve">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מערערת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(‏</w:t>
      </w:r>
      <w:r>
        <w:rPr>
          <w:b/>
          <w:bCs/>
        </w:rPr>
        <w:t>21.1.2019</w:t>
      </w:r>
      <w:r>
        <w:rPr>
          <w:b/>
          <w:bCs/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18043020</w:t>
      </w:r>
      <w:r>
        <w:rPr>
          <w:sz w:val="16"/>
          <w:rtl w:val="true"/>
        </w:rPr>
        <w:t>_</w:t>
      </w:r>
      <w:r>
        <w:rPr>
          <w:sz w:val="16"/>
        </w:rPr>
        <w:t>M06.docx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54678313-4302/18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4302/18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ספיר בוקשטיין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7955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368b.b" TargetMode="External"/><Relationship Id="rId6" Type="http://schemas.openxmlformats.org/officeDocument/2006/relationships/hyperlink" Target="http://www.nevo.co.il/law/70301/368c" TargetMode="External"/><Relationship Id="rId7" Type="http://schemas.openxmlformats.org/officeDocument/2006/relationships/hyperlink" Target="http://www.nevo.co.il/law/70301/368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68b.b" TargetMode="External"/><Relationship Id="rId10" Type="http://schemas.openxmlformats.org/officeDocument/2006/relationships/hyperlink" Target="http://www.nevo.co.il/law/70301/40d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568591" TargetMode="External"/><Relationship Id="rId13" Type="http://schemas.openxmlformats.org/officeDocument/2006/relationships/hyperlink" Target="http://www.nevo.co.il/case/13055021" TargetMode="External"/><Relationship Id="rId14" Type="http://schemas.openxmlformats.org/officeDocument/2006/relationships/hyperlink" Target="http://www.nevo.co.il/case/6239876" TargetMode="External"/><Relationship Id="rId15" Type="http://schemas.openxmlformats.org/officeDocument/2006/relationships/hyperlink" Target="http://www.nevo.co.il/case/5709924" TargetMode="External"/><Relationship Id="rId16" Type="http://schemas.openxmlformats.org/officeDocument/2006/relationships/hyperlink" Target="http://www.nevo.co.il/case/6043393" TargetMode="External"/><Relationship Id="rId17" Type="http://schemas.openxmlformats.org/officeDocument/2006/relationships/hyperlink" Target="http://www.nevo.co.il/case/6002040" TargetMode="External"/><Relationship Id="rId18" Type="http://schemas.openxmlformats.org/officeDocument/2006/relationships/hyperlink" Target="http://www.nevo.co.il/case/23775111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2019-01-21T12:58:00Z</dcterms:created>
  <dc:creator>h3</dc:creator>
  <dc:description/>
  <cp:keywords/>
  <dc:language>en-IL</dc:language>
  <cp:lastModifiedBy>orly</cp:lastModifiedBy>
  <cp:lastPrinted>2019-01-21T10:17:00Z</cp:lastPrinted>
  <dcterms:modified xsi:type="dcterms:W3CDTF">2019-01-22T13:48:00Z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ספיר בוקשטיין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22795556;5568591;13055021;6239876;5709924;6043393;6002040;23775111</vt:lpwstr>
  </property>
  <property fmtid="{D5CDD505-2E9C-101B-9397-08002B2CF9AE}" pid="9" name="CITY">
    <vt:lpwstr/>
  </property>
  <property fmtid="{D5CDD505-2E9C-101B-9397-08002B2CF9AE}" pid="10" name="DATE">
    <vt:lpwstr>20190121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אלרון;ע' גרוסקופף</vt:lpwstr>
  </property>
  <property fmtid="{D5CDD505-2E9C-101B-9397-08002B2CF9AE}" pid="14" name="LAWLISTTMP1">
    <vt:lpwstr>70301/368c;368b.b;040d.a</vt:lpwstr>
  </property>
  <property fmtid="{D5CDD505-2E9C-101B-9397-08002B2CF9AE}" pid="15" name="LAWYER">
    <vt:lpwstr>הדר פרנקל;דן נתיב;ברכה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מדיניות ענישה: התעללות בקטין</vt:lpwstr>
  </property>
  <property fmtid="{D5CDD505-2E9C-101B-9397-08002B2CF9AE}" pid="49" name="NOSE310">
    <vt:lpwstr/>
  </property>
  <property fmtid="{D5CDD505-2E9C-101B-9397-08002B2CF9AE}" pid="50" name="NOSE32">
    <vt:lpwstr>מדיניות ענישה: התעללות בחסר ישע</vt:lpwstr>
  </property>
  <property fmtid="{D5CDD505-2E9C-101B-9397-08002B2CF9AE}" pid="51" name="NOSE33">
    <vt:lpwstr>תסקיר שירות מבחן</vt:lpwstr>
  </property>
  <property fmtid="{D5CDD505-2E9C-101B-9397-08002B2CF9AE}" pid="52" name="NOSE34">
    <vt:lpwstr>אי-התערבות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14658;17924;13182;17039</vt:lpwstr>
  </property>
  <property fmtid="{D5CDD505-2E9C-101B-9397-08002B2CF9AE}" pid="59" name="PADIDATE">
    <vt:lpwstr>20190122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4302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410120190121</vt:lpwstr>
  </property>
  <property fmtid="{D5CDD505-2E9C-101B-9397-08002B2CF9AE}" pid="69" name="TYPE_N_DATE">
    <vt:lpwstr>41020190121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