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4338/20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אלכרים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  </w:t>
              </w:r>
              <w:r>
                <w:rPr>
                  <w:rStyle w:val="Hyperlink"/>
                  <w:sz w:val="24"/>
                  <w:szCs w:val="24"/>
                </w:rPr>
                <w:t>013425-12-18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13.05.2020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מרשק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מרום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צמל</w:t>
            </w:r>
          </w:p>
        </w:tc>
      </w:tr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רוט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פקודת בתי הסוהר 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[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52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ב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/>
      </w:pPr>
      <w:hyperlink r:id="rId5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25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499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(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א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)(</w:t>
      </w:r>
      <w:r>
        <w:rPr>
          <w:rFonts w:cs="FrankRuehl" w:ascii="FrankRuehl" w:hAnsi="FrankRuehl"/>
          <w:color w:val="0000FF"/>
          <w:spacing w:val="0"/>
          <w:sz w:val="24"/>
          <w:szCs w:val="24"/>
        </w:rPr>
        <w:t>2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>)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hyperlink r:id="rId9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תשע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"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2016</w:t>
        </w:r>
      </w:hyperlink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pacing w:val="0"/>
            <w:sz w:val="24"/>
            <w:szCs w:val="24"/>
            <w:u w:val="none"/>
          </w:rPr>
          <w:t>23</w:t>
        </w:r>
      </w:hyperlink>
    </w:p>
    <w:p>
      <w:pPr>
        <w:pStyle w:val="Ruller31"/>
        <w:spacing w:lineRule="auto" w:line="240"/>
        <w:ind w:end="0"/>
        <w:jc w:val="start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*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לנכות ימי מעצר מנהלי מעונש המאסר המוטל על נאשם בהליך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נוהג הוא כי בעת גזירת העונש יש להביא בחשבון את התקופה שבה ישב המורשע במעצר מנהלי כשיקול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 וקיימת חפיפה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לא 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העילה למעצר המנהלי לבין העבירות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במקרה זה הרקע למעצרים המנהליים של המערער במשך 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אינו חופף לעבירות שבהן הורשע בהליך הנדון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ולכן אין מקום לנכות תקופה זו מתקופת המאסר שנגזרה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ניכוי ימי מעצר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בעבירות שעניינן הברחת טלפונים סלולריים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לבית סוהר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גזר על המערער מאסר בפועל של </w:t>
      </w:r>
      <w:r>
        <w:rPr>
          <w:rFonts w:cs="Times New Roman" w:ascii="Times New Roman" w:hAnsi="Times New Roman"/>
          <w:spacing w:val="0"/>
          <w:sz w:val="24"/>
          <w:szCs w:val="26"/>
        </w:rPr>
        <w:t>39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על תנאי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קבע כי המערער ישב במעצר מנהלי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בלבד בגין הברחת 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סים לבתי 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ויתרת התקופה שבה ישב במעצר מנהלי הייתה על רקע העברת כספים לארגון החמאס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נוכו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מתקופת מאסרו של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כך שתקופת המאסר בפועל הועמדה על </w:t>
      </w:r>
      <w:r>
        <w:rPr>
          <w:rFonts w:cs="Times New Roman" w:ascii="Times New Roman" w:hAnsi="Times New Roman"/>
          <w:spacing w:val="0"/>
          <w:sz w:val="24"/>
          <w:szCs w:val="26"/>
        </w:rPr>
        <w:t>39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נוכח הסכמת הצדדים לעונש מאסר בן </w:t>
      </w:r>
      <w:r>
        <w:rPr>
          <w:rFonts w:cs="Times New Roman" w:ascii="Times New Roman" w:hAnsi="Times New Roman"/>
          <w:spacing w:val="0"/>
          <w:sz w:val="24"/>
          <w:szCs w:val="26"/>
        </w:rPr>
        <w:t>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 טען כי ישב במעצר מנהלי במשך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בגין הברחת הטל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סים ולכן יש לנכות תקופה זו במלואה מתוך </w:t>
      </w:r>
      <w:r>
        <w:rPr>
          <w:rFonts w:cs="Times New Roman" w:ascii="Times New Roman" w:hAnsi="Times New Roman"/>
          <w:spacing w:val="0"/>
          <w:sz w:val="24"/>
          <w:szCs w:val="26"/>
        </w:rPr>
        <w:t>44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 המאסר בפועל עליהם הוסכם בין הצדדים ולא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בלבד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עמית ובהסכמת השופטים מינץ ואלרון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כנגד החלטת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לנכות </w:t>
      </w:r>
      <w:r>
        <w:rPr>
          <w:rFonts w:cs="Times New Roman" w:ascii="Times New Roman" w:hAnsi="Times New Roman"/>
          <w:spacing w:val="0"/>
          <w:sz w:val="24"/>
          <w:szCs w:val="26"/>
        </w:rPr>
        <w:t>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בלבד מתקופת המאסר שנגזר על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טען כי היה על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לנכות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מתקופת מאסרו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שכן שהה במעצר מנהלי למשך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בגין הברחת 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סים לבתי כלא וכן משום שכבר הושת עליו עונש כספי כבד בדמות חילוט רכבו האישי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במישור העקרוני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ההחלטה לנכות תקופה של מעצר מנהלי מתקופת המאסר נתונה לשיקול דעתו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בתי הדין הצבאיים פסקו כי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לנכות את ימי המעצר המנהלי מעונש המאסר המוטל על נאשם במסגרת ההליך הפלילי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 המטרות השונות שבבסיס המעצר המינהלי וההעמדה לדין פלילי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המעצר המנהלי צופה פני עתיד ונועד למנוע פעילות צפויה של העצור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בעוד שהעמדה לדין פלילי מטרתה להטיל סנקציה עונשית בגין מעשים שבוצעו בעבר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הנוהג הוא כי בעת גזירת העונש יש להביא בחשבון את התקופה שבה ישב המורשע במעצר מנהלי כשיקול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במידה וקיימת חפיפה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אם לא מלאה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העילה למעצר המנהלי לבין העבירות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שאין ללמוד מפסקי הדין בבתי הדין הצבאיים כי תקופת המעצר המנהלי תנוכה במלואה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האמור נאמר 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משום שבענייננו קבע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כי אין חפיפה בין הרקע למעצר המנהלי השני והשלישי של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לבין העבירות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המעצרים המנהליים של המערער משך 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היו על רקע פעילות כספית עבור החמאס שאיננה רלוונטית לענייננו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כלומר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בהינתן שהרקע למעצר המנהלי השני והשלישי של המערער אינו חופף לעבירות שבהן הורשע בהליך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אין מקום לנכות 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נוספים מתקופת המאסר שנגזר עליו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5226" w:leader="none"/>
        </w:tabs>
        <w:spacing w:lineRule="exact" w:line="320" w:before="0" w:after="120"/>
        <w:ind w:end="0"/>
        <w:contextualSpacing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טענת המערער לפיה יש להפחית מעונשו או להימנע מהטלת קנס בשל העובדה שרכבו חולט אין בה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מההחלטה בעניין אל כרים עולה כי רכבו של המערער חולט על רקע פעילות כספית עם ארגון החמאס ולא על רקע העברת טל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סים לבתי כלא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התכליות של חילוט מנהלי ועונש מאסר הן שונות במהות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שהמערער מבקש לערב מין בשאינו מינו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auto" w:line="240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ערעור על גזר דינו של בית המשפט המחוזי מרכז לוד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כב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' </w:t>
      </w:r>
      <w:r>
        <w:rPr>
          <w:rFonts w:ascii="FrankRuehl" w:hAnsi="FrankRuehl"/>
          <w:color w:val="000000"/>
          <w:sz w:val="28"/>
          <w:sz w:val="28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בגדרו נגזרו על המערער מאסר בפועל של </w:t>
      </w:r>
      <w:r>
        <w:rPr>
          <w:rFonts w:cs="FrankRuehl" w:ascii="FrankRuehl" w:hAnsi="FrankRuehl"/>
          <w:color w:val="000000"/>
          <w:sz w:val="28"/>
        </w:rPr>
        <w:t>39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חודשים וכן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 מאסר על תנאי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לטענת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יש להפחית מעונש המאסר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חודשים ולהעמידו על </w:t>
      </w:r>
      <w:r>
        <w:rPr>
          <w:rFonts w:cs="FrankRuehl" w:ascii="FrankRuehl" w:hAnsi="FrankRuehl"/>
          <w:color w:val="000000"/>
          <w:sz w:val="28"/>
        </w:rPr>
        <w:t>32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/>
      </w:pP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כנגד המערער ושבעה נאשמים נוספים הוגש כתב אישום מתוקן הכולל ארבעה אישומים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כתב האישום מייחס למערער עבירות של הכנסת ציוד קצה רט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ן אל תוך בית סוהר בצוותא חדא – עבירה לפי </w:t>
      </w:r>
      <w:hyperlink r:id="rId11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52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</w:t>
      </w:r>
      <w:hyperlink r:id="rId12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פקודת בתי הסוהר</w:t>
        </w:r>
      </w:hyperlink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FrankRuehl" w:ascii="FrankRuehl" w:hAnsi="FrankRuehl"/>
          <w:color w:val="000000"/>
          <w:sz w:val="28"/>
          <w:rtl w:val="true"/>
        </w:rPr>
        <w:t>[</w:t>
      </w:r>
      <w:r>
        <w:rPr>
          <w:rFonts w:ascii="FrankRuehl" w:hAnsi="FrankRuehl"/>
          <w:color w:val="000000"/>
          <w:sz w:val="28"/>
          <w:sz w:val="28"/>
          <w:rtl w:val="true"/>
        </w:rPr>
        <w:t>נוסח חדש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], </w:t>
      </w:r>
      <w:r>
        <w:rPr>
          <w:rFonts w:ascii="FrankRuehl" w:hAnsi="FrankRuehl"/>
          <w:color w:val="000000"/>
          <w:sz w:val="28"/>
          <w:sz w:val="28"/>
          <w:rtl w:val="true"/>
        </w:rPr>
        <w:t>התשל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1971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),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יחד עם </w:t>
      </w:r>
      <w:hyperlink r:id="rId13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29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</w:t>
      </w:r>
      <w:hyperlink r:id="rId1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התשל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ז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1977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/>
          <w:color w:val="000000"/>
          <w:sz w:val="28"/>
          <w:sz w:val="28"/>
          <w:rtl w:val="true"/>
        </w:rPr>
        <w:t>ריבוי עבירות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קשירת קשר לעוון – עבירה לפי </w:t>
      </w:r>
      <w:hyperlink r:id="rId15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499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לחוק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ריבוי עבירות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r>
        <w:rPr>
          <w:rFonts w:ascii="FrankRuehl" w:hAnsi="FrankRuehl"/>
          <w:color w:val="000000"/>
          <w:sz w:val="28"/>
          <w:sz w:val="28"/>
          <w:rtl w:val="true"/>
        </w:rPr>
        <w:t>ניסיון להכנסת ציוד קצה רט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ן אל תוך בית סוהר בצוותא חדא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–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ע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בירה לפי </w:t>
      </w:r>
      <w:hyperlink r:id="rId16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52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</w:rPr>
          <w:t>2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)(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rtl w:val="true"/>
          </w:rPr>
          <w:t>)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לפקודה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יחד עם </w:t>
      </w:r>
      <w:hyperlink r:id="rId17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29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hyperlink r:id="rId18">
        <w:r>
          <w:rPr>
            <w:rStyle w:val="Hyperlink"/>
            <w:rFonts w:cs="FrankRuehl" w:ascii="FrankRuehl" w:hAnsi="FrankRuehl"/>
            <w:sz w:val="28"/>
          </w:rPr>
          <w:t>25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ניסיון למתן אמצעים לארגון טרור בצוותא חדא – עבירה לפי </w:t>
      </w:r>
      <w:hyperlink r:id="rId19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23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</w:t>
      </w:r>
      <w:hyperlink r:id="rId20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התשע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2016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יחד עם </w:t>
      </w:r>
      <w:hyperlink r:id="rId21"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</w:rPr>
          <w:t>29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hyperlink r:id="rId22">
        <w:r>
          <w:rPr>
            <w:rStyle w:val="Hyperlink"/>
            <w:rFonts w:cs="FrankRuehl" w:ascii="FrankRuehl" w:hAnsi="FrankRuehl"/>
            <w:sz w:val="28"/>
          </w:rPr>
          <w:t>25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לחוק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על פי המתואר באישום הראשון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במהלך שנת </w:t>
      </w:r>
      <w:r>
        <w:rPr>
          <w:rFonts w:cs="FrankRuehl" w:ascii="FrankRuehl" w:hAnsi="FrankRuehl"/>
          <w:color w:val="000000"/>
          <w:sz w:val="28"/>
        </w:rPr>
        <w:t>2014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קשרו המערער והנאשם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קשר להבריח טלפונים סלולריים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טל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לאסירים ביטחוניים בבית הכלא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נפחא</w:t>
      </w:r>
      <w:r>
        <w:rPr>
          <w:rFonts w:cs="FrankRuehl" w:ascii="FrankRuehl" w:hAnsi="FrankRuehl"/>
          <w:color w:val="000000"/>
          <w:sz w:val="28"/>
          <w:rtl w:val="true"/>
        </w:rPr>
        <w:t>"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נפחא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בהמשך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פנו השניים במישרין או בעקיפין לנאשמים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7-5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אשר הסכימו להצטרף לקשר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המערער העביר כ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30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סים לנאשמת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אשר העבירה אותם לנאשמים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במועד שאינו ידוע במדויק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אך סמוך לשעה </w:t>
      </w:r>
      <w:r>
        <w:rPr>
          <w:rFonts w:cs="FrankRuehl" w:ascii="FrankRuehl" w:hAnsi="FrankRuehl"/>
          <w:color w:val="000000"/>
          <w:sz w:val="28"/>
        </w:rPr>
        <w:t>2:00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תוך שנאשם 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תצפת אל עבר כלא נפחא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זרק נאשם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מעבר לגדרות לתוך שטח הכלא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בתמורה קיבלו המערער ונאשמים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תשלום בסך אלפי שקלים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על פי המתואר באישום השני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במהלך שנת </w:t>
      </w:r>
      <w:r>
        <w:rPr>
          <w:rFonts w:cs="FrankRuehl" w:ascii="FrankRuehl" w:hAnsi="FrankRuehl"/>
          <w:color w:val="000000"/>
          <w:sz w:val="28"/>
        </w:rPr>
        <w:t>2016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הבריח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יחד עם נאשמים </w:t>
      </w:r>
      <w:r>
        <w:rPr>
          <w:rFonts w:cs="FrankRuehl" w:ascii="FrankRuehl" w:hAnsi="FrankRuehl"/>
          <w:color w:val="000000"/>
          <w:sz w:val="28"/>
        </w:rPr>
        <w:t>7-5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לתוך כלא נפחא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באופן דומה למתואר באישום הראשון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האישום השלישי מגולל סיפור דומה גם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ומפרט כיצד בשנת </w:t>
      </w:r>
      <w:r>
        <w:rPr>
          <w:rFonts w:cs="FrankRuehl" w:ascii="FrankRuehl" w:hAnsi="FrankRuehl"/>
          <w:color w:val="000000"/>
          <w:sz w:val="28"/>
        </w:rPr>
        <w:t>2016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המערער ונאשמים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8-5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הבריחו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סים לבית הכלא 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אשל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".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על פי המתואר באישום הרביעי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סמוך לחודש אוגוסט בשנת </w:t>
      </w:r>
      <w:r>
        <w:rPr>
          <w:rFonts w:cs="FrankRuehl" w:ascii="FrankRuehl" w:hAnsi="FrankRuehl"/>
          <w:color w:val="000000"/>
          <w:sz w:val="28"/>
        </w:rPr>
        <w:t>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קשרו המערער ונאשם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קשר להברחת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לכלא נפחא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בהמשך הצטרפו לקשר נאשמים </w:t>
      </w:r>
      <w:r>
        <w:rPr>
          <w:rFonts w:cs="FrankRuehl" w:ascii="FrankRuehl" w:hAnsi="FrankRuehl"/>
          <w:color w:val="000000"/>
          <w:sz w:val="28"/>
        </w:rPr>
        <w:t>3-1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cs="FrankRuehl" w:ascii="FrankRuehl" w:hAnsi="FrankRuehl"/>
          <w:color w:val="000000"/>
          <w:sz w:val="28"/>
        </w:rPr>
        <w:t>6-5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לקראת הברחת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בוצעו הכנות שכללו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רכישת רחפן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ביצוע הטסות ניסוי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ביצוע סיורי שטח באזור כלא נפחא ואיסוף מידע מתוך הכלא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</w:rPr>
        <w:t>5.10.2018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מסר המערער כ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60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סים לנאשם </w:t>
      </w: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בהמשך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נסעו הנאשמים </w:t>
      </w:r>
      <w:r>
        <w:rPr>
          <w:rFonts w:cs="FrankRuehl" w:ascii="FrankRuehl" w:hAnsi="FrankRuehl"/>
          <w:color w:val="000000"/>
          <w:sz w:val="28"/>
        </w:rPr>
        <w:t>3-1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לאזור כלא נפחא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בהגיעם לאזור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ביצעו הטסת ניסוי ברחפן מבלי שחיברו אליו את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בשל תקלה טכנית במהלך הניסוי הרחפן התרסק לאדמה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בשלב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החביא הנאשם 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את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בין הסלעים בשטח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הנאשמים נסעו ברכב לאזור נפילת הרחפן והחלו בחיפוש אחריו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בזמן החיפושים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הנאשמים 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התרחקו מהמקום בעוד שהנאשמים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נשארו בקרבת הרכב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זמן קצר לאחר מכן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הגיעו כוחות משטרה למקום ועצרו את הנאשמים </w:t>
      </w:r>
      <w:r>
        <w:rPr>
          <w:rFonts w:cs="FrankRuehl" w:ascii="FrankRuehl" w:hAnsi="FrankRuehl"/>
          <w:color w:val="000000"/>
          <w:sz w:val="28"/>
        </w:rPr>
        <w:t>1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נאשמים </w:t>
      </w: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ו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הבחינו במתרחש ונמלטו מהאזור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2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ביום </w:t>
      </w:r>
      <w:r>
        <w:rPr>
          <w:rFonts w:cs="FrankRuehl" w:ascii="FrankRuehl" w:hAnsi="FrankRuehl"/>
          <w:color w:val="000000"/>
          <w:sz w:val="28"/>
        </w:rPr>
        <w:t>24.10.2019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במסגרת הסדר טיעון אליו הגיעו הצדדים לאחר הליכי גישור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הודה המערער בעובדות ארבעת האישומים בכתב האישום המתוקן והורשע בעבירות המפורטות מעלה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הצדדים עתרו במשותף להשית על המערער מאסר בפועל של </w:t>
      </w:r>
      <w:r>
        <w:rPr>
          <w:rFonts w:cs="FrankRuehl" w:ascii="FrankRuehl" w:hAnsi="FrankRuehl"/>
          <w:color w:val="000000"/>
          <w:sz w:val="28"/>
        </w:rPr>
        <w:t>44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וכן מאסר על תנאי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אך נחלקו באשר לשתי סוגיות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>האחת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תקופת המעצר המנהלי של המערער שיש לנכות מהמאסר בפועל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והשנייה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השתת קנס על המערער בסך </w:t>
      </w:r>
      <w:r>
        <w:rPr>
          <w:rFonts w:cs="FrankRuehl" w:ascii="FrankRuehl" w:hAnsi="FrankRuehl"/>
          <w:color w:val="000000"/>
          <w:sz w:val="28"/>
        </w:rPr>
        <w:t>3,000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₪. 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/>
      </w:pPr>
      <w:r>
        <w:rPr>
          <w:rFonts w:cs="FrankRuehl" w:ascii="FrankRuehl" w:hAnsi="FrankRuehl"/>
          <w:color w:val="000000"/>
          <w:sz w:val="28"/>
        </w:rPr>
        <w:t>3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המערער טען כי ישב במעצר מנהלי במשך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בגין הברחת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סים ולכן יש לנכות תקופה זו במלואה מתוך </w:t>
      </w:r>
      <w:r>
        <w:rPr>
          <w:rFonts w:cs="FrankRuehl" w:ascii="FrankRuehl" w:hAnsi="FrankRuehl"/>
          <w:color w:val="000000"/>
          <w:sz w:val="28"/>
        </w:rPr>
        <w:t>44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 המאסר בפועל עליהם הוסכם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באשר לקנס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טען המערער כי רכבו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בשווי של כ</w:t>
      </w:r>
      <w:r>
        <w:rPr>
          <w:rFonts w:cs="FrankRuehl" w:ascii="FrankRuehl" w:hAnsi="FrankRuehl"/>
          <w:color w:val="000000"/>
          <w:sz w:val="28"/>
          <w:rtl w:val="true"/>
        </w:rPr>
        <w:t>-</w:t>
      </w:r>
      <w:r>
        <w:rPr>
          <w:rFonts w:cs="FrankRuehl" w:ascii="FrankRuehl" w:hAnsi="FrankRuehl"/>
          <w:color w:val="000000"/>
          <w:sz w:val="28"/>
        </w:rPr>
        <w:t>130,000</w:t>
      </w:r>
      <w:r>
        <w:rPr>
          <w:rFonts w:cs="FrankRuehl" w:ascii="FrankRuehl" w:hAnsi="FrankRuehl"/>
          <w:color w:val="000000"/>
          <w:sz w:val="28"/>
          <w:rtl w:val="true"/>
        </w:rPr>
        <w:t xml:space="preserve"> ₪, </w:t>
      </w:r>
      <w:r>
        <w:rPr>
          <w:rFonts w:ascii="FrankRuehl" w:hAnsi="FrankRuehl"/>
          <w:color w:val="000000"/>
          <w:sz w:val="28"/>
          <w:sz w:val="28"/>
          <w:rtl w:val="true"/>
        </w:rPr>
        <w:t>חולט עקב מעורבותו בהברחת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לבתי 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כפי שעולה מ</w:t>
      </w:r>
      <w:hyperlink r:id="rId23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בג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ץ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3122/17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יוסף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שפיק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המפקד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הצבאי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לאזור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7.3.2018</w:t>
      </w:r>
      <w:r>
        <w:rPr>
          <w:rFonts w:cs="FrankRuehl" w:ascii="FrankRuehl" w:hAnsi="FrankRuehl"/>
          <w:color w:val="000000"/>
          <w:sz w:val="28"/>
          <w:rtl w:val="true"/>
        </w:rPr>
        <w:t>) (</w:t>
      </w:r>
      <w:r>
        <w:rPr>
          <w:rFonts w:ascii="FrankRuehl" w:hAnsi="FrankRuehl"/>
          <w:color w:val="000000"/>
          <w:sz w:val="28"/>
          <w:sz w:val="28"/>
          <w:rtl w:val="true"/>
        </w:rPr>
        <w:t>להלן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בו נקבע כי </w:t>
      </w:r>
      <w:r>
        <w:rPr>
          <w:rFonts w:cs="FrankRuehl" w:ascii="FrankRuehl" w:hAnsi="FrankRuehl"/>
          <w:color w:val="000000"/>
          <w:sz w:val="28"/>
          <w:rtl w:val="true"/>
        </w:rPr>
        <w:t xml:space="preserve">"[...] </w:t>
      </w:r>
      <w:r>
        <w:rPr>
          <w:rFonts w:ascii="FrankRuehl" w:hAnsi="FrankRuehl"/>
          <w:color w:val="000000"/>
          <w:sz w:val="28"/>
          <w:sz w:val="28"/>
          <w:rtl w:val="true"/>
        </w:rPr>
        <w:t>הרכב שחולט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שווה ערך לכספים שקיבל העותר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המערער – י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מארגון החמאס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וכי העותר מעורב בהברחת טלפונים סלולאריים לבתי הכלא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". </w:t>
      </w:r>
      <w:r>
        <w:rPr>
          <w:rFonts w:ascii="FrankRuehl" w:hAnsi="FrankRuehl"/>
          <w:color w:val="000000"/>
          <w:sz w:val="28"/>
          <w:sz w:val="28"/>
          <w:rtl w:val="true"/>
        </w:rPr>
        <w:t>לטענת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משהוטל עליו עונש כספי בגין הברחת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אין מקום להטיל עליו קנס נוסף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4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בגזר הדין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בית המשפט עמד על כך שחלקו של המערער באירועים היה מרכזי בכך שהיה איש הקשר של האסירים בכלא ובכך שגייס את יתר הנאשמים לביצוע העבירות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באשר לניכוי תקופת המעצר המנהלי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נקבע כי הגם שנהוג להתחשב בתקופת מעצר מנהלי שקשורה לביצוע העבירות שבגינן נגזר על נאשם מאסר בפועל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אין חובה להתחשב בתקופה זו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מכל מקום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בית המשפט קמא אימץ את טענת המשיבה לפיה המערער ישב במעצר מנהלי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חודשים בלבד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14.5.2017-23.1.2017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בגין הברחת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לבתי 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וכי יתרת התקופה שבה ישב במעצר מנהלי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24.5.2018-28.9.2017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הייתה על רקע העברת כספים לארגון החמאס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משכך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נוכו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מתקופת מאסרו של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כך שתקופת המאסר בפועל הועמדה על </w:t>
      </w:r>
      <w:r>
        <w:rPr>
          <w:rFonts w:cs="FrankRuehl" w:ascii="FrankRuehl" w:hAnsi="FrankRuehl"/>
          <w:color w:val="000000"/>
          <w:sz w:val="28"/>
        </w:rPr>
        <w:t>39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וכן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 מאסר על תנאי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כאשר התנאי הוא שהמערער לא יעבור עבירות זהות לאלה בהן הורשע במסגרת כתב האישום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למעט עבירה של קשירת קשר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וכן ניסיון לעבור עבירה כאמור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מכאן הערעור שלפנינו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הערעור מופנה כנגד החלטתו של בית משפט קמא לנכות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בלבד מתקופת המאסר שנגזר על המערער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המערער טען כי היה על בית משפט קמא לנכות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מתקופת מאסרו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שכן שהה במעצר מנהלי למשך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בגין הברחת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לבתי כלא וכן משום שכבר הושת עליו עונש כספי כבד בדמות חילוט רכבו האישי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לביסוס טענתו כי גם המעצר המנהלי השני והשלישי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תקופה של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במצטבר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היו על רקע הברחת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לבתי 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הפנה המערער לדמיון הרב שבין חקירותיו בטרם המעצרים המנהליים אלו לבין חקירתו בטרם מעצרו המנהלי הראשון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; </w:t>
      </w:r>
      <w:r>
        <w:rPr>
          <w:rFonts w:ascii="FrankRuehl" w:hAnsi="FrankRuehl"/>
          <w:color w:val="000000"/>
          <w:sz w:val="28"/>
          <w:sz w:val="28"/>
          <w:rtl w:val="true"/>
        </w:rPr>
        <w:t>ולפרוטוקול הדיון בבית המשפט הצבאי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שעסק במעצרו המנהלי השני והשלישי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שבו צוין כי מדובר באותם חשדות מהתיק הקודם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המשיבה טענה כי בדיעבד התברר כי טעות חישובית הובילה אותה להסכים לניכוי של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אף שבפועל מעצרו המנהלי של המערער בגין הברחת הטל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היה קצר מכך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כאמור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השאלה היחידה שבמחלוקת היא אם יש לנכות </w:t>
      </w:r>
      <w:r>
        <w:rPr>
          <w:rFonts w:cs="FrankRuehl" w:ascii="FrankRuehl" w:hAnsi="FrankRuehl"/>
          <w:color w:val="000000"/>
          <w:sz w:val="28"/>
        </w:rPr>
        <w:t>5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חודשים או </w:t>
      </w:r>
      <w:r>
        <w:rPr>
          <w:rFonts w:cs="FrankRuehl" w:ascii="FrankRuehl" w:hAnsi="FrankRuehl"/>
          <w:color w:val="000000"/>
          <w:sz w:val="28"/>
        </w:rPr>
        <w:t>12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חודשים מעונש המאסר של </w:t>
      </w:r>
      <w:r>
        <w:rPr>
          <w:rFonts w:cs="FrankRuehl" w:ascii="FrankRuehl" w:hAnsi="FrankRuehl"/>
          <w:color w:val="000000"/>
          <w:sz w:val="28"/>
        </w:rPr>
        <w:t>44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שעליו הסכימו הצדדים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/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במישור העקרוני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ההחלטה לנכות תקופה של מעצר מנהלי מתקופת המאסר נתונה לשיקול דעתו של בית המשפט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בתי הדין הצבאיים פסקו כי </w:t>
      </w:r>
      <w:r>
        <w:rPr>
          <w:rFonts w:ascii="Century" w:hAnsi="Century" w:cs="Century"/>
          <w:rtl w:val="true"/>
        </w:rPr>
        <w:t>ככלל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אין לנכות את ימי המעצר המנהלי מעונש המאסר המוטל על נאשם במסגרת ההליך הפלילי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בשל המטרות השונות שבבסיס המעצר המינהלי וההעמדה לדין פלילי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המעצר המנהלי צופה פני עתיד ונועד למנוע פעילות צפויה של העצור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בעוד שהעמדה לדין פלילי מטרתה להטיל סנקציה עונשית בגין מעשים שבוצעו בעבר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בעת גזירת העונש יש להביא בחשבון את התקופה שבה ישב המורשע במעצר מנהלי כשיקול לקולא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במידה וקיימת חפיפה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גם אם לא מלאה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בין העילה למעצר המנהלי לבין העבירות שבהן הורשע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>ראו למשל</w:t>
      </w:r>
      <w:r>
        <w:rPr>
          <w:rFonts w:cs="FrankRuehl" w:ascii="FrankRuehl" w:hAnsi="FrankRuehl"/>
          <w:color w:val="000000"/>
          <w:sz w:val="28"/>
          <w:rtl w:val="true"/>
        </w:rPr>
        <w:t xml:space="preserve">: </w:t>
      </w:r>
      <w:hyperlink r:id="rId2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ע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איו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1957/04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ראיד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עזמי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מחמוד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שוויכי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התובע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הצבאי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16.4.2005</w:t>
      </w:r>
      <w:r>
        <w:rPr>
          <w:rFonts w:cs="FrankRuehl" w:ascii="FrankRuehl" w:hAnsi="FrankRuehl"/>
          <w:color w:val="000000"/>
          <w:sz w:val="28"/>
          <w:rtl w:val="true"/>
        </w:rPr>
        <w:t xml:space="preserve">); </w:t>
      </w:r>
      <w:hyperlink r:id="rId25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עדי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איו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ש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2514/08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הצבאית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אבראהים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סעיד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חסן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סאלם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cs="FrankRuehl" w:ascii="FrankRuehl" w:hAnsi="FrankRuehl"/>
          <w:color w:val="000000"/>
          <w:sz w:val="28"/>
        </w:rPr>
        <w:t>6.11.2008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והאסמכתאות שם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r>
        <w:rPr>
          <w:rFonts w:ascii="FrankRuehl" w:hAnsi="FrankRuehl"/>
          <w:color w:val="000000"/>
          <w:sz w:val="28"/>
          <w:sz w:val="28"/>
          <w:rtl w:val="true"/>
        </w:rPr>
        <w:t>מכאן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שאין ללמוד מפסקי הדין בבתי הדין הצבאיים כי תקופת המעצר המנהלי תנוכה בהכרח במלואה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לא אמרנו דברים שאמרנו אלא למעלה מן הצורך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משום שבענייננו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נקבע על ידי בית המשפט קמא כי ממילא אין חפיפה בין הרקע למעצר המנהלי השני והשלישי של המערער </w:t>
      </w:r>
      <w:r>
        <w:rPr>
          <w:rFonts w:cs="FrankRuehl" w:ascii="FrankRuehl" w:hAnsi="FrankRuehl"/>
          <w:color w:val="000000"/>
          <w:sz w:val="28"/>
          <w:rtl w:val="true"/>
        </w:rPr>
        <w:t>(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תקופה של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) </w:t>
      </w:r>
      <w:r>
        <w:rPr>
          <w:rFonts w:ascii="FrankRuehl" w:hAnsi="FrankRuehl"/>
          <w:color w:val="000000"/>
          <w:sz w:val="28"/>
          <w:sz w:val="28"/>
          <w:rtl w:val="true"/>
        </w:rPr>
        <w:t>לבין העבירות שבהן הורשע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לאחר שעיינתי בחומר שלפנינו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ובין היתר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בהחלטות בית המשפט הצבאי בעניינו של המערער ובמסמך של שירות הביטחון הכללי בדבר הרקע למעצריו המנהליים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נחה דעתי כי המעצרים המנהליים של המערער משך תקופה של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היו על רקע פעילות כספית עבור החמאס שאיננה רלוונטית לענייננו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ובקיצור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בהינתן שהרקע למעצר המנהלי השני והשלישי של המערער אינו חופף לעבירות שבהן הורשע בהליך זה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אין מקום לנכות </w:t>
      </w:r>
      <w:r>
        <w:rPr>
          <w:rFonts w:cs="FrankRuehl" w:ascii="FrankRuehl" w:hAnsi="FrankRuehl"/>
          <w:color w:val="000000"/>
          <w:sz w:val="28"/>
        </w:rPr>
        <w:t>7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חודשים נוספים מתקופת המאסר שנגזר עליו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spacing w:before="0" w:after="240"/>
        <w:ind w:end="0"/>
        <w:contextualSpacing/>
        <w:jc w:val="both"/>
        <w:rPr/>
      </w:pPr>
      <w:r>
        <w:rPr>
          <w:rFonts w:cs="FrankRuehl" w:ascii="FrankRuehl" w:hAnsi="FrankRuehl"/>
          <w:color w:val="000000"/>
          <w:sz w:val="28"/>
        </w:rPr>
        <w:t>8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טענת המערער לפיה יש להפחית מעונשו או להימנע מהטלת קנס בשל העובדה שרכבו חולט אין בה ממש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כפי שציינה המשיבה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מההחלטה בעניין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כרים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 עולה כי רכבו של המערער חולט על רקע פעילות כספית עם ארגון החמאס ולא על רקע העברת טל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סים לבתי כלא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>מכל מקום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התכליות של חילוט מנהלי ועונש מאסר הן שונות במהות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כך שהמערער מבקש לערב מין בשאינו מינו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</w:rPr>
        <w:t>9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סוף דבר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שהערעור נדחה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bookmarkStart w:id="17" w:name="Nitan"/>
      <w:r>
        <w:rPr>
          <w:rFonts w:eastAsia="FrankRuehl"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ניתן היום</w:t>
      </w:r>
      <w:r>
        <w:rPr>
          <w:rFonts w:cs="FrankRuehl" w:ascii="FrankRuehl" w:hAnsi="FrankRuehl"/>
          <w:color w:val="000000"/>
          <w:sz w:val="28"/>
          <w:rtl w:val="true"/>
        </w:rPr>
        <w:t>, ‏</w:t>
      </w:r>
      <w:r>
        <w:rPr>
          <w:rFonts w:ascii="FrankRuehl" w:hAnsi="FrankRuehl"/>
          <w:color w:val="000000"/>
          <w:sz w:val="28"/>
          <w:sz w:val="28"/>
          <w:rtl w:val="true"/>
        </w:rPr>
        <w:t>ט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ז בכסלו התשפ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א </w:t>
      </w:r>
      <w:r>
        <w:rPr>
          <w:rFonts w:cs="FrankRuehl" w:ascii="FrankRuehl" w:hAnsi="FrankRuehl"/>
          <w:color w:val="000000"/>
          <w:sz w:val="28"/>
          <w:rtl w:val="true"/>
        </w:rPr>
        <w:t>(‏</w:t>
      </w:r>
      <w:r>
        <w:rPr>
          <w:rFonts w:cs="FrankRuehl" w:ascii="FrankRuehl" w:hAnsi="FrankRuehl"/>
          <w:color w:val="000000"/>
          <w:sz w:val="28"/>
        </w:rPr>
        <w:t>2.12.2020</w:t>
      </w:r>
      <w:r>
        <w:rPr>
          <w:rFonts w:cs="FrankRuehl" w:ascii="FrankRuehl" w:hAnsi="FrankRuehl"/>
          <w:color w:val="000000"/>
          <w:sz w:val="28"/>
          <w:rtl w:val="true"/>
        </w:rPr>
        <w:t xml:space="preserve">). </w:t>
      </w:r>
      <w:bookmarkEnd w:id="17"/>
    </w:p>
    <w:p>
      <w:pPr>
        <w:pStyle w:val="Ruller41"/>
        <w:tabs>
          <w:tab w:val="clear" w:pos="720"/>
          <w:tab w:val="left" w:pos="5226" w:leader="none"/>
        </w:tabs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20043380</w:t>
      </w:r>
      <w:r>
        <w:rPr>
          <w:sz w:val="16"/>
          <w:rtl w:val="true"/>
        </w:rPr>
        <w:t>_</w:t>
      </w:r>
      <w:r>
        <w:rPr>
          <w:sz w:val="16"/>
        </w:rPr>
        <w:t>E04.docx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עכ</w:t>
      </w:r>
      <w:r>
        <w:rPr>
          <w:rtl w:val="true"/>
        </w:rPr>
        <w:t>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6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54678313-4338/20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97" w:right="1797" w:gutter="0" w:header="567" w:top="1701" w:footer="397" w:bottom="567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4338/20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יוסף עבד אלכרים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207691" TargetMode="External"/><Relationship Id="rId3" Type="http://schemas.openxmlformats.org/officeDocument/2006/relationships/hyperlink" Target="http://www.nevo.co.il/law/75015" TargetMode="External"/><Relationship Id="rId4" Type="http://schemas.openxmlformats.org/officeDocument/2006/relationships/hyperlink" Target="http://www.nevo.co.il/law/75015/52.b.2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29" TargetMode="External"/><Relationship Id="rId8" Type="http://schemas.openxmlformats.org/officeDocument/2006/relationships/hyperlink" Target="http://www.nevo.co.il/law/70301/499.a.2" TargetMode="External"/><Relationship Id="rId9" Type="http://schemas.openxmlformats.org/officeDocument/2006/relationships/hyperlink" Target="http://www.nevo.co.il/law/141771" TargetMode="External"/><Relationship Id="rId10" Type="http://schemas.openxmlformats.org/officeDocument/2006/relationships/hyperlink" Target="http://www.nevo.co.il/law/141771/23" TargetMode="External"/><Relationship Id="rId11" Type="http://schemas.openxmlformats.org/officeDocument/2006/relationships/hyperlink" Target="http://www.nevo.co.il/law/75015/52.b.2.a" TargetMode="External"/><Relationship Id="rId12" Type="http://schemas.openxmlformats.org/officeDocument/2006/relationships/hyperlink" Target="http://www.nevo.co.il/law/75015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2" TargetMode="External"/><Relationship Id="rId16" Type="http://schemas.openxmlformats.org/officeDocument/2006/relationships/hyperlink" Target="http://www.nevo.co.il/law/75015/52.b.2.a" TargetMode="External"/><Relationship Id="rId17" Type="http://schemas.openxmlformats.org/officeDocument/2006/relationships/hyperlink" Target="http://www.nevo.co.il/law/70301/29" TargetMode="External"/><Relationship Id="rId18" Type="http://schemas.openxmlformats.org/officeDocument/2006/relationships/hyperlink" Target="http://www.nevo.co.il/law/70301/25" TargetMode="External"/><Relationship Id="rId19" Type="http://schemas.openxmlformats.org/officeDocument/2006/relationships/hyperlink" Target="http://www.nevo.co.il/law/141771/23" TargetMode="External"/><Relationship Id="rId20" Type="http://schemas.openxmlformats.org/officeDocument/2006/relationships/hyperlink" Target="http://www.nevo.co.il/law/141771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case/22524516" TargetMode="External"/><Relationship Id="rId24" Type="http://schemas.openxmlformats.org/officeDocument/2006/relationships/hyperlink" Target="http://www.nevo.co.il/case/20284449" TargetMode="External"/><Relationship Id="rId25" Type="http://schemas.openxmlformats.org/officeDocument/2006/relationships/hyperlink" Target="http://www.nevo.co.il/case/20278679" TargetMode="External"/><Relationship Id="rId26" Type="http://schemas.openxmlformats.org/officeDocument/2006/relationships/hyperlink" Target="http://supreme.court.gov.il/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2020-12-03T11:13:00Z</dcterms:created>
  <dc:creator>h4</dc:creator>
  <dc:description/>
  <cp:keywords/>
  <dc:language>en-IL</dc:language>
  <cp:lastModifiedBy>orly</cp:lastModifiedBy>
  <cp:lastPrinted>2020-12-02T17:07:00Z</cp:lastPrinted>
  <dcterms:modified xsi:type="dcterms:W3CDTF">2020-12-03T11:13:00Z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עבד אלכרים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25207691;22524516;20284449;20278679</vt:lpwstr>
  </property>
  <property fmtid="{D5CDD505-2E9C-101B-9397-08002B2CF9AE}" pid="9" name="CITY">
    <vt:lpwstr/>
  </property>
  <property fmtid="{D5CDD505-2E9C-101B-9397-08002B2CF9AE}" pid="10" name="DATE">
    <vt:lpwstr>20201202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עמית;ד' מינץ;י' אלרון</vt:lpwstr>
  </property>
  <property fmtid="{D5CDD505-2E9C-101B-9397-08002B2CF9AE}" pid="14" name="LAWLISTTMP1">
    <vt:lpwstr>75015/052.b.2.a:2</vt:lpwstr>
  </property>
  <property fmtid="{D5CDD505-2E9C-101B-9397-08002B2CF9AE}" pid="15" name="LAWLISTTMP2">
    <vt:lpwstr>70301/029:3;499.a.2;025:2</vt:lpwstr>
  </property>
  <property fmtid="{D5CDD505-2E9C-101B-9397-08002B2CF9AE}" pid="16" name="LAWLISTTMP3">
    <vt:lpwstr>141771/023</vt:lpwstr>
  </property>
  <property fmtid="{D5CDD505-2E9C-101B-9397-08002B2CF9AE}" pid="17" name="LAWYER">
    <vt:lpwstr>קרן רוט;לאה צמל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/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/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</vt:lpwstr>
  </property>
  <property fmtid="{D5CDD505-2E9C-101B-9397-08002B2CF9AE}" pid="50" name="NOSE31">
    <vt:lpwstr>ניכוי ימי מעצר</vt:lpwstr>
  </property>
  <property fmtid="{D5CDD505-2E9C-101B-9397-08002B2CF9AE}" pid="51" name="NOSE310">
    <vt:lpwstr/>
  </property>
  <property fmtid="{D5CDD505-2E9C-101B-9397-08002B2CF9AE}" pid="52" name="NOSE32">
    <vt:lpwstr/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16105</vt:lpwstr>
  </property>
  <property fmtid="{D5CDD505-2E9C-101B-9397-08002B2CF9AE}" pid="61" name="PADIDATE">
    <vt:lpwstr>20201203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4338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410120201202</vt:lpwstr>
  </property>
  <property fmtid="{D5CDD505-2E9C-101B-9397-08002B2CF9AE}" pid="71" name="TYPE_N_DATE">
    <vt:lpwstr>41020201202</vt:lpwstr>
  </property>
  <property fmtid="{D5CDD505-2E9C-101B-9397-08002B2CF9AE}" pid="72" name="VOLUME">
    <vt:lpwstr/>
  </property>
  <property fmtid="{D5CDD505-2E9C-101B-9397-08002B2CF9AE}" pid="73" name="WORDNUMPAGES">
    <vt:lpwstr>6</vt:lpwstr>
  </property>
</Properties>
</file>