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4345/18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חמודא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8"/>
          <w:szCs w:val="14"/>
        </w:rPr>
      </w:pPr>
      <w:r>
        <w:rPr>
          <w:sz w:val="8"/>
          <w:szCs w:val="14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בל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41855-07-16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7.11.18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ועדיין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ובסיכויי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ותחמושת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בהדרגה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תואמת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ועדיין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ובסיכויי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שישתקם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המוטיבציה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להשתקם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מהתמכרות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השתלבות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מוצלחת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אינדיקציות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החשיבה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אמפתיה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ולהעמידו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26.4.2018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41855-07-16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16.7.16</w:t>
      </w:r>
      <w:r>
        <w:rPr>
          <w:rtl w:val="true"/>
        </w:rPr>
        <w:t xml:space="preserve">, </w:t>
      </w:r>
      <w:r>
        <w:rPr>
          <w:rtl w:val="true"/>
        </w:rPr>
        <w:t xml:space="preserve">מצא המערער נשק מאולתר מסוג </w:t>
      </w:r>
      <w:r>
        <w:rPr>
          <w:rtl w:val="true"/>
        </w:rPr>
        <w:t>"</w:t>
      </w:r>
      <w:r>
        <w:rPr>
          <w:rtl w:val="true"/>
        </w:rPr>
        <w:t>קרל גוסטב</w:t>
      </w:r>
      <w:r>
        <w:rPr>
          <w:rtl w:val="true"/>
        </w:rPr>
        <w:t xml:space="preserve">", </w:t>
      </w:r>
      <w:r>
        <w:rPr>
          <w:rtl w:val="true"/>
        </w:rPr>
        <w:t>טעון במחסנית מלאה בעשרה כדורים תואמים</w:t>
      </w:r>
      <w:r>
        <w:rPr>
          <w:rtl w:val="true"/>
        </w:rPr>
        <w:t xml:space="preserve">. </w:t>
      </w:r>
      <w:r>
        <w:rPr>
          <w:rtl w:val="true"/>
        </w:rPr>
        <w:t>באותו היום</w:t>
      </w:r>
      <w:r>
        <w:rPr>
          <w:rtl w:val="true"/>
        </w:rPr>
        <w:t xml:space="preserve">, </w:t>
      </w:r>
      <w:r>
        <w:rPr>
          <w:rtl w:val="true"/>
        </w:rPr>
        <w:t>זמן קצר לאחר מכן</w:t>
      </w:r>
      <w:r>
        <w:rPr>
          <w:rtl w:val="true"/>
        </w:rPr>
        <w:t xml:space="preserve">, </w:t>
      </w:r>
      <w:r>
        <w:rPr>
          <w:rtl w:val="true"/>
        </w:rPr>
        <w:t>נשא הנאשם את הנשק הטעון והובילו בתא הכפפות ברכבו בעיר לוד</w:t>
      </w:r>
      <w:r>
        <w:rPr>
          <w:rtl w:val="true"/>
        </w:rPr>
        <w:t xml:space="preserve">, </w:t>
      </w:r>
      <w:r>
        <w:rPr>
          <w:rtl w:val="true"/>
        </w:rPr>
        <w:t>כאשר הוא נוהג את רכבו במהירות ובחוסר זהירות</w:t>
      </w:r>
      <w:r>
        <w:rPr>
          <w:rtl w:val="true"/>
        </w:rPr>
        <w:t xml:space="preserve">. </w:t>
      </w:r>
      <w:r>
        <w:rPr>
          <w:rtl w:val="true"/>
        </w:rPr>
        <w:t>שני שוטרים אשר הבחינו בנהיגת הנאשם</w:t>
      </w:r>
      <w:r>
        <w:rPr>
          <w:rtl w:val="true"/>
        </w:rPr>
        <w:t xml:space="preserve">, </w:t>
      </w:r>
      <w:r>
        <w:rPr>
          <w:rtl w:val="true"/>
        </w:rPr>
        <w:t>כרזו לו לעצור את רכבו בצד הדרך</w:t>
      </w:r>
      <w:r>
        <w:rPr>
          <w:rtl w:val="true"/>
        </w:rPr>
        <w:t xml:space="preserve">, </w:t>
      </w:r>
      <w:r>
        <w:rPr>
          <w:rtl w:val="true"/>
        </w:rPr>
        <w:t>ובנסיבות אלה נתפס הנשק הטעון בתא הכפפות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שהיה 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בעת המעשה</w:t>
      </w:r>
      <w:r>
        <w:rPr>
          <w:rtl w:val="true"/>
        </w:rPr>
        <w:t xml:space="preserve">, </w:t>
      </w:r>
      <w:r>
        <w:rPr>
          <w:rtl w:val="true"/>
        </w:rPr>
        <w:t>נשלח לקבלת תסקיר שירות המבחן כמתחייב מגילו הצעיר</w:t>
      </w:r>
      <w:r>
        <w:rPr>
          <w:rtl w:val="true"/>
        </w:rPr>
        <w:t xml:space="preserve">. </w:t>
      </w:r>
      <w:r>
        <w:rPr>
          <w:rtl w:val="true"/>
        </w:rPr>
        <w:t xml:space="preserve">ממצאי התסקיר מיום </w:t>
      </w:r>
      <w:r>
        <w:rPr/>
        <w:t>7.9.2017</w:t>
      </w:r>
      <w:r>
        <w:rPr>
          <w:rtl w:val="true"/>
        </w:rPr>
        <w:t xml:space="preserve"> </w:t>
      </w:r>
      <w:r>
        <w:rPr>
          <w:rtl w:val="true"/>
        </w:rPr>
        <w:t>העלו כי מדובר ברווק צעיר המתגורר עם משפחתו ברמלה</w:t>
      </w:r>
      <w:r>
        <w:rPr>
          <w:rtl w:val="true"/>
        </w:rPr>
        <w:t xml:space="preserve">, </w:t>
      </w:r>
      <w:r>
        <w:rPr>
          <w:rtl w:val="true"/>
        </w:rPr>
        <w:t>והוא נעדר עבר פלילי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השתלב בשוק העבודה לאחר שסיים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והוא עובד עם אחיו בעסק משפחתי בתחום עבודות העפר</w:t>
      </w:r>
      <w:r>
        <w:rPr>
          <w:rtl w:val="true"/>
        </w:rPr>
        <w:t xml:space="preserve">, </w:t>
      </w:r>
      <w:r>
        <w:rPr>
          <w:rtl w:val="true"/>
        </w:rPr>
        <w:t>כמפעיל טרקטור</w:t>
      </w:r>
      <w:r>
        <w:rPr>
          <w:rtl w:val="true"/>
        </w:rPr>
        <w:t xml:space="preserve">. </w:t>
      </w:r>
      <w:r>
        <w:rPr>
          <w:rtl w:val="true"/>
        </w:rPr>
        <w:t>המערער מסר כי הוא מקיים קשר קרוב עם הוריו ואחיו</w:t>
      </w:r>
      <w:r>
        <w:rPr>
          <w:rtl w:val="true"/>
        </w:rPr>
        <w:t xml:space="preserve">, </w:t>
      </w:r>
      <w:r>
        <w:rPr>
          <w:rtl w:val="true"/>
        </w:rPr>
        <w:t>וכי גדל במשפחה נורמטיבית</w:t>
      </w:r>
      <w:r>
        <w:rPr>
          <w:rtl w:val="true"/>
        </w:rPr>
        <w:t xml:space="preserve">. </w:t>
      </w:r>
      <w:r>
        <w:rPr>
          <w:rtl w:val="true"/>
        </w:rPr>
        <w:t>בתסקיר צוין כי מדובר בגבר בעל קווי אישיות בלתי בשלים והתנהגות מוחצנת ופורצת גבולות</w:t>
      </w:r>
      <w:r>
        <w:rPr>
          <w:rtl w:val="true"/>
        </w:rPr>
        <w:t xml:space="preserve">. </w:t>
      </w:r>
      <w:r>
        <w:rPr>
          <w:rtl w:val="true"/>
        </w:rPr>
        <w:t>הוא שולב בתהליך טיפולי קבוצתי</w:t>
      </w:r>
      <w:r>
        <w:rPr>
          <w:rtl w:val="true"/>
        </w:rPr>
        <w:t xml:space="preserve">, </w:t>
      </w:r>
      <w:r>
        <w:rPr>
          <w:rtl w:val="true"/>
        </w:rPr>
        <w:t>שיתף פעולה</w:t>
      </w:r>
      <w:r>
        <w:rPr>
          <w:rtl w:val="true"/>
        </w:rPr>
        <w:t xml:space="preserve">, </w:t>
      </w:r>
      <w:r>
        <w:rPr>
          <w:rtl w:val="true"/>
        </w:rPr>
        <w:t>התמיד להגיע למפגשים והתייחס באופן ראשוני לעובדה כי טרם מעצרו נהג להתרועע עם חברה שולית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התנהלותו השולית קשורה לגילו הצעיר</w:t>
      </w:r>
      <w:r>
        <w:rPr>
          <w:rtl w:val="true"/>
        </w:rPr>
        <w:t xml:space="preserve">. </w:t>
      </w:r>
      <w:r>
        <w:rPr>
          <w:rtl w:val="true"/>
        </w:rPr>
        <w:t>אשר לעבירות בהן הואשם</w:t>
      </w:r>
      <w:r>
        <w:rPr>
          <w:rtl w:val="true"/>
        </w:rPr>
        <w:t xml:space="preserve">, </w:t>
      </w:r>
      <w:r>
        <w:rPr>
          <w:rtl w:val="true"/>
        </w:rPr>
        <w:t>בעת ביצוע התסקיר הודה המערער כי נשא את הנשק ונהג בקלות ראש</w:t>
      </w:r>
      <w:r>
        <w:rPr>
          <w:rtl w:val="true"/>
        </w:rPr>
        <w:t xml:space="preserve">. </w:t>
      </w:r>
      <w:r>
        <w:rPr>
          <w:rtl w:val="true"/>
        </w:rPr>
        <w:t>המערער תיאר כי מצא את הנשק בסמוך למקום מגוריו</w:t>
      </w:r>
      <w:r>
        <w:rPr>
          <w:rtl w:val="true"/>
        </w:rPr>
        <w:t xml:space="preserve">, </w:t>
      </w:r>
      <w:r>
        <w:rPr>
          <w:rtl w:val="true"/>
        </w:rPr>
        <w:t>לקח אותו</w:t>
      </w:r>
      <w:r>
        <w:rPr>
          <w:rtl w:val="true"/>
        </w:rPr>
        <w:t xml:space="preserve">, </w:t>
      </w:r>
      <w:r>
        <w:rPr>
          <w:rtl w:val="true"/>
        </w:rPr>
        <w:t>החביאו בתא הכפפות</w:t>
      </w:r>
      <w:r>
        <w:rPr>
          <w:rtl w:val="true"/>
        </w:rPr>
        <w:t xml:space="preserve">, </w:t>
      </w:r>
      <w:r>
        <w:rPr>
          <w:rtl w:val="true"/>
        </w:rPr>
        <w:t>ואז שכח ממנו</w:t>
      </w:r>
      <w:r>
        <w:rPr>
          <w:rtl w:val="true"/>
        </w:rPr>
        <w:t xml:space="preserve">. </w:t>
      </w:r>
      <w:r>
        <w:rPr>
          <w:rtl w:val="true"/>
        </w:rPr>
        <w:t>המערער שלל מעורבות פלילית או עיסוק בנשק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הוא מבין כי מדובר בעבירות חמורות</w:t>
      </w:r>
      <w:r>
        <w:rPr>
          <w:rtl w:val="true"/>
        </w:rPr>
        <w:t xml:space="preserve">. </w:t>
      </w:r>
      <w:r>
        <w:rPr>
          <w:rtl w:val="true"/>
        </w:rPr>
        <w:t>ניסיונות להבין את הרקע לביצוע העבירות</w:t>
      </w:r>
      <w:r>
        <w:rPr>
          <w:rtl w:val="true"/>
        </w:rPr>
        <w:t xml:space="preserve">, </w:t>
      </w:r>
      <w:r>
        <w:rPr>
          <w:rtl w:val="true"/>
        </w:rPr>
        <w:t>לא צלחו</w:t>
      </w:r>
      <w:r>
        <w:rPr>
          <w:rtl w:val="true"/>
        </w:rPr>
        <w:t xml:space="preserve">. </w:t>
      </w:r>
      <w:r>
        <w:rPr>
          <w:rtl w:val="true"/>
        </w:rPr>
        <w:t>עוד העריך שירות המבחן כי המערער מתקשה לעמוד בלחצים חברתיים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מתקשה לבחון באופן מעמיק וביקורתי את התנהגותו ואינו מצליח להתייחס לנסיבות ביצוע העבירה</w:t>
      </w:r>
      <w:r>
        <w:rPr>
          <w:rtl w:val="true"/>
        </w:rPr>
        <w:t xml:space="preserve">. </w:t>
      </w:r>
      <w:r>
        <w:rPr>
          <w:rtl w:val="true"/>
        </w:rPr>
        <w:t>לגבי סיכויי השיקום</w:t>
      </w:r>
      <w:r>
        <w:rPr>
          <w:rtl w:val="true"/>
        </w:rPr>
        <w:t xml:space="preserve">, </w:t>
      </w:r>
      <w:r>
        <w:rPr>
          <w:rtl w:val="true"/>
        </w:rPr>
        <w:t>התחשב שירות המבחן בהיעדרו של עבר פלילי ובתפקודו היציב של המערער בתחום התעסוקתי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העריך שירות המבחן כי אין תועלת בהמשך קשר טיפולי</w:t>
      </w:r>
      <w:r>
        <w:rPr>
          <w:rtl w:val="true"/>
        </w:rPr>
        <w:t xml:space="preserve">, </w:t>
      </w:r>
      <w:r>
        <w:rPr>
          <w:rtl w:val="true"/>
        </w:rPr>
        <w:t>ולכן לא ניתנה המלצה שיקומית בעניינו</w:t>
      </w:r>
      <w:r>
        <w:rPr>
          <w:rtl w:val="true"/>
        </w:rPr>
        <w:t xml:space="preserve">. </w:t>
      </w:r>
      <w:r>
        <w:rPr>
          <w:rtl w:val="true"/>
        </w:rPr>
        <w:t>עוד צוין כי יש להטיל ענישה קונקרטית על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לבקשת ההגנה</w:t>
      </w:r>
      <w:r>
        <w:rPr>
          <w:rtl w:val="true"/>
        </w:rPr>
        <w:t xml:space="preserve">, </w:t>
      </w:r>
      <w:r>
        <w:rPr>
          <w:rtl w:val="true"/>
        </w:rPr>
        <w:t xml:space="preserve">נשלח המערער לקבלת תסקיר משלים שהוגש לתיק בית המשפט בסוף דצמבר </w:t>
      </w:r>
      <w:r>
        <w:rPr/>
        <w:t>2017</w:t>
      </w:r>
      <w:r>
        <w:rPr>
          <w:rtl w:val="true"/>
        </w:rPr>
        <w:t xml:space="preserve">. </w:t>
      </w:r>
      <w:r>
        <w:rPr>
          <w:rtl w:val="true"/>
        </w:rPr>
        <w:t>תסקיר זה העלה כי המערער מתמיד בעבודתו</w:t>
      </w:r>
      <w:r>
        <w:rPr>
          <w:rtl w:val="true"/>
        </w:rPr>
        <w:t xml:space="preserve">, </w:t>
      </w:r>
      <w:r>
        <w:rPr>
          <w:rtl w:val="true"/>
        </w:rPr>
        <w:t>וטרוד מהעונש הצפוי לו</w:t>
      </w:r>
      <w:r>
        <w:rPr>
          <w:rtl w:val="true"/>
        </w:rPr>
        <w:t xml:space="preserve">. </w:t>
      </w:r>
      <w:r>
        <w:rPr>
          <w:rtl w:val="true"/>
        </w:rPr>
        <w:t>המערער קיבל אחריות על ביצוע העבירה</w:t>
      </w:r>
      <w:r>
        <w:rPr>
          <w:rtl w:val="true"/>
        </w:rPr>
        <w:t xml:space="preserve">, </w:t>
      </w:r>
      <w:r>
        <w:rPr>
          <w:rtl w:val="true"/>
        </w:rPr>
        <w:t>והצליח להתייחס באופן ראשוני לבעייתיות שבהתנהלותו בעת ביצוע העבירה</w:t>
      </w:r>
      <w:r>
        <w:rPr>
          <w:rtl w:val="true"/>
        </w:rPr>
        <w:t xml:space="preserve">. </w:t>
      </w:r>
      <w:r>
        <w:rPr>
          <w:rtl w:val="true"/>
        </w:rPr>
        <w:t>הנאשם הביע נכונות ראשונית ורצון להשתלב בטיפול קבוצתי במסגרת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והומלץ בתסקיר לשקול בחיוב את האפיק השיקומי ולדחות את הדיון בעניינו של המערער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הדיון אכן נדחה</w:t>
      </w:r>
      <w:r>
        <w:rPr>
          <w:rtl w:val="true"/>
        </w:rPr>
        <w:t xml:space="preserve">, </w:t>
      </w:r>
      <w:r>
        <w:rPr>
          <w:rtl w:val="true"/>
        </w:rPr>
        <w:t xml:space="preserve">ותסקיר משלים התקבל ביום </w:t>
      </w:r>
      <w:r>
        <w:rPr/>
        <w:t>19.3.2018</w:t>
      </w:r>
      <w:r>
        <w:rPr>
          <w:rtl w:val="true"/>
        </w:rPr>
        <w:t xml:space="preserve">. </w:t>
      </w:r>
      <w:r>
        <w:rPr>
          <w:rtl w:val="true"/>
        </w:rPr>
        <w:t>בתסקיר צוין כי בתקופת הדחייה השתלב המערער בקבוצה לצעירים</w:t>
      </w:r>
      <w:r>
        <w:rPr>
          <w:rtl w:val="true"/>
        </w:rPr>
        <w:t xml:space="preserve">, </w:t>
      </w:r>
      <w:r>
        <w:rPr>
          <w:rtl w:val="true"/>
        </w:rPr>
        <w:t>הגיע למפגשים הקבוצתיים ברציפות ולקח בהם חלק פעיל</w:t>
      </w:r>
      <w:r>
        <w:rPr>
          <w:rtl w:val="true"/>
        </w:rPr>
        <w:t xml:space="preserve">. </w:t>
      </w:r>
      <w:r>
        <w:rPr>
          <w:rtl w:val="true"/>
        </w:rPr>
        <w:t>להתרשמות שירות המבחן</w:t>
      </w:r>
      <w:r>
        <w:rPr>
          <w:rtl w:val="true"/>
        </w:rPr>
        <w:t xml:space="preserve">, </w:t>
      </w:r>
      <w:r>
        <w:rPr>
          <w:rtl w:val="true"/>
        </w:rPr>
        <w:t>טיפול קבוצתי עשוי לחזק אצל הנאשם התנהגות בוגרת ואחראית</w:t>
      </w:r>
      <w:r>
        <w:rPr>
          <w:rtl w:val="true"/>
        </w:rPr>
        <w:t xml:space="preserve">. </w:t>
      </w:r>
      <w:r>
        <w:rPr>
          <w:rtl w:val="true"/>
        </w:rPr>
        <w:t>עוד צוין כי המערער הביע חרטה על מעשיו</w:t>
      </w:r>
      <w:r>
        <w:rPr>
          <w:rtl w:val="true"/>
        </w:rPr>
        <w:t xml:space="preserve">, </w:t>
      </w:r>
      <w:r>
        <w:rPr>
          <w:rtl w:val="true"/>
        </w:rPr>
        <w:t>וניכר כי ההליך המשפטי מהווה עבורו גורם מרתיע ומנוף לשינוי ראשוני</w:t>
      </w:r>
      <w:r>
        <w:rPr>
          <w:rtl w:val="true"/>
        </w:rPr>
        <w:t xml:space="preserve">. </w:t>
      </w:r>
      <w:r>
        <w:rPr>
          <w:rtl w:val="true"/>
        </w:rPr>
        <w:t>שירות המבחן ציין כי יתכן ובמקרה זה קיים מקום לענישה שיקומית</w:t>
      </w:r>
      <w:r>
        <w:rPr>
          <w:rtl w:val="true"/>
        </w:rPr>
        <w:t xml:space="preserve">, </w:t>
      </w:r>
      <w:r>
        <w:rPr>
          <w:rtl w:val="true"/>
        </w:rPr>
        <w:t>במיוחד לנוכח ההערכה כי הנאשם טרם גיבש מאפיינים עברייניים מובהקים</w:t>
      </w:r>
      <w:r>
        <w:rPr>
          <w:rtl w:val="true"/>
        </w:rPr>
        <w:t xml:space="preserve">. </w:t>
      </w:r>
      <w:r>
        <w:rPr>
          <w:rtl w:val="true"/>
        </w:rPr>
        <w:t>בסיום התסקיר</w:t>
      </w:r>
      <w:r>
        <w:rPr>
          <w:rtl w:val="true"/>
        </w:rPr>
        <w:t xml:space="preserve">, </w:t>
      </w:r>
      <w:r>
        <w:rPr>
          <w:rtl w:val="true"/>
        </w:rPr>
        <w:t>שירות המבחן הגיש המלצה לצו מבחן למשך שנה וחצי</w:t>
      </w:r>
      <w:r>
        <w:rPr>
          <w:rtl w:val="true"/>
        </w:rPr>
        <w:t xml:space="preserve">, </w:t>
      </w:r>
      <w:r>
        <w:rPr>
          <w:rtl w:val="true"/>
        </w:rPr>
        <w:t>לצד הטלת מאסר שיוכל לרצות בעבודות שירות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21.6.2017</w:t>
      </w:r>
      <w:r>
        <w:rPr>
          <w:rtl w:val="true"/>
        </w:rPr>
        <w:t xml:space="preserve"> </w:t>
      </w:r>
      <w:r>
        <w:rPr>
          <w:rtl w:val="true"/>
        </w:rPr>
        <w:t>הגיעו הצדדים להסדר טיעון</w:t>
      </w:r>
      <w:r>
        <w:rPr>
          <w:rtl w:val="true"/>
        </w:rPr>
        <w:t xml:space="preserve">, </w:t>
      </w:r>
      <w:r>
        <w:rPr>
          <w:rtl w:val="true"/>
        </w:rPr>
        <w:t>ניתנה הכרעת הדין בעניינו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והוא הורשע בעבירות נשיאת נשק ותחמושת 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ובנהיגה בקלות ראש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26.4.2018</w:t>
      </w:r>
      <w:r>
        <w:rPr>
          <w:rtl w:val="true"/>
        </w:rPr>
        <w:t xml:space="preserve"> </w:t>
      </w:r>
      <w:r>
        <w:rPr>
          <w:rtl w:val="true"/>
        </w:rPr>
        <w:t>גזר בית המשפט קמא את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דינו התייחס בית המשפט קמא לפגיעת המערער בשלום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וכן התייחס לכך שעבירות הנשק הפכו לתופעה עבריינית מדאיגה 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 בית המשפט קמא כי המערער החזיק ברכבו כלי התקפי טעון</w:t>
      </w:r>
      <w:r>
        <w:rPr>
          <w:rtl w:val="true"/>
        </w:rPr>
        <w:t xml:space="preserve">, </w:t>
      </w:r>
      <w:r>
        <w:rPr>
          <w:rtl w:val="true"/>
        </w:rPr>
        <w:t>המצוי במעלה סולם החומרה במובן של פוטנציאל הסיכון הטמון בו</w:t>
      </w:r>
      <w:r>
        <w:rPr>
          <w:rtl w:val="true"/>
        </w:rPr>
        <w:t xml:space="preserve">. </w:t>
      </w:r>
      <w:r>
        <w:rPr>
          <w:rtl w:val="true"/>
        </w:rPr>
        <w:t>עוד ציין בית המשפט קמא כי מדיניותו של בית משפט זה קוראת להחמרה בענישה של כל המעורבים בפעילות פלילית בנשק</w:t>
      </w:r>
      <w:r>
        <w:rPr>
          <w:rtl w:val="true"/>
        </w:rPr>
        <w:t xml:space="preserve">, </w:t>
      </w:r>
      <w:r>
        <w:rPr>
          <w:rtl w:val="true"/>
        </w:rPr>
        <w:t>אם כי בהדרגה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קמא כי מתחם העונש יעמוד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קמא ציין בגזר דינו כי המערער נעדר עבר פלילי</w:t>
      </w:r>
      <w:r>
        <w:rPr>
          <w:rtl w:val="true"/>
        </w:rPr>
        <w:t xml:space="preserve">, </w:t>
      </w:r>
      <w:r>
        <w:rPr>
          <w:rtl w:val="true"/>
        </w:rPr>
        <w:t>לקח אחריות על מעשיו בפני בית המשפט וחסך בזמן שיפוטי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הרקע לביצוע העבירות לוט בערפל עד היום</w:t>
      </w:r>
      <w:r>
        <w:rPr>
          <w:rtl w:val="true"/>
        </w:rPr>
        <w:t xml:space="preserve">. </w:t>
      </w:r>
      <w:r>
        <w:rPr>
          <w:rtl w:val="true"/>
        </w:rPr>
        <w:t>הנאשם הוא אדם צעיר אשר מוכיח יציבות תעסוקתית ושיתף פעולה עם שירות המבחן</w:t>
      </w:r>
      <w:r>
        <w:rPr>
          <w:rtl w:val="true"/>
        </w:rPr>
        <w:t xml:space="preserve">. </w:t>
      </w:r>
      <w:r>
        <w:rPr>
          <w:rtl w:val="true"/>
        </w:rPr>
        <w:t>עוד ציין בית המשפט קמא כי הנאשם חושש משליחתו אל מאחורי סורג ובריח</w:t>
      </w:r>
      <w:r>
        <w:rPr>
          <w:rtl w:val="true"/>
        </w:rPr>
        <w:t xml:space="preserve">, </w:t>
      </w:r>
      <w:r>
        <w:rPr>
          <w:rtl w:val="true"/>
        </w:rPr>
        <w:t>שכן ברור לו כי תהיה לכך השלכה על משפחתו ועל חייו כאדם צעיר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יש להעמיד את עונש המאסר בפועל ברף התחתון של מתחם הענישה</w:t>
      </w:r>
      <w:r>
        <w:rPr>
          <w:rtl w:val="true"/>
        </w:rPr>
        <w:t xml:space="preserve">, </w:t>
      </w:r>
      <w:r>
        <w:rPr>
          <w:rtl w:val="true"/>
        </w:rPr>
        <w:t xml:space="preserve">דהיינו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מאסר על תנאי</w:t>
      </w:r>
      <w:r>
        <w:rPr>
          <w:rtl w:val="true"/>
        </w:rPr>
        <w:t xml:space="preserve">, </w:t>
      </w:r>
      <w:r>
        <w:rPr>
          <w:rtl w:val="true"/>
        </w:rPr>
        <w:t>פסילת רישיון נהיגה בפועל לתקופה ממשית וקנס</w:t>
      </w:r>
      <w:r>
        <w:rPr>
          <w:rtl w:val="true"/>
        </w:rPr>
        <w:t xml:space="preserve">, </w:t>
      </w:r>
      <w:r>
        <w:rPr>
          <w:rtl w:val="true"/>
        </w:rPr>
        <w:t>הכל כמפורט בפתיח פסק דין 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טוען כי העונש שהוטל עליו חמור ביותר וחורג ממתחמי הענישה המקובלים בעבירות מסוג זה</w:t>
      </w:r>
      <w:r>
        <w:rPr>
          <w:rtl w:val="true"/>
        </w:rPr>
        <w:t xml:space="preserve">. </w:t>
      </w:r>
      <w:r>
        <w:rPr>
          <w:rtl w:val="true"/>
        </w:rPr>
        <w:t>עוד טוען המערער כי שגה בית המשפט קמא בכך שגזר עליו עונש מאסר בפועל</w:t>
      </w:r>
      <w:r>
        <w:rPr>
          <w:rtl w:val="true"/>
        </w:rPr>
        <w:t xml:space="preserve">, </w:t>
      </w:r>
      <w:r>
        <w:rPr>
          <w:rtl w:val="true"/>
        </w:rPr>
        <w:t>ולא קיבל את המלצות שירות המבחן ללא כל נימוק המצדיק זאת</w:t>
      </w:r>
      <w:r>
        <w:rPr>
          <w:rtl w:val="true"/>
        </w:rPr>
        <w:t xml:space="preserve">. </w:t>
      </w:r>
      <w:r>
        <w:rPr>
          <w:rtl w:val="true"/>
        </w:rPr>
        <w:t>כן טוען המערער כי טעה בית המשפט שלא התחשב בכך שהוא צעיר ונעדר עבר פלילי</w:t>
      </w:r>
      <w:r>
        <w:rPr>
          <w:rtl w:val="true"/>
        </w:rPr>
        <w:t xml:space="preserve">, </w:t>
      </w:r>
      <w:r>
        <w:rPr>
          <w:rtl w:val="true"/>
        </w:rPr>
        <w:t>אשר שליחתו למאסר עשויה לדרדרו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טוען המערער כי בית המשפט קמא לא התחשב בהליך הטיפולי הארוך שעבר</w:t>
      </w:r>
      <w:r>
        <w:rPr>
          <w:rtl w:val="true"/>
        </w:rPr>
        <w:t xml:space="preserve">, </w:t>
      </w:r>
      <w:r>
        <w:rPr>
          <w:rtl w:val="true"/>
        </w:rPr>
        <w:t>בשיתוף הפעולה עם שירות המבחן ובכך שהודה בהזדמנות הראשונה ונטל אחריות על מעשיו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עבירת נשיאת הנשק בה הורשע המערער היא עבירה חמורה</w:t>
      </w:r>
      <w:r>
        <w:rPr>
          <w:rtl w:val="true"/>
        </w:rPr>
        <w:t xml:space="preserve">, </w:t>
      </w:r>
      <w:r>
        <w:rPr>
          <w:rtl w:val="true"/>
        </w:rPr>
        <w:t>ורמת הענישה שראוי לקבוע בגינה צריכה להיות מחמירה</w:t>
      </w:r>
      <w:r>
        <w:rPr>
          <w:rtl w:val="true"/>
        </w:rPr>
        <w:t xml:space="preserve">. </w:t>
      </w:r>
      <w:r>
        <w:rPr>
          <w:rtl w:val="true"/>
        </w:rPr>
        <w:t>עמד על כך בית משפט זה בציינו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tl w:val="true"/>
        </w:rPr>
        <w:t>התגלגלותם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Fonts w:ascii="David;Times New Roman" w:hAnsi="David;Times New Roman" w:cs="David;Times New Roman"/>
          <w:color w:val="000000"/>
          <w:sz w:val="28"/>
          <w:sz w:val="28"/>
          <w:rtl w:val="true"/>
        </w:rPr>
        <w:t>ב</w:t>
      </w:r>
      <w:hyperlink r:id="rId20">
        <w:r>
          <w:rPr>
            <w:rStyle w:val="Hyperlink"/>
            <w:rFonts w:ascii="David;Times New Roman" w:hAnsi="David;Times New Roman" w:cs="David;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sz w:val="28"/>
            <w:u w:val="single"/>
          </w:rPr>
          <w:t>2892/13</w:t>
        </w:r>
      </w:hyperlink>
      <w:r>
        <w:rPr>
          <w:rFonts w:cs="David;Times New Roman" w:ascii="David;Times New Roman" w:hAnsi="David;Times New Roman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עודתאללה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David;Times New Roman" w:hAnsi="David;Times New Roman" w:cs="David;Times New Roman"/>
          <w:color w:val="000000"/>
          <w:sz w:val="28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;Times New Roman" w:ascii="David;Times New Roman" w:hAnsi="David;Times New Roman"/>
          <w:color w:val="000000"/>
          <w:sz w:val="28"/>
          <w:rtl w:val="true"/>
        </w:rPr>
        <w:t>(</w:t>
      </w:r>
      <w:r>
        <w:rPr>
          <w:rFonts w:cs="David;Times New Roman" w:ascii="David;Times New Roman" w:hAnsi="David;Times New Roman"/>
          <w:color w:val="000000"/>
          <w:sz w:val="28"/>
        </w:rPr>
        <w:t>29.9.2013</w:t>
      </w:r>
      <w:r>
        <w:rPr>
          <w:rFonts w:cs="David;Times New Roman" w:ascii="David;Times New Roman" w:hAnsi="David;Times New Roman"/>
          <w:color w:val="000000"/>
          <w:sz w:val="28"/>
          <w:rtl w:val="true"/>
        </w:rPr>
        <w:t>) (</w:t>
      </w:r>
      <w:r>
        <w:rPr>
          <w:rFonts w:ascii="David;Times New Roman" w:hAnsi="David;Times New Roman" w:cs="David;Times New Roman"/>
          <w:color w:val="000000"/>
          <w:sz w:val="28"/>
          <w:sz w:val="28"/>
          <w:rtl w:val="true"/>
        </w:rPr>
        <w:t>אותו הזכיר גם בית המשפט קמא</w:t>
      </w:r>
      <w:r>
        <w:rPr>
          <w:rFonts w:cs="David;Times New Roman" w:ascii="David;Times New Roman" w:hAnsi="David;Times New Roman"/>
          <w:color w:val="000000"/>
          <w:sz w:val="28"/>
          <w:rtl w:val="true"/>
        </w:rPr>
        <w:t>),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כשהבחין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בחסימה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David;Times New Roman" w:ascii="David;Times New Roman" w:hAnsi="David;Times New Roman"/>
          <w:szCs w:val="22"/>
          <w:rtl w:val="true"/>
        </w:rPr>
        <w:t xml:space="preserve">; </w:t>
      </w:r>
      <w:bookmarkStart w:id="18" w:name="Text1"/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b/>
          <w:b/>
          <w:color w:val="000000"/>
          <w:sz w:val="28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25.10.10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FrankRuehl" w:ascii="FrankRuehl" w:hAnsi="FrankRuehl"/>
          <w:b/>
          <w:color w:val="000000"/>
          <w:sz w:val="28"/>
          <w:rtl w:val="true"/>
        </w:rPr>
        <w:t xml:space="preserve"> </w:t>
      </w:r>
      <w:r>
        <w:rPr>
          <w:rFonts w:ascii="FrankRuehl" w:hAnsi="FrankRuehl"/>
          <w:b/>
          <w:b/>
          <w:color w:val="000000"/>
          <w:sz w:val="28"/>
          <w:sz w:val="28"/>
          <w:rtl w:val="true"/>
        </w:rPr>
        <w:t>נמצא המערער</w:t>
      </w:r>
      <w:r>
        <w:rPr>
          <w:rFonts w:cs="FrankRuehl" w:ascii="FrankRuehl" w:hAnsi="FrankRuehl"/>
          <w:b/>
          <w:color w:val="000000"/>
          <w:sz w:val="28"/>
          <w:rtl w:val="true"/>
        </w:rPr>
        <w:t xml:space="preserve">,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סטודנט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</w:t>
      </w:r>
      <w:hyperlink r:id="rId22">
        <w:r>
          <w:rPr>
            <w:rStyle w:val="Hyperlink"/>
            <w:rFonts w:ascii="Arimo;Times New Roman" w:hAnsi="Arimo;Times New Roman" w:cs="Arimo;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sz w:val="28"/>
            <w:u w:val="single"/>
          </w:rPr>
          <w:t>9702/16</w:t>
        </w:r>
      </w:hyperlink>
      <w:r>
        <w:rPr>
          <w:rFonts w:cs="Arimo;Times New Roman" w:ascii="Arimo;Times New Roman" w:hAnsi="Arimo;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אלוליאיה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Arimo;Times New Roman" w:hAnsi="Arimo;Times New Roman" w:cs="Arimo;Times New Roman"/>
          <w:sz w:val="28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Arimo;Times New Roman" w:ascii="Arimo;Times New Roman" w:hAnsi="Arimo;Times New Roman"/>
          <w:sz w:val="28"/>
          <w:rtl w:val="true"/>
        </w:rPr>
        <w:t>(</w:t>
      </w:r>
      <w:r>
        <w:rPr>
          <w:rFonts w:cs="Arimo;Times New Roman" w:ascii="Arimo;Times New Roman" w:hAnsi="Arimo;Times New Roman"/>
          <w:sz w:val="28"/>
        </w:rPr>
        <w:t>13</w:t>
      </w:r>
      <w:r>
        <w:rPr>
          <w:rFonts w:cs="Arimo;Times New Roman" w:ascii="Arimo;Times New Roman" w:hAnsi="Arimo;Times New Roman"/>
          <w:sz w:val="28"/>
        </w:rPr>
        <w:t>.</w:t>
      </w:r>
      <w:r>
        <w:rPr>
          <w:rFonts w:cs="Arimo;Times New Roman" w:ascii="Arimo;Times New Roman" w:hAnsi="Arimo;Times New Roman"/>
          <w:sz w:val="28"/>
        </w:rPr>
        <w:t>9.2017</w:t>
      </w:r>
      <w:r>
        <w:rPr>
          <w:rFonts w:cs="Arimo;Times New Roman" w:ascii="Arimo;Times New Roman" w:hAnsi="Arimo;Times New Roman"/>
          <w:sz w:val="28"/>
          <w:rtl w:val="true"/>
        </w:rPr>
        <w:t>)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הבחין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סקרנותו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בחזקתו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דעות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>.</w:t>
      </w:r>
      <w:bookmarkEnd w:id="18"/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ועדיין</w:t>
      </w:r>
      <w:r>
        <w:rPr>
          <w:rtl w:val="true"/>
        </w:rPr>
        <w:t xml:space="preserve">, </w:t>
      </w:r>
      <w:r>
        <w:rPr>
          <w:rtl w:val="true"/>
        </w:rPr>
        <w:t>בהתחשב בנסיבותיו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בהליך הטיפולי שעבר ובסיכויי השיקום המובאים בתסקירי שירות המבחן</w:t>
      </w:r>
      <w:r>
        <w:rPr>
          <w:rtl w:val="true"/>
        </w:rPr>
        <w:t xml:space="preserve">, </w:t>
      </w:r>
      <w:r>
        <w:rPr>
          <w:rtl w:val="true"/>
        </w:rPr>
        <w:t>סברנו כי יש מקום להקלה מסוימת עמו</w:t>
      </w:r>
      <w:r>
        <w:rPr>
          <w:rtl w:val="true"/>
        </w:rPr>
        <w:t xml:space="preserve">, </w:t>
      </w:r>
      <w:r>
        <w:rPr>
          <w:rtl w:val="true"/>
        </w:rPr>
        <w:t>וזאת אף תוך חריגה מסוימת מהרף התחתון של מתחם הענישה שקבע בית המשפט קמא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קובע כי בית המשפט רשאי לחרוג ממתחם העונש משיקולי שיקום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מצא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השתקם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סיכוי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שישתקם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שיקולים שונים שיוכל בית המשפט לשקול בבואו לבחון האם מתקיים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סיכוי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הם בין היתר המוטיבציה שהפגין האדם שהורשע להשתקם</w:t>
      </w:r>
      <w:r>
        <w:rPr>
          <w:rtl w:val="true"/>
        </w:rPr>
        <w:t xml:space="preserve">; </w:t>
      </w:r>
      <w:r>
        <w:rPr>
          <w:rtl w:val="true"/>
        </w:rPr>
        <w:t>הליך של גמילה מהתמכרות שהוא עובר</w:t>
      </w:r>
      <w:r>
        <w:rPr>
          <w:rtl w:val="true"/>
        </w:rPr>
        <w:t xml:space="preserve">; </w:t>
      </w:r>
      <w:r>
        <w:rPr>
          <w:rtl w:val="true"/>
        </w:rPr>
        <w:t>השתלבות מוצלחת בהליכים טיפוליים שונים</w:t>
      </w:r>
      <w:r>
        <w:rPr>
          <w:rtl w:val="true"/>
        </w:rPr>
        <w:t xml:space="preserve">; </w:t>
      </w:r>
      <w:r>
        <w:rPr>
          <w:rtl w:val="true"/>
        </w:rPr>
        <w:t>אינדיקציות לשינוי עמוק בהתנהגות ובדרך החשיבה</w:t>
      </w:r>
      <w:r>
        <w:rPr>
          <w:rtl w:val="true"/>
        </w:rPr>
        <w:t xml:space="preserve">; </w:t>
      </w:r>
      <w:r>
        <w:rPr>
          <w:sz w:val="28"/>
          <w:sz w:val="28"/>
          <w:rtl w:val="true"/>
        </w:rPr>
        <w:t>הבעת חרטה כנה על המעשים והפגנת אמפתיה כלפי נפגעי העבירה</w:t>
      </w:r>
      <w:r>
        <w:rPr>
          <w:rtl w:val="true"/>
        </w:rPr>
        <w:t xml:space="preserve"> </w:t>
      </w:r>
      <w:r>
        <w:rPr>
          <w:sz w:val="28"/>
          <w:rtl w:val="true"/>
        </w:rPr>
        <w:t>(</w:t>
      </w:r>
      <w:hyperlink r:id="rId25">
        <w:r>
          <w:rPr>
            <w:rStyle w:val="Hyperlink"/>
            <w:rFonts w:ascii="David;Times New Roman" w:hAnsi="David;Times New Roman" w:cs="David;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sz w:val="28"/>
            <w:u w:val="single"/>
          </w:rPr>
          <w:t>6637/17</w:t>
        </w:r>
      </w:hyperlink>
      <w:r>
        <w:rPr>
          <w:rFonts w:cs="David;Times New Roman" w:ascii="David;Times New Roman" w:hAnsi="David;Times New Roman"/>
          <w:color w:val="000000"/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פסקאות </w:t>
      </w:r>
      <w:r>
        <w:rPr>
          <w:sz w:val="28"/>
        </w:rPr>
        <w:t>19-25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דפנה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18.4.2018</w:t>
      </w:r>
      <w:r>
        <w:rPr>
          <w:sz w:val="28"/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לאחר שמיעת הצדדים ועיון בחומרים הנלווים</w:t>
      </w:r>
      <w:r>
        <w:rPr>
          <w:rtl w:val="true"/>
        </w:rPr>
        <w:t xml:space="preserve">, </w:t>
      </w:r>
      <w:r>
        <w:rPr>
          <w:rtl w:val="true"/>
        </w:rPr>
        <w:t>סברנו כי יש לקבל את הערעור ולהקל קמעה בעונש המערער</w:t>
      </w:r>
      <w:r>
        <w:rPr>
          <w:rtl w:val="true"/>
        </w:rPr>
        <w:t xml:space="preserve">. </w:t>
      </w:r>
      <w:r>
        <w:rPr>
          <w:rtl w:val="true"/>
        </w:rPr>
        <w:t>זאת במיוחד נוכח תסקירי שירות המבחן העדכניים שהונחו לפנינו המעידים על סיכויי שיקומו ועל השתלבותו בהליך טיפולי</w:t>
      </w:r>
      <w:r>
        <w:rPr>
          <w:rtl w:val="true"/>
        </w:rPr>
        <w:t xml:space="preserve">, </w:t>
      </w:r>
      <w:r>
        <w:rPr>
          <w:rtl w:val="true"/>
        </w:rPr>
        <w:t>ובשים לב לגילו הצעיר ולהעדר כל עבר פלילי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הערעור מתקבל במובן זה שעונש המאסר בפועל שהושת על המערער יופחת 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הימים שבהם שהה המערער במעצר מאחורי סורג ובריח ינוכו מהעונש שנקבע</w:t>
      </w:r>
      <w:r>
        <w:rPr>
          <w:rtl w:val="true"/>
        </w:rPr>
        <w:t xml:space="preserve">. </w:t>
      </w:r>
      <w:r>
        <w:rPr>
          <w:rtl w:val="true"/>
        </w:rPr>
        <w:t>שאר רכיבי העונש יישארו 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29.11.2018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18043450</w:t>
      </w:r>
      <w:r>
        <w:rPr>
          <w:sz w:val="16"/>
          <w:rtl w:val="true"/>
        </w:rPr>
        <w:t>_</w:t>
      </w:r>
      <w:r>
        <w:rPr>
          <w:sz w:val="16"/>
        </w:rPr>
        <w:t>Y04.doc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54678313-4345/18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4345/18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חמודא אבו עמאר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6382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62.2" TargetMode="External"/><Relationship Id="rId8" Type="http://schemas.openxmlformats.org/officeDocument/2006/relationships/hyperlink" Target="http://www.nevo.co.il/law/70301/40d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1863824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5227/62.2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5227/62.2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case/6949290" TargetMode="External"/><Relationship Id="rId21" Type="http://schemas.openxmlformats.org/officeDocument/2006/relationships/hyperlink" Target="http://www.nevo.co.il/case/5950172" TargetMode="External"/><Relationship Id="rId22" Type="http://schemas.openxmlformats.org/officeDocument/2006/relationships/hyperlink" Target="http://www.nevo.co.il/case/21771409" TargetMode="External"/><Relationship Id="rId23" Type="http://schemas.openxmlformats.org/officeDocument/2006/relationships/hyperlink" Target="http://www.nevo.co.il/law/70301/40d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2938500" TargetMode="External"/><Relationship Id="rId26" Type="http://schemas.openxmlformats.org/officeDocument/2006/relationships/hyperlink" Target="https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2018-12-02T17:16:00Z</dcterms:created>
  <dc:creator> </dc:creator>
  <dc:description/>
  <cp:keywords/>
  <dc:language>en-IL</dc:language>
  <cp:lastModifiedBy>orly</cp:lastModifiedBy>
  <cp:lastPrinted>2018-11-12T14:47:00Z</cp:lastPrinted>
  <dcterms:modified xsi:type="dcterms:W3CDTF">2018-12-02T17:16:00Z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חמודא אבו עמאר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ProcID=213&amp;PartA=19&amp;PartC=25</vt:lpwstr>
  </property>
  <property fmtid="{D5CDD505-2E9C-101B-9397-08002B2CF9AE}" pid="9" name="CASESLISTTMP1">
    <vt:lpwstr>21863824:2;6473037;6949290;5950172;21771409;22938500</vt:lpwstr>
  </property>
  <property fmtid="{D5CDD505-2E9C-101B-9397-08002B2CF9AE}" pid="10" name="CITY">
    <vt:lpwstr/>
  </property>
  <property fmtid="{D5CDD505-2E9C-101B-9397-08002B2CF9AE}" pid="11" name="DATE">
    <vt:lpwstr>20181129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סולברג;ע' גרוסקופף;ח' מלצר</vt:lpwstr>
  </property>
  <property fmtid="{D5CDD505-2E9C-101B-9397-08002B2CF9AE}" pid="15" name="LAWLISTTMP1">
    <vt:lpwstr>70301/144.b:2;040d.a</vt:lpwstr>
  </property>
  <property fmtid="{D5CDD505-2E9C-101B-9397-08002B2CF9AE}" pid="16" name="LAWLISTTMP2">
    <vt:lpwstr>5227/062.2:2</vt:lpwstr>
  </property>
  <property fmtid="{D5CDD505-2E9C-101B-9397-08002B2CF9AE}" pid="17" name="LAWYER">
    <vt:lpwstr>אופיר טישלר;עבד אבו עאמר;ברכה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>הבניית שיקול הדעת השיפוטי בענישה</vt:lpwstr>
  </property>
  <property fmtid="{D5CDD505-2E9C-101B-9397-08002B2CF9AE}" pid="53" name="NOSE33">
    <vt:lpwstr>שיקום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13800;15573;17420</vt:lpwstr>
  </property>
  <property fmtid="{D5CDD505-2E9C-101B-9397-08002B2CF9AE}" pid="61" name="PADIDATE">
    <vt:lpwstr>20181203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4345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410120181129</vt:lpwstr>
  </property>
  <property fmtid="{D5CDD505-2E9C-101B-9397-08002B2CF9AE}" pid="71" name="TYPE_N_DATE">
    <vt:lpwstr>41020181129</vt:lpwstr>
  </property>
  <property fmtid="{D5CDD505-2E9C-101B-9397-08002B2CF9AE}" pid="72" name="VOLUME">
    <vt:lpwstr/>
  </property>
  <property fmtid="{D5CDD505-2E9C-101B-9397-08002B2CF9AE}" pid="73" name="WORDNUMPAGES">
    <vt:lpwstr>7</vt:lpwstr>
  </property>
</Properties>
</file>