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4359/18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4773/18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1535/19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1545/19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2295/19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2"/>
        </w:rPr>
      </w:pPr>
      <w:r>
        <w:rPr>
          <w:rFonts w:cs="Miriam"/>
          <w:b/>
          <w:bCs/>
          <w:sz w:val="16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4359/18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1545/19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והמשיבה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4773/18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,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1535/19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2295/19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המערער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4773/18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, </w:t>
            </w:r>
            <w:r>
              <w:rPr>
                <w:rFonts w:ascii="David;Times New Roman" w:hAnsi="David;Times New Roman"/>
                <w:rtl w:val="true"/>
              </w:rPr>
              <w:t>והמשיב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4359/18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המערער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1535/19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 xml:space="preserve">והמשיב </w:t>
            </w:r>
            <w:r>
              <w:rPr>
                <w:rFonts w:cs="David;Times New Roman" w:ascii="David;Times New Roman" w:hAnsi="David;Times New Roman"/>
              </w:rPr>
              <w:t>2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1545/19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  <w:p>
            <w:pPr>
              <w:pStyle w:val="BodyRuller1"/>
              <w:ind w:end="0"/>
              <w:jc w:val="both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המערער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2295/19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 xml:space="preserve">והמשיב </w:t>
            </w:r>
            <w:r>
              <w:rPr>
                <w:rFonts w:cs="David;Times New Roman" w:ascii="David;Times New Roman" w:hAnsi="David;Times New Roman"/>
              </w:rPr>
              <w:t>1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1545/19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סכאפי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נדים גרייב</w:t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מחמוד אבו סנינה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8336-04-14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17.4.2018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דרורי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849"/>
        <w:gridCol w:w="284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8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4359/18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1545/19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והמשיבה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4773/18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,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1535/19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2295/19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המערער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4773/18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, </w:t>
            </w:r>
            <w:r>
              <w:rPr>
                <w:rFonts w:ascii="David;Times New Roman" w:hAnsi="David;Times New Roman"/>
                <w:rtl w:val="true"/>
              </w:rPr>
              <w:t>והמשיב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4359/18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המערער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1535/19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 xml:space="preserve">והמשיב </w:t>
            </w:r>
            <w:r>
              <w:rPr>
                <w:rFonts w:cs="David;Times New Roman" w:ascii="David;Times New Roman" w:hAnsi="David;Times New Roman"/>
              </w:rPr>
              <w:t>2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1545/19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בשם המערער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2295/19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 xml:space="preserve">והמשיב </w:t>
            </w:r>
            <w:r>
              <w:rPr>
                <w:rFonts w:cs="David;Times New Roman" w:ascii="David;Times New Roman" w:hAnsi="David;Times New Roman"/>
              </w:rPr>
              <w:t>1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1545/19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;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מוסטפא</w:t>
            </w:r>
            <w:r>
              <w:rPr>
                <w:rFonts w:cs="Times New Roman;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יחיא</w:t>
            </w:r>
          </w:p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לביב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חביב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1945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בתי הסוהר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החמיר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עורכי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שהורשעו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להתאחדות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מותרת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שעניינן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בהעברת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איגרות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בתיווך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המשרד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הועסקו</w:t>
      </w:r>
      <w:r>
        <w:rPr>
          <w:spacing w:val="0"/>
          <w:sz w:val="24"/>
          <w:szCs w:val="26"/>
          <w:rtl w:val="true"/>
        </w:rPr>
        <w:t xml:space="preserve">),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אסירים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ביטחוניים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מארגוני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חמאס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והג</w:t>
      </w:r>
      <w:r>
        <w:rPr>
          <w:spacing w:val="0"/>
          <w:sz w:val="24"/>
          <w:szCs w:val="26"/>
          <w:rtl w:val="true"/>
        </w:rPr>
        <w:t>'</w:t>
      </w:r>
      <w:r>
        <w:rPr>
          <w:spacing w:val="0"/>
          <w:sz w:val="24"/>
          <w:sz w:val="24"/>
          <w:szCs w:val="26"/>
          <w:rtl w:val="true"/>
        </w:rPr>
        <w:t>יהאד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האסלאמי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ביקרו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עורכי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בבתי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הכלא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עבודתם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הנהגות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ארגוני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הטרור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ואסירים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ביטחוניים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לשם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קידום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ענייניהן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הנהגות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ארגוני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הטרור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והעברת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הנחיות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מההנהגות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לאסירים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הביטחוניים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עליהם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לריצוי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חלף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לריצוי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בדרך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להתאחדות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מותרת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ביטחון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שנעברו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בידי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עורך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דין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ערעורים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מזה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ומזה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מחוזי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במסגרתם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מחמוד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אבו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סנינה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נדים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גרייב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עומר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 w:val="24"/>
          <w:szCs w:val="26"/>
          <w:rtl w:val="true"/>
        </w:rPr>
        <w:t>סכאפי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יחד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המשיבים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Cs w:val="26"/>
          <w:rtl w:val="true"/>
        </w:rPr>
        <w:t>–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לריצוי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בדרך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ותשלום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קנסות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הסדר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טיעון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להתאחדות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מותרת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hyperlink r:id="rId6">
        <w:r>
          <w:rPr>
            <w:rStyle w:val="Hyperlink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Cs w:val="26"/>
          </w:rPr>
          <w:t>85</w:t>
        </w:r>
        <w:r>
          <w:rPr>
            <w:rStyle w:val="Hyperlink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spacing w:val="0"/>
            <w:sz w:val="24"/>
            <w:szCs w:val="26"/>
            <w:rtl w:val="true"/>
          </w:rPr>
          <w:t>)</w:t>
        </w:r>
      </w:hyperlink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</w:t>
      </w:r>
      <w:hyperlink r:id="rId7">
        <w:r>
          <w:rPr>
            <w:rStyle w:val="Hyperlink"/>
            <w:spacing w:val="0"/>
            <w:sz w:val="24"/>
            <w:sz w:val="24"/>
            <w:szCs w:val="26"/>
            <w:rtl w:val="true"/>
          </w:rPr>
          <w:t>תקנות</w:t>
        </w:r>
        <w:r>
          <w:rPr>
            <w:rStyle w:val="Hyperlink"/>
            <w:rFonts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ההגנה</w:t>
        </w:r>
        <w:r>
          <w:rPr>
            <w:rStyle w:val="Hyperlink"/>
            <w:rFonts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שעת</w:t>
        </w:r>
        <w:r>
          <w:rPr>
            <w:rStyle w:val="Hyperlink"/>
            <w:rFonts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חירום</w:t>
        </w:r>
        <w:r>
          <w:rPr>
            <w:rStyle w:val="Hyperlink"/>
            <w:spacing w:val="0"/>
            <w:sz w:val="24"/>
            <w:szCs w:val="26"/>
            <w:rtl w:val="true"/>
          </w:rPr>
          <w:t>)</w:t>
        </w:r>
      </w:hyperlink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Cs w:val="26"/>
        </w:rPr>
        <w:t>1945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רקע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עפ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המתוקן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עורכי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במקצועם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עבדו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במשרד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אל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קודס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לשירות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חוקתי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ומסחר</w:t>
      </w:r>
      <w:r>
        <w:rPr>
          <w:spacing w:val="0"/>
          <w:sz w:val="24"/>
          <w:szCs w:val="26"/>
          <w:rtl w:val="true"/>
        </w:rPr>
        <w:t>" (</w:t>
      </w:r>
      <w:r>
        <w:rPr>
          <w:spacing w:val="0"/>
          <w:sz w:val="24"/>
          <w:sz w:val="24"/>
          <w:szCs w:val="26"/>
          <w:rtl w:val="true"/>
        </w:rPr>
        <w:t>להלן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המשרד</w:t>
      </w:r>
      <w:r>
        <w:rPr>
          <w:spacing w:val="0"/>
          <w:sz w:val="24"/>
          <w:szCs w:val="26"/>
          <w:rtl w:val="true"/>
        </w:rPr>
        <w:t xml:space="preserve">), </w:t>
      </w:r>
      <w:r>
        <w:rPr>
          <w:spacing w:val="0"/>
          <w:sz w:val="24"/>
          <w:sz w:val="24"/>
          <w:szCs w:val="26"/>
          <w:rtl w:val="true"/>
        </w:rPr>
        <w:t>ובמסגרת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עבודתם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ביקרו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אסירים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ביטחוניים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מארגוני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חמאס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והג</w:t>
      </w:r>
      <w:r>
        <w:rPr>
          <w:spacing w:val="0"/>
          <w:sz w:val="24"/>
          <w:szCs w:val="26"/>
          <w:rtl w:val="true"/>
        </w:rPr>
        <w:t>'</w:t>
      </w:r>
      <w:r>
        <w:rPr>
          <w:spacing w:val="0"/>
          <w:sz w:val="24"/>
          <w:sz w:val="24"/>
          <w:szCs w:val="26"/>
          <w:rtl w:val="true"/>
        </w:rPr>
        <w:t>יהאד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האסלאמי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להלן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ארגוני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הטרור</w:t>
      </w:r>
      <w:r>
        <w:rPr>
          <w:spacing w:val="0"/>
          <w:sz w:val="24"/>
          <w:szCs w:val="26"/>
          <w:rtl w:val="true"/>
        </w:rPr>
        <w:t xml:space="preserve">). </w:t>
      </w:r>
      <w:r>
        <w:rPr>
          <w:spacing w:val="0"/>
          <w:sz w:val="24"/>
          <w:sz w:val="24"/>
          <w:szCs w:val="26"/>
          <w:rtl w:val="true"/>
        </w:rPr>
        <w:t>בביקוריהם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העבירו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בתיווך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המשרד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איגרות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האסירים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הביטחוניים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הנהגות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ארגוני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הטרור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ואסירים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ביטחוניים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העברת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האיגרות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נועדה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קידום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ענייניהן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הנהגות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ארגוני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הטרור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והעברת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הנחיות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מההנהגות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לאסירים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הביטחוניים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לטובת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תיאום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צעדים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ארגוניים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ופעילויות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מחאה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כדוגמת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שביתות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רעב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כנגד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ס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המשיבים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קיבלו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תמורה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כספית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מטעם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גורמים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הקשורים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לארגוני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הטרור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600-400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ח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בעבור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ביקור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לטענת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בעניינם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להימנע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מהרשעה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ולהסתפק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בהטלת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לציבור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ומנגד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סבורה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להחמיר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ולהטיל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עליהם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לריצוי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מפי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וילנר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בהסכמת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</w:t>
      </w:r>
      <w:r>
        <w:rPr>
          <w:spacing w:val="0"/>
          <w:sz w:val="24"/>
          <w:sz w:val="24"/>
          <w:szCs w:val="26"/>
          <w:rtl w:val="true"/>
        </w:rPr>
        <w:t>שופטים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פוגלמן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וד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ברק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ארז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וקיבל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ערעורי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מהטעמים</w:t>
      </w:r>
      <w:r>
        <w:rPr>
          <w:rFonts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הבאים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החומרה הטמונה במעשיהם של המשיבים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אשר נכנסו בשערי בתי הכלא והעבירו מסרים בין אסירים ביטחוניים לבין ארגוני הטרור ונציגיהם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היא רבה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ואין להקל בה ראש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חומרה יתרה יש לייחס לכך שהמשיבים ניצלו באופן בוטה את מעמדם כעורכי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דין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מנת להיפגש עם אסירים ביטחוניים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שלא לשם ייצוג ענייניהם המשפטיים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ובכך מעלו באמון שניתן בהם ובחובותיהם הבסיסיות לשמירה על יושר מקצוע עריכת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העברת המסרים המיוחסת למשיבים אינה קשורה במישרין לביצוע פעולות טרור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ויש להביא זאת בחשבון בעת גזירת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שעשה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ולנוכח העובדה הנודעת כי חלק מהאסירים הביטחוניים ממשיכים לפעול בשירות ארגוני הטרור אף במהלך שהותם בכלא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הרי שעצם קיומו של ערוץ תקשורת המאפשר העברה אסורה של מסרים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יהא תוכנם אשר יהא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הינו חמור ומסכן את שלום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כן ראוי לנקוט בגישה מחמירה בכל מקרה של הפרת נהלי שב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 בהקשר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אם תוכנם של המסרים אינו בזיקה ישירה לפעילות טרור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חלק נכבד מן המסרים שהעבירו המשיבים נועד לשם תיאום שביתות רעב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כידוע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משמשות ככלי בידי ארגוני הטרור להפעלת לחץ על המדינה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וכבר נקבע לגביהן כי הן מקימות סכנה לביטחון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זו אף זו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נקבע כי שביתות רעב פוגעות בניהולו התקין של בית הסוהר ומהוות עבירה משמעתית לפי </w:t>
      </w:r>
      <w:hyperlink r:id="rId8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פקודת בתי הסוהר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זה קבע לא אחת כי גם פעילות המעניקה לארגוני הטרור שירות במישור הארגוני היא פעילות אסורה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וזאת בין היתר בשל הקושי לבודד את הפונקציה האזרחית מהפונקציה הצבאית בפועלם של ארגונים אלה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נקבע כי גם פעילות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אזרחית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למען ארגוני טרור טומנת בחובה סיכון ממשי לביטחון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המשיבים שימשו כגורם פעיל בתכנית שתכליתה שמירה על קשר רציף בין הנהגות ארגוני הטרור לבין האסירים הביטחוניים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בפועלם ובמעשיהם איינו המשיבים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תוך הפרת נהליו המוקפדים של שב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את אחת ממטרותיה המרכזיות של הכליאה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הרחקתו של האסיר מן החברה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בגינה מוטלות על האסירים מגבלות על יצירת קשר עם גורמים מחוץ לבית הכלא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חומרת מעשיהם מקבלת משנה תוקף בשים לב להיקף הרחב של ביצוע העבירות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ולכך שהמשיבים נטלו חלק במנגנון שיטתי שהפעיל המשרד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ולא העבירו את המסרים באופן ספונטני או חד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פעמי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מנגנון אינטנסיבי ושיטתי זה מצדיק אף הוא החמרה בענישה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וזאת בנוסף לשיקולי הרתעת היחיד והרבים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יש ליתן להם משקל משמעותי ביחס לכל חוליה בשרשרת הטרור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מסקנה זו מתיישבת גם עם מדיניות ההחמרה בענישה בעבירות הנוגעות לפעילותם של ארגוני טרור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הנובעת מפוטנציאל הסיכון הגלום בהן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לביטחון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 הוחלט לגזור על המשיבים עונשי מאסר לריצוי בפועל לתקופות הבאות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אבו סנינה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אשר יוחסו לו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520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ביקורים 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איגרות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שנים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עשר חודשים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חלף תשעה חודשי מאסר לריצוי בדרך של עבודות שירות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גרייב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אשר יוחסו לו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67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ביקורים 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איגרות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שמונה חודשים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חלף שישה חודשי מאסר לריצוי בדרך של עבודות שירות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אסכאפי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אשר יוחסו לו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ביקורים 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איגרות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שישה חודשים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חלף חמישה חודשי מאסר לריצוי בדרך של עבודות שירות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וזאת אך בשל ההלכה שלפיה התערבות ערכאת הערעור תהא במשורה וכי אין זו דרכה למצות את הדין עם הנאשם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יתר רכיבי גזרי הדין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 מאסר על תנאי ותשלום קנסות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יעמדו בעינם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שופטת 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ארז סבורה כי בנסיבות העניין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ההחמרה בענישה שעליה הוחלט היא מתונה יחסית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באופן שתואם את הנסיבות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במישור העקרוני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סבורה השופטת ברק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הענישה בעבירות מסוג זה אמורה להיות מחמירה אף יותר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כך היא סברה בעבר בכל הנוגע להברחתם של מכשירי טלפון סלולאריים לבתי הכלא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hyperlink r:id="rId9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 w:val="24"/>
            <w:szCs w:val="26"/>
          </w:rPr>
          <w:t>2891/12</w:t>
        </w:r>
      </w:hyperlink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וכך גם בהקשר הנוכחי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8336-04-14</w:t>
      </w:r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דרורי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17.4.2018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;Arial" w:cs="Arial TUR;Arial"/>
          <w:rtl w:val="true"/>
        </w:rPr>
        <w:t xml:space="preserve"> </w:t>
      </w:r>
      <w:r>
        <w:rPr/>
        <w:t>13.1.2019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2295/19</w:t>
      </w:r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1545/19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סנינה</w:t>
      </w:r>
      <w:r>
        <w:rPr>
          <w:rtl w:val="true"/>
        </w:rPr>
        <w:t xml:space="preserve">),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1535/19</w:t>
      </w:r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1545/19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גרייב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4773/18</w:t>
      </w:r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4359/18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אסכאפי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.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המתוקנים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14.5.2017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18.7.2018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מתוקנים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עורכי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במקצועם</w:t>
      </w:r>
      <w:r>
        <w:rPr>
          <w:rtl w:val="true"/>
        </w:rPr>
        <w:t xml:space="preserve">, </w:t>
      </w:r>
      <w:r>
        <w:rPr>
          <w:rtl w:val="true"/>
        </w:rPr>
        <w:t>עבדו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ומסחר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המשרד</w:t>
      </w:r>
      <w:r>
        <w:rPr>
          <w:rtl w:val="true"/>
        </w:rPr>
        <w:t xml:space="preserve">),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האסלאמי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ארגוני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הטרור</w:t>
      </w:r>
      <w:r>
        <w:rPr>
          <w:rtl w:val="true"/>
        </w:rPr>
        <w:t xml:space="preserve">)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בביקוריהם</w:t>
      </w:r>
      <w:r>
        <w:rPr>
          <w:rtl w:val="true"/>
        </w:rPr>
        <w:t xml:space="preserve">, </w:t>
      </w:r>
      <w:r>
        <w:rPr>
          <w:rtl w:val="true"/>
        </w:rPr>
        <w:t>בתיווך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איגרות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האיגרות</w:t>
      </w:r>
      <w:r>
        <w:rPr>
          <w:rtl w:val="true"/>
        </w:rPr>
        <w:t xml:space="preserve">).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הביטחוניים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ופעילויות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מחאה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רעב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tl w:val="true"/>
        </w:rPr>
        <w:t xml:space="preserve">).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600-400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</w:t>
      </w:r>
      <w:r>
        <w:rPr>
          <w:rtl w:val="true"/>
        </w:rPr>
        <w:t xml:space="preserve">.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שעת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חירום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/>
        <w:t>1945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המתוקנים</w:t>
      </w:r>
      <w:r>
        <w:rPr>
          <w:rtl w:val="true"/>
        </w:rPr>
        <w:t xml:space="preserve">, </w:t>
      </w:r>
      <w:r>
        <w:rPr>
          <w:rtl w:val="true"/>
        </w:rPr>
        <w:t>והורשעו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ובתושביה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tl w:val="true"/>
        </w:rPr>
        <w:t xml:space="preserve">); </w:t>
      </w:r>
      <w:r>
        <w:rPr>
          <w:rtl w:val="true"/>
        </w:rPr>
        <w:t>והיעדר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: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עיסוקם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כעורכי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;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;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ומאמציהם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אסכאפי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איגרות</w:t>
      </w:r>
      <w:r>
        <w:rPr>
          <w:rtl w:val="true"/>
        </w:rPr>
        <w:t xml:space="preserve">,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/>
        <w:t>520</w:t>
      </w:r>
      <w:r>
        <w:rPr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איגרות</w:t>
      </w:r>
      <w:r>
        <w:rPr>
          <w:rtl w:val="true"/>
        </w:rPr>
        <w:t xml:space="preserve">, </w:t>
      </w:r>
      <w:r>
        <w:rPr>
          <w:rtl w:val="true"/>
        </w:rPr>
        <w:t>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איגרות</w:t>
      </w:r>
      <w:r>
        <w:rPr>
          <w:rtl w:val="true"/>
        </w:rPr>
        <w:t xml:space="preserve">,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2.5.2019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אסכאפי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אסכאפי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ותעסוקתיות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אסכאפי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br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בערעוריהם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מההרשעה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לפרקטיקה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ערוץ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, </w:t>
      </w:r>
      <w:r>
        <w:rPr>
          <w:rtl w:val="true"/>
        </w:rPr>
        <w:t>הנתפסים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במאבקם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הישג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האיגרות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tl w:val="true"/>
        </w:rPr>
        <w:t xml:space="preserve">, </w:t>
      </w:r>
      <w:r>
        <w:rPr>
          <w:rtl w:val="true"/>
        </w:rPr>
        <w:t>והורשעו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ונציגיהם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כעורכי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ובחובותיהם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5152/12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דסוקי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22.4.2013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(</w:t>
      </w:r>
      <w:r>
        <w:rPr/>
        <w:t>23.7.2015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(</w:t>
      </w:r>
      <w:r>
        <w:rPr/>
        <w:t>13.8.2018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עאבד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הסוהר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7.10.2010</w:t>
      </w:r>
      <w:r>
        <w:rPr>
          <w:rtl w:val="true"/>
        </w:rPr>
        <w:t xml:space="preserve">))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עאבד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משמשות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ההסתדרות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הרפואית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קכ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11.9.2016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7837/04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בורגאל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שירות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97</w:t>
      </w:r>
      <w:r>
        <w:rPr>
          <w:rtl w:val="true"/>
        </w:rPr>
        <w:t xml:space="preserve">, </w:t>
      </w:r>
      <w:r>
        <w:rPr/>
        <w:t>102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המעניקה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הפונקציה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מהפונקציה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7223/03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18.8.2003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3827/06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27.3.2007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דסוקי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47-36</w:t>
      </w:r>
      <w:r>
        <w:rPr>
          <w:rtl w:val="true"/>
        </w:rPr>
        <w:t xml:space="preserve"> (</w:t>
      </w:r>
      <w:r>
        <w:rPr/>
        <w:t>3.9.2015</w:t>
      </w:r>
      <w:r>
        <w:rPr>
          <w:rtl w:val="true"/>
        </w:rPr>
        <w:t xml:space="preserve">)).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אזרחית</w:t>
      </w:r>
      <w:r>
        <w:rPr>
          <w:rtl w:val="true"/>
        </w:rPr>
        <w:t xml:space="preserve">"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854/07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8.3.2007</w:t>
      </w:r>
      <w:r>
        <w:rPr>
          <w:rtl w:val="true"/>
        </w:rPr>
        <w:t xml:space="preserve">)). </w:t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6552/05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עבידאת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17.8.2005</w:t>
      </w:r>
      <w:r>
        <w:rPr>
          <w:rtl w:val="true"/>
        </w:rPr>
        <w:t>)):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ואחת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ניטרולם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מנהיגי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וממעמדם</w:t>
      </w:r>
      <w:r>
        <w:rPr>
          <w:rtl w:val="true"/>
        </w:rPr>
        <w:t xml:space="preserve">, </w:t>
      </w:r>
      <w:r>
        <w:rPr>
          <w:rtl w:val="true"/>
        </w:rPr>
        <w:t>והחלשת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שתכליתה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הביטחוניים</w:t>
      </w:r>
      <w:r>
        <w:rPr>
          <w:rtl w:val="true"/>
        </w:rPr>
        <w:t xml:space="preserve">. </w:t>
      </w:r>
      <w:r>
        <w:rPr>
          <w:rtl w:val="true"/>
        </w:rPr>
        <w:t>בפועלם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המוקפדים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ממטרותיה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2245/06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דוברין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הסוהר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13.6.2006</w:t>
      </w:r>
      <w:r>
        <w:rPr>
          <w:rtl w:val="true"/>
        </w:rPr>
        <w:t xml:space="preserve">)).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רבעא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15.7.2012</w:t>
      </w:r>
      <w:r>
        <w:rPr>
          <w:rtl w:val="true"/>
        </w:rPr>
        <w:t xml:space="preserve">)). </w:t>
      </w:r>
      <w:r>
        <w:rPr>
          <w:rtl w:val="true"/>
        </w:rPr>
        <w:t>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15.3.2012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7368/12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28.4.2013</w:t>
      </w:r>
      <w:r>
        <w:rPr>
          <w:rtl w:val="true"/>
        </w:rPr>
        <w:t xml:space="preserve">)).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3883/09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5.1.2010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3528/14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בכיראת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' (</w:t>
      </w:r>
      <w:r>
        <w:rPr/>
        <w:t>22.9.2014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3393/16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עיסאווי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13.3.2018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שעוגנו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73</w:t>
      </w:r>
      <w:r>
        <w:rPr>
          <w:rtl w:val="true"/>
        </w:rPr>
        <w:t xml:space="preserve"> (</w:t>
      </w:r>
      <w:r>
        <w:rPr/>
        <w:t>2.4.2012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במנגנוני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עאבד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לאבו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לגרייב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ולאסכאפי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חשאן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23.4.2017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1802/17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28.6.2018</w:t>
      </w:r>
      <w:r>
        <w:rPr>
          <w:rtl w:val="true"/>
        </w:rPr>
        <w:t xml:space="preserve">)).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ערעורי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16.6.2019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Miriam"/>
          <w:sz w:val="24"/>
          <w:u w:val="single"/>
        </w:rPr>
      </w:pPr>
      <w:r>
        <w:rPr>
          <w:rFonts w:cs="Miriam" w:ascii="Arial TUR;Arial" w:hAnsi="Arial TUR;Arial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</w:t>
      </w:r>
      <w:r>
        <w:rPr>
          <w:rFonts w:cs="Miriam"/>
          <w:sz w:val="24"/>
          <w:sz w:val="24"/>
          <w:u w:val="single"/>
          <w:rtl w:val="true"/>
        </w:rPr>
        <w:t>שופט</w:t>
      </w:r>
      <w:r>
        <w:rPr>
          <w:rFonts w:cs="Times New Roman;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ע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פוגלמן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  <w:sz w:val="24"/>
        </w:rPr>
      </w:pPr>
      <w:r>
        <w:rPr>
          <w:rFonts w:cs="Times New Roman;Times New Roman" w:ascii="Times New Roman;Times New Roman" w:hAnsi="Times New Roman;Times New Roman"/>
          <w:sz w:val="24"/>
          <w:rtl w:val="true"/>
        </w:rPr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  <w:tab/>
      </w:r>
      <w:r>
        <w:rPr>
          <w:rFonts w:ascii="Times New Roman;Times New Roman" w:hAnsi="Times New Roman;Times New Roman" w:cs="Times New Roman;Times New Roman"/>
          <w:rtl w:val="true"/>
        </w:rPr>
        <w:t>אני מסכים</w:t>
      </w:r>
      <w:r>
        <w:rPr>
          <w:rFonts w:cs="Times New Roman;Times New Roman" w:ascii="Times New Roman;Times New Roman" w:hAnsi="Times New Roman;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השופטת</w:t>
      </w:r>
      <w:r>
        <w:rPr>
          <w:rFonts w:cs="Times New Roman;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ד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ברק</w:t>
      </w:r>
      <w:r>
        <w:rPr>
          <w:rFonts w:cs="Miriam"/>
          <w:sz w:val="24"/>
          <w:u w:val="single"/>
          <w:rtl w:val="true"/>
        </w:rPr>
        <w:t>-</w:t>
      </w:r>
      <w:r>
        <w:rPr>
          <w:rFonts w:cs="Miriam"/>
          <w:sz w:val="24"/>
          <w:sz w:val="24"/>
          <w:u w:val="single"/>
          <w:rtl w:val="true"/>
        </w:rPr>
        <w:t>ארז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  <w:sz w:val="24"/>
        </w:rPr>
      </w:pPr>
      <w:r>
        <w:rPr>
          <w:rFonts w:cs="Times New Roman;Times New Roman" w:ascii="Times New Roman;Times New Roman" w:hAnsi="Times New Roman;Times New Roman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;Times New Roman" w:ascii="Times New Roman;Times New Roman" w:hAnsi="Times New Roman;Times New Roman"/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היוצאים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לייצוג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שלפחות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נגררו</w:t>
      </w:r>
      <w:r>
        <w:rPr>
          <w:rtl w:val="true"/>
        </w:rPr>
        <w:t xml:space="preserve">"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עבודתם</w:t>
      </w:r>
      <w:r>
        <w:rPr>
          <w:rtl w:val="true"/>
        </w:rPr>
        <w:t xml:space="preserve">.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להברחתם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סלולאריים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2891/12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רבעא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15.7.2012</w:t>
      </w:r>
      <w:r>
        <w:rPr>
          <w:rFonts w:cs="Century" w:ascii="Century" w:hAnsi="Century"/>
          <w:rtl w:val="true"/>
        </w:rPr>
        <w:t xml:space="preserve">)),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16.5.2019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18043590</w:t>
      </w:r>
      <w:r>
        <w:rPr>
          <w:sz w:val="16"/>
          <w:rtl w:val="true"/>
        </w:rPr>
        <w:t>_</w:t>
      </w:r>
      <w:r>
        <w:rPr>
          <w:sz w:val="16"/>
        </w:rPr>
        <w:t>R07.docx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  <w:r>
        <w:rPr>
          <w:rtl w:val="true"/>
        </w:rPr>
        <w:t>+</w:t>
      </w:r>
      <w:r>
        <w:rPr>
          <w:rtl w:val="true"/>
        </w:rPr>
        <w:t>יכ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54678313-4359/18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4359/18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עומר אסכאפי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100567" TargetMode="External"/><Relationship Id="rId3" Type="http://schemas.openxmlformats.org/officeDocument/2006/relationships/hyperlink" Target="http://www.nevo.co.il/law/73729" TargetMode="External"/><Relationship Id="rId4" Type="http://schemas.openxmlformats.org/officeDocument/2006/relationships/hyperlink" Target="http://www.nevo.co.il/law/73729/85.c" TargetMode="External"/><Relationship Id="rId5" Type="http://schemas.openxmlformats.org/officeDocument/2006/relationships/hyperlink" Target="http://www.nevo.co.il/law/75015" TargetMode="External"/><Relationship Id="rId6" Type="http://schemas.openxmlformats.org/officeDocument/2006/relationships/hyperlink" Target="http://www.nevo.co.il/law/73729/85.c" TargetMode="External"/><Relationship Id="rId7" Type="http://schemas.openxmlformats.org/officeDocument/2006/relationships/hyperlink" Target="http://www.nevo.co.il/law/73729" TargetMode="External"/><Relationship Id="rId8" Type="http://schemas.openxmlformats.org/officeDocument/2006/relationships/hyperlink" Target="http://www.nevo.co.il/law/75015" TargetMode="External"/><Relationship Id="rId9" Type="http://schemas.openxmlformats.org/officeDocument/2006/relationships/hyperlink" Target="http://www.nevo.co.il/case/5581438" TargetMode="External"/><Relationship Id="rId10" Type="http://schemas.openxmlformats.org/officeDocument/2006/relationships/hyperlink" Target="http://www.nevo.co.il/law/73729/85.c" TargetMode="External"/><Relationship Id="rId11" Type="http://schemas.openxmlformats.org/officeDocument/2006/relationships/hyperlink" Target="http://www.nevo.co.il/law/73729" TargetMode="External"/><Relationship Id="rId12" Type="http://schemas.openxmlformats.org/officeDocument/2006/relationships/hyperlink" Target="http://www.nevo.co.il/law/73729/85.c" TargetMode="External"/><Relationship Id="rId13" Type="http://schemas.openxmlformats.org/officeDocument/2006/relationships/hyperlink" Target="http://www.nevo.co.il/case/5589766" TargetMode="External"/><Relationship Id="rId14" Type="http://schemas.openxmlformats.org/officeDocument/2006/relationships/hyperlink" Target="http://www.nevo.co.il/case/11303307" TargetMode="External"/><Relationship Id="rId15" Type="http://schemas.openxmlformats.org/officeDocument/2006/relationships/hyperlink" Target="http://www.nevo.co.il/case/22690326" TargetMode="External"/><Relationship Id="rId16" Type="http://schemas.openxmlformats.org/officeDocument/2006/relationships/hyperlink" Target="http://www.nevo.co.il/case/6091580" TargetMode="External"/><Relationship Id="rId17" Type="http://schemas.openxmlformats.org/officeDocument/2006/relationships/hyperlink" Target="http://www.nevo.co.il/case/20486289" TargetMode="External"/><Relationship Id="rId18" Type="http://schemas.openxmlformats.org/officeDocument/2006/relationships/hyperlink" Target="http://www.nevo.co.il/law/75015" TargetMode="External"/><Relationship Id="rId19" Type="http://schemas.openxmlformats.org/officeDocument/2006/relationships/hyperlink" Target="http://www.nevo.co.il/case/6114149" TargetMode="External"/><Relationship Id="rId20" Type="http://schemas.openxmlformats.org/officeDocument/2006/relationships/hyperlink" Target="http://www.nevo.co.il/case/6098663" TargetMode="External"/><Relationship Id="rId21" Type="http://schemas.openxmlformats.org/officeDocument/2006/relationships/hyperlink" Target="http://www.nevo.co.il/case/6216271" TargetMode="External"/><Relationship Id="rId22" Type="http://schemas.openxmlformats.org/officeDocument/2006/relationships/hyperlink" Target="http://www.nevo.co.il/case/13038775" TargetMode="External"/><Relationship Id="rId23" Type="http://schemas.openxmlformats.org/officeDocument/2006/relationships/hyperlink" Target="http://www.nevo.co.il/case/5731087" TargetMode="External"/><Relationship Id="rId24" Type="http://schemas.openxmlformats.org/officeDocument/2006/relationships/hyperlink" Target="http://www.nevo.co.il/case/6072165" TargetMode="External"/><Relationship Id="rId25" Type="http://schemas.openxmlformats.org/officeDocument/2006/relationships/hyperlink" Target="http://www.nevo.co.il/case/5821051" TargetMode="External"/><Relationship Id="rId26" Type="http://schemas.openxmlformats.org/officeDocument/2006/relationships/hyperlink" Target="http://www.nevo.co.il/case/5581438" TargetMode="External"/><Relationship Id="rId27" Type="http://schemas.openxmlformats.org/officeDocument/2006/relationships/hyperlink" Target="http://www.nevo.co.il/case/5838257" TargetMode="External"/><Relationship Id="rId28" Type="http://schemas.openxmlformats.org/officeDocument/2006/relationships/hyperlink" Target="http://www.nevo.co.il/case/5601136" TargetMode="External"/><Relationship Id="rId29" Type="http://schemas.openxmlformats.org/officeDocument/2006/relationships/hyperlink" Target="http://www.nevo.co.il/case/5698528" TargetMode="External"/><Relationship Id="rId30" Type="http://schemas.openxmlformats.org/officeDocument/2006/relationships/hyperlink" Target="http://www.nevo.co.il/case/17016459" TargetMode="External"/><Relationship Id="rId31" Type="http://schemas.openxmlformats.org/officeDocument/2006/relationships/hyperlink" Target="http://www.nevo.co.il/case/21473566" TargetMode="External"/><Relationship Id="rId32" Type="http://schemas.openxmlformats.org/officeDocument/2006/relationships/hyperlink" Target="http://www.nevo.co.il/case/5582741" TargetMode="External"/><Relationship Id="rId33" Type="http://schemas.openxmlformats.org/officeDocument/2006/relationships/hyperlink" Target="http://www.nevo.co.il/case/21476516" TargetMode="External"/><Relationship Id="rId34" Type="http://schemas.openxmlformats.org/officeDocument/2006/relationships/hyperlink" Target="http://www.nevo.co.il/case/22275574" TargetMode="External"/><Relationship Id="rId35" Type="http://schemas.openxmlformats.org/officeDocument/2006/relationships/hyperlink" Target="http://www.nevo.co.il/case/5581438" TargetMode="External"/><Relationship Id="rId36" Type="http://schemas.openxmlformats.org/officeDocument/2006/relationships/hyperlink" Target="http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2019-05-19T10:34:00Z</dcterms:created>
  <dc:creator>h4</dc:creator>
  <dc:description/>
  <cp:keywords/>
  <dc:language>en-IL</dc:language>
  <cp:lastModifiedBy>orly</cp:lastModifiedBy>
  <cp:lastPrinted>2019-05-16T12:04:00Z</cp:lastPrinted>
  <dcterms:modified xsi:type="dcterms:W3CDTF">2019-05-19T10:34:00Z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אסכאפי;נדים גרייב;מחמוד אבו סנינה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13100567;5589766;11303307;22690326;6091580;20486289;6114149;6098663;6216271;13038775;5731087;6072165;5821051;5581438:2;5838257;5601136;5698528;17016459;21473566;5582741;21476516;22275574</vt:lpwstr>
  </property>
  <property fmtid="{D5CDD505-2E9C-101B-9397-08002B2CF9AE}" pid="9" name="CITY">
    <vt:lpwstr/>
  </property>
  <property fmtid="{D5CDD505-2E9C-101B-9397-08002B2CF9AE}" pid="10" name="DATE">
    <vt:lpwstr>20190516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ברק ארז;י' וילנר</vt:lpwstr>
  </property>
  <property fmtid="{D5CDD505-2E9C-101B-9397-08002B2CF9AE}" pid="14" name="LAWLISTTMP1">
    <vt:lpwstr>73729/085.c:2</vt:lpwstr>
  </property>
  <property fmtid="{D5CDD505-2E9C-101B-9397-08002B2CF9AE}" pid="15" name="LAWLISTTMP2">
    <vt:lpwstr>75015</vt:lpwstr>
  </property>
  <property fmtid="{D5CDD505-2E9C-101B-9397-08002B2CF9AE}" pid="16" name="LAWYER">
    <vt:lpwstr>עידית פרג'ון;לאה צמל;מוסטפא יחיא;לביב חביב;ברכה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1443;1446;1446</vt:lpwstr>
  </property>
  <property fmtid="{D5CDD505-2E9C-101B-9397-08002B2CF9AE}" pid="49" name="NOSE31">
    <vt:lpwstr>מתן שירות להתאחדות בלתי מותרת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ביטחון</vt:lpwstr>
  </property>
  <property fmtid="{D5CDD505-2E9C-101B-9397-08002B2CF9AE}" pid="52" name="NOSE33">
    <vt:lpwstr>מדיניות ענישה: עבירות שנעברו בידי עורך דין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17989;8985;16252</vt:lpwstr>
  </property>
  <property fmtid="{D5CDD505-2E9C-101B-9397-08002B2CF9AE}" pid="60" name="PADIDATE">
    <vt:lpwstr>20190519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עפ;עפ;עפ;עפ;עפ</vt:lpwstr>
  </property>
  <property fmtid="{D5CDD505-2E9C-101B-9397-08002B2CF9AE}" pid="65" name="PROCNUM">
    <vt:lpwstr>4359;4773;1535;1545;2295</vt:lpwstr>
  </property>
  <property fmtid="{D5CDD505-2E9C-101B-9397-08002B2CF9AE}" pid="66" name="PROCYEAR">
    <vt:lpwstr>18;18;19;19;19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410120190516</vt:lpwstr>
  </property>
  <property fmtid="{D5CDD505-2E9C-101B-9397-08002B2CF9AE}" pid="70" name="TYPE_N_DATE">
    <vt:lpwstr>41020190516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