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4368/21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פרסיקו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מערכת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העין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השביעית</w:t>
            </w:r>
            <w:r>
              <w:rPr>
                <w:rtl w:val="true"/>
              </w:rPr>
              <w:t>"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נתניהו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ארנון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מוזס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שאול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אלוביץ</w:t>
            </w:r>
            <w:r>
              <w:rPr>
                <w:rtl w:val="true"/>
              </w:rPr>
              <w:t>'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אלוביץ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8.6.2021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</w:t>
              </w:r>
              <w:r>
                <w:rPr>
                  <w:rStyle w:val="Hyperlink"/>
                  <w:sz w:val="24"/>
                  <w:szCs w:val="24"/>
                </w:rPr>
                <w:t>67104-01-20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74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 xml:space="preserve">בשם </w:t>
            </w:r>
            <w:r>
              <w:rPr>
                <w:rFonts w:ascii="David;Times New Roman" w:hAnsi="David;Times New Roman"/>
                <w:rtl w:val="true"/>
              </w:rPr>
              <w:t>המ</w:t>
            </w:r>
            <w:r>
              <w:rPr>
                <w:rFonts w:ascii="David;Times New Roman" w:hAnsi="David;Times New Roman"/>
                <w:rtl w:val="true"/>
              </w:rPr>
              <w:t>בקשים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>
          <w:rFonts w:cs="David;Times New Roman"/>
        </w:rPr>
      </w:pPr>
      <w:r>
        <w:rPr>
          <w:rFonts w:cs="Times New Roman"/>
          <w:rtl w:val="true"/>
        </w:rPr>
        <w:t xml:space="preserve"> </w:t>
      </w:r>
      <w:bookmarkStart w:id="3" w:name="FirstLawyer"/>
      <w:r>
        <w:rPr>
          <w:rFonts w:cs="David;Times New Roman"/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המשיב</w:t>
      </w:r>
      <w:bookmarkEnd w:id="3"/>
      <w:r>
        <w:rPr>
          <w:rFonts w:cs="David;Times New Roman"/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</w:rPr>
        <w:t>1</w:t>
      </w:r>
      <w:r>
        <w:rPr>
          <w:rFonts w:cs="David;Times New Roman"/>
          <w:rtl w:val="true"/>
        </w:rPr>
        <w:t>:</w:t>
      </w:r>
      <w:r>
        <w:rPr>
          <w:rFonts w:cs="David;Times New Roman"/>
          <w:rtl w:val="true"/>
        </w:rPr>
        <w:tab/>
      </w:r>
      <w:r>
        <w:rPr>
          <w:rFonts w:cs="David;Times New Roman"/>
          <w:rtl w:val="true"/>
        </w:rPr>
        <w:t>עו</w:t>
      </w:r>
      <w:r>
        <w:rPr>
          <w:rFonts w:cs="David;Times New Roman"/>
          <w:rtl w:val="true"/>
        </w:rPr>
        <w:t>"</w:t>
      </w:r>
      <w:r>
        <w:rPr>
          <w:rFonts w:cs="David;Times New Roman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שרית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חתוקה</w:t>
      </w:r>
    </w:p>
    <w:p>
      <w:pPr>
        <w:pStyle w:val="Ruller31"/>
        <w:spacing w:lineRule="auto" w:line="240"/>
        <w:ind w:end="0"/>
        <w:jc w:val="start"/>
        <w:rPr>
          <w:rFonts w:cs="David;Times New Roman"/>
        </w:rPr>
      </w:pPr>
      <w:r>
        <w:rPr>
          <w:rFonts w:cs="David;Times New Roman"/>
          <w:rtl w:val="true"/>
        </w:rPr>
      </w:r>
    </w:p>
    <w:p>
      <w:pPr>
        <w:pStyle w:val="Ruller31"/>
        <w:ind w:end="0"/>
        <w:jc w:val="start"/>
        <w:rPr>
          <w:rFonts w:cs="David;Times New Roman"/>
        </w:rPr>
      </w:pP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</w:rPr>
        <w:t>2</w:t>
      </w:r>
      <w:r>
        <w:rPr>
          <w:rFonts w:cs="David;Times New Roman"/>
          <w:rtl w:val="true"/>
        </w:rPr>
        <w:t>:</w:t>
      </w:r>
      <w:r>
        <w:rPr>
          <w:rFonts w:cs="David;Times New Roman"/>
          <w:rtl w:val="true"/>
        </w:rPr>
        <w:tab/>
      </w:r>
      <w:r>
        <w:rPr>
          <w:rFonts w:cs="David;Times New Roman"/>
          <w:rtl w:val="true"/>
        </w:rPr>
        <w:t>עו</w:t>
      </w:r>
      <w:r>
        <w:rPr>
          <w:rFonts w:cs="David;Times New Roman"/>
          <w:rtl w:val="true"/>
        </w:rPr>
        <w:t>"</w:t>
      </w:r>
      <w:r>
        <w:rPr>
          <w:rFonts w:cs="David;Times New Roman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חדד</w:t>
      </w:r>
      <w:r>
        <w:rPr>
          <w:rFonts w:cs="David;Times New Roman"/>
          <w:rtl w:val="true"/>
        </w:rPr>
        <w:t xml:space="preserve">; </w:t>
      </w:r>
      <w:r>
        <w:rPr>
          <w:rFonts w:cs="David;Times New Roman"/>
          <w:rtl w:val="true"/>
        </w:rPr>
        <w:t>עו</w:t>
      </w:r>
      <w:r>
        <w:rPr>
          <w:rFonts w:cs="David;Times New Roman"/>
          <w:rtl w:val="true"/>
        </w:rPr>
        <w:t>"</w:t>
      </w:r>
      <w:r>
        <w:rPr>
          <w:rFonts w:cs="David;Times New Roman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בעז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צור</w:t>
      </w:r>
    </w:p>
    <w:p>
      <w:pPr>
        <w:pStyle w:val="Ruller31"/>
        <w:spacing w:lineRule="auto" w:line="240"/>
        <w:ind w:end="0"/>
        <w:jc w:val="start"/>
        <w:rPr>
          <w:rFonts w:cs="David;Times New Roman"/>
        </w:rPr>
      </w:pPr>
      <w:r>
        <w:rPr>
          <w:rFonts w:cs="David;Times New Roman"/>
          <w:rtl w:val="true"/>
        </w:rPr>
      </w:r>
    </w:p>
    <w:p>
      <w:pPr>
        <w:pStyle w:val="Ruller31"/>
        <w:ind w:end="0"/>
        <w:jc w:val="start"/>
        <w:rPr>
          <w:rFonts w:cs="David;Times New Roman"/>
        </w:rPr>
      </w:pP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</w:rPr>
        <w:t>3</w:t>
      </w:r>
      <w:r>
        <w:rPr>
          <w:rFonts w:cs="David;Times New Roman"/>
          <w:rtl w:val="true"/>
        </w:rPr>
        <w:t>:</w:t>
      </w:r>
      <w:r>
        <w:rPr>
          <w:rFonts w:cs="David;Times New Roman"/>
          <w:rtl w:val="true"/>
        </w:rPr>
        <w:tab/>
      </w:r>
      <w:r>
        <w:rPr>
          <w:rFonts w:cs="David;Times New Roman"/>
          <w:rtl w:val="true"/>
        </w:rPr>
        <w:t>עו</w:t>
      </w:r>
      <w:r>
        <w:rPr>
          <w:rFonts w:cs="David;Times New Roman"/>
          <w:rtl w:val="true"/>
        </w:rPr>
        <w:t>"</w:t>
      </w:r>
      <w:r>
        <w:rPr>
          <w:rFonts w:cs="David;Times New Roman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נוית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נגב</w:t>
      </w:r>
      <w:r>
        <w:rPr>
          <w:rFonts w:cs="David;Times New Roman"/>
          <w:rtl w:val="true"/>
        </w:rPr>
        <w:t xml:space="preserve">; </w:t>
      </w:r>
      <w:r>
        <w:rPr>
          <w:rFonts w:cs="David;Times New Roman"/>
          <w:rtl w:val="true"/>
        </w:rPr>
        <w:t>עו</w:t>
      </w:r>
      <w:r>
        <w:rPr>
          <w:rFonts w:cs="David;Times New Roman"/>
          <w:rtl w:val="true"/>
        </w:rPr>
        <w:t>"</w:t>
      </w:r>
      <w:r>
        <w:rPr>
          <w:rFonts w:cs="David;Times New Roman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ניב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סבאג</w:t>
      </w:r>
    </w:p>
    <w:p>
      <w:pPr>
        <w:pStyle w:val="Ruller31"/>
        <w:spacing w:lineRule="auto" w:line="240"/>
        <w:ind w:end="0"/>
        <w:jc w:val="start"/>
        <w:rPr>
          <w:rFonts w:cs="David;Times New Roman"/>
        </w:rPr>
      </w:pPr>
      <w:r>
        <w:rPr>
          <w:rFonts w:cs="David;Times New Roman"/>
          <w:rtl w:val="true"/>
        </w:rPr>
      </w:r>
    </w:p>
    <w:p>
      <w:pPr>
        <w:pStyle w:val="Ruller31"/>
        <w:ind w:hanging="2160" w:start="2160" w:end="0"/>
        <w:jc w:val="both"/>
        <w:rPr>
          <w:rFonts w:cs="David;Times New Roman"/>
        </w:rPr>
      </w:pP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</w:rPr>
        <w:t>5-4</w:t>
      </w:r>
      <w:r>
        <w:rPr>
          <w:rFonts w:cs="David;Times New Roman"/>
          <w:rtl w:val="true"/>
        </w:rPr>
        <w:t>:</w:t>
      </w:r>
      <w:r>
        <w:rPr>
          <w:rFonts w:cs="David;Times New Roman"/>
          <w:rtl w:val="true"/>
        </w:rPr>
        <w:tab/>
      </w:r>
      <w:r>
        <w:rPr>
          <w:rFonts w:cs="David;Times New Roman"/>
          <w:rtl w:val="true"/>
        </w:rPr>
        <w:t>עו</w:t>
      </w:r>
      <w:r>
        <w:rPr>
          <w:rFonts w:cs="David;Times New Roman"/>
          <w:rtl w:val="true"/>
        </w:rPr>
        <w:t>"</w:t>
      </w:r>
      <w:r>
        <w:rPr>
          <w:rFonts w:cs="David;Times New Roman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ג</w:t>
      </w:r>
      <w:r>
        <w:rPr>
          <w:rFonts w:cs="David;Times New Roman"/>
          <w:rtl w:val="true"/>
        </w:rPr>
        <w:t>'</w:t>
      </w:r>
      <w:r>
        <w:rPr>
          <w:rFonts w:cs="David;Times New Roman"/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חן</w:t>
      </w:r>
      <w:r>
        <w:rPr>
          <w:rFonts w:cs="David;Times New Roman"/>
          <w:rtl w:val="true"/>
        </w:rPr>
        <w:t xml:space="preserve">; </w:t>
      </w:r>
      <w:r>
        <w:rPr>
          <w:rFonts w:cs="David;Times New Roman"/>
          <w:rtl w:val="true"/>
        </w:rPr>
        <w:t>עו</w:t>
      </w:r>
      <w:r>
        <w:rPr>
          <w:rFonts w:cs="David;Times New Roman"/>
          <w:rtl w:val="true"/>
        </w:rPr>
        <w:t>"</w:t>
      </w:r>
      <w:r>
        <w:rPr>
          <w:rFonts w:cs="David;Times New Roman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רוזן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עוזר</w:t>
      </w:r>
      <w:r>
        <w:rPr>
          <w:rFonts w:cs="David;Times New Roman"/>
          <w:rtl w:val="true"/>
        </w:rPr>
        <w:t xml:space="preserve">; </w:t>
      </w:r>
      <w:r>
        <w:rPr>
          <w:rFonts w:cs="David;Times New Roman"/>
          <w:rtl w:val="true"/>
        </w:rPr>
        <w:t>עו</w:t>
      </w:r>
      <w:r>
        <w:rPr>
          <w:rFonts w:cs="David;Times New Roman"/>
          <w:rtl w:val="true"/>
        </w:rPr>
        <w:t>"</w:t>
      </w:r>
      <w:r>
        <w:rPr>
          <w:rFonts w:cs="David;Times New Roman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נעה</w:t>
      </w:r>
      <w:r>
        <w:rPr>
          <w:rFonts w:cs="Times New Roman"/>
          <w:rtl w:val="true"/>
        </w:rPr>
        <w:t xml:space="preserve">    </w:t>
      </w:r>
    </w:p>
    <w:p>
      <w:pPr>
        <w:pStyle w:val="Ruller31"/>
        <w:ind w:hanging="2160" w:start="2160" w:end="0"/>
        <w:jc w:val="start"/>
        <w:rPr>
          <w:rFonts w:cs="David;Times New Roman"/>
        </w:rPr>
      </w:pPr>
      <w:r>
        <w:rPr>
          <w:rFonts w:cs="David;Times New Roman"/>
          <w:rtl w:val="true"/>
        </w:rPr>
        <w:tab/>
        <w:tab/>
      </w:r>
      <w:r>
        <w:rPr>
          <w:rFonts w:cs="David;Times New Roman"/>
          <w:rtl w:val="true"/>
        </w:rPr>
        <w:t>פירר</w:t>
      </w:r>
      <w:r>
        <w:rPr>
          <w:rFonts w:cs="David;Times New Roman"/>
          <w:rtl w:val="true"/>
        </w:rPr>
        <w:t xml:space="preserve">; </w:t>
      </w:r>
      <w:r>
        <w:rPr>
          <w:rFonts w:cs="David;Times New Roman"/>
          <w:rtl w:val="true"/>
        </w:rPr>
        <w:t>עו</w:t>
      </w:r>
      <w:r>
        <w:rPr>
          <w:rFonts w:cs="David;Times New Roman"/>
          <w:rtl w:val="true"/>
        </w:rPr>
        <w:t>"</w:t>
      </w:r>
      <w:r>
        <w:rPr>
          <w:rFonts w:cs="David;Times New Roman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יהל</w:t>
      </w:r>
      <w:r>
        <w:rPr>
          <w:rFonts w:cs="Times New Roman"/>
          <w:rtl w:val="true"/>
        </w:rPr>
        <w:t xml:space="preserve"> </w:t>
      </w:r>
      <w:r>
        <w:rPr>
          <w:rFonts w:cs="David;Times New Roman"/>
          <w:rtl w:val="true"/>
        </w:rPr>
        <w:t>דאר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1984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26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4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68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68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68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8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תקנות סדר הדין האזרחי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2018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135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פרק יז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8"/>
          <w:szCs w:val="36"/>
        </w:rPr>
      </w:pPr>
      <w:r>
        <w:rPr>
          <w:rFonts w:cs="FrankRuehl;Times New Roman" w:ascii="FrankRuehl;Times New Roman" w:hAnsi="FrankRuehl;Times New Roman"/>
          <w:color w:val="0000FF"/>
          <w:sz w:val="28"/>
          <w:szCs w:val="36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עיתונאים 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שדחתה את בקשתם להעלות את קבצי הקול של הקלטות הדיונים בתיק משפטם של ראש הממשלה לשעבר נתניהו ונאשמים נוספים בעבירות שוחד ובעבירות על טוהר המידות בשירות 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למערכת נט המשפט ולהתיר הקלטות אלו לפרסום פומבי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לעיתונאים יש נגישות לאולם המשפט ולפרוטוקול הדיונים ובכך באה זכותם ועיקרון פומביות הדיון על סיפוקם ואין להם זכות מוקנית להאזין להקלטות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באין זכות מוקנית שנפגעה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הלכת חסן המקנה זכות ערעור למי שאינו בעל דין ישיר בהליך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חלה ואינה מקנה למערערים זכות לערער על ההחלטה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פומביות הדיון – הגבלתה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זכות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עיתונאים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שדחתה את בקשתם ליתן הוראה למזכירות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להעלות את קבצי הקול של הקלטות הדיונים בתיק למערכת נט המשפט וכן להתיר הקלטות אלו לפרסום פומבי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במשפט שבו מדובר מתבררת שאלת אשמתם של ראש ממשלת ישראל לשעבר בנימין נתניהו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ושל נאשמים נוספים בעבירות שוחד ובעבירות נוספות הקשורות לטוהר המידות בשירות 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ההחלטה קמא יסודה בטעות מאחר שהיא פוגעת בעבודת העיתונאים המסקרים את המשפט ועל ידי כך גורעת מהעיקרון של פומביות הדיון ומסבה נזק לחופש העיתונות ולזכות הציבור לדעת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נטען כי פגיעה בזכויותיהם כעיתונאים ובאינטרסים ציבוריים שזכויות אלה משרתות היא בגדר הפרת זכות של מי שאינו בעל דין ישיר במסגרת ניהולו של הליך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שעליה ניתן לערער בזכות מכוחה של הלכת חסן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הלכת חסן נסובה על זכות הערעור של מי שאינו בעל דין ישיר בהליך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כדוגמת אדם שחויב להעיד בניגוד לרצונו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עד מומחה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פסק לו שכר שראוי היה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לפסוק לטובתו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הלכת חסן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אדם כזה זוכה למעמד של בעל דין הרשאי לערער בזכות על החלטתו הסופית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אשר לטענתו פגעה בזכות המוקנית לו בדין ובתור שכזאת מהווה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פסק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ביסוד ההלכה עומדים שני תנאים שאין בלתם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זכות מוקנית והחלטה סופית של בית המשפט אשר דן בהליך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תנאים כאמור אינם מתקיימים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68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בתי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הקלטת הדיון חייבת להישמר בידי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והזכות להאזין לה נתונה אך ורק לבעלי הדין הישירים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68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קובע כי הקלטת הדיון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 תיחשב פרוטוקול הדיון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שחייב לתעד את הדיון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בדרך אמינה ומדויקת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כנדרש בסעיף </w:t>
      </w:r>
      <w:r>
        <w:rPr>
          <w:rFonts w:cs="Times New Roman" w:ascii="Times New Roman" w:hAnsi="Times New Roman"/>
          <w:spacing w:val="0"/>
          <w:szCs w:val="26"/>
        </w:rPr>
        <w:t>68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למערערים ולשאר העיתונאים המורשים יש נגישות לאולם המשפט ולפרוטוקול הדיונים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באה זכותם והעיקרון של פומביות הדיון על סיפוקם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למערערים ולשאר העיתונאים אין זכות מוקנית להאזין להקלטות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ובאין זכות מוקנית שנפגעה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הלכת חסן לא חלה בעניינם ואינה מקנה להם את הזכות לערער על ההחלטה קמא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ההחלטה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אינה בגדר החלטה סופית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אין זה מן הנמנע שבית המשפט אשר דן במשפט יחליט ליתן פומבי להקלטת הדיון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מלא או חלקי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ההחלטה קמא אינה בגדר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פסק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בגדר החלטת ביניים בהליך פלילי בעלת אופי דיוני מובהק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שאינה ניתנת לערעור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ציין כי ערעור אשר מוגש על ידי עד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על ידי אדם אחר שאינו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שלטענתו הפך להיות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בעל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מכוחה של הלכת חסן בעקבות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בהליך פלילי אשר פגעה בזכות המוקנית לו בדין הוא ערעור אזרחי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ערעור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להגישו לפי הוראות פרק י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 לתקנות סדר הדין האזרחי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התשע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2018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כוללות חובה להפקיד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ערובה להוצאות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8"/>
          <w:szCs w:val="36"/>
        </w:rPr>
      </w:pPr>
      <w:r>
        <w:rPr>
          <w:rFonts w:cs="Times New Roman"/>
          <w:spacing w:val="0"/>
          <w:sz w:val="28"/>
          <w:szCs w:val="3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12"/>
          <w:szCs w:val="12"/>
          <w:u w:val="single"/>
        </w:rPr>
      </w:pPr>
      <w:r>
        <w:rPr>
          <w:rFonts w:cs="Miriam"/>
          <w:sz w:val="12"/>
          <w:szCs w:val="12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bookmarkStart w:id="16" w:name="Start_Write"/>
      <w:bookmarkEnd w:id="16"/>
      <w:r>
        <w:rPr>
          <w:rtl w:val="true"/>
        </w:rPr>
        <w:t xml:space="preserve">לפניי ערעור על החלטת בית המשפט המחוזי ירושלים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פלדמן</w:t>
      </w:r>
      <w:r>
        <w:rPr>
          <w:rtl w:val="true"/>
        </w:rPr>
        <w:t xml:space="preserve">) </w:t>
      </w:r>
      <w:r>
        <w:rPr>
          <w:rtl w:val="true"/>
        </w:rPr>
        <w:t xml:space="preserve">אשר ניתנה ביום </w:t>
      </w:r>
      <w:r>
        <w:rPr/>
        <w:t>8.6.2021</w:t>
      </w:r>
      <w:r>
        <w:rPr>
          <w:rtl w:val="true"/>
        </w:rPr>
        <w:t xml:space="preserve"> </w:t>
      </w:r>
      <w:r>
        <w:rPr>
          <w:rtl w:val="true"/>
        </w:rPr>
        <w:t xml:space="preserve">בגדרו של 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67104-01-20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ואשר דחתה את בקשת המערערים ליתן הוראה למזכירות בית המשפט להעלות את קבצי הקול של הקלטות הדיונים בתיק למערכת נט המשפט וכן להתיר הקלטות אלו לפרסום פומבי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הנני דן בערעור זה מכוח האמור </w:t>
      </w:r>
      <w:hyperlink r:id="rId1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בהחלטה קמא נקבע כי דין בקשת המערערים להידחות </w:t>
      </w:r>
      <w:r>
        <w:rPr>
          <w:rtl w:val="true"/>
        </w:rPr>
        <w:t>"</w:t>
      </w:r>
      <w:r>
        <w:rPr>
          <w:rtl w:val="true"/>
        </w:rPr>
        <w:t>ולו מן הטעם שכיום אולמות הדיונים בבית המשפט פתוחים לציבור</w:t>
      </w:r>
      <w:r>
        <w:rPr>
          <w:rtl w:val="true"/>
        </w:rPr>
        <w:t xml:space="preserve">, </w:t>
      </w:r>
      <w:r>
        <w:rPr>
          <w:rtl w:val="true"/>
        </w:rPr>
        <w:t>ובכלל זה לעיתונאים המסקרים את המשפט</w:t>
      </w:r>
      <w:r>
        <w:rPr>
          <w:rtl w:val="true"/>
        </w:rPr>
        <w:t xml:space="preserve">". </w:t>
      </w:r>
      <w:r>
        <w:rPr>
          <w:rtl w:val="true"/>
        </w:rPr>
        <w:t>במשפט שבו מדובר מתבררת שאלת אשמתם של ראש ממשלת ישראל לשעבר</w:t>
      </w:r>
      <w:r>
        <w:rPr>
          <w:rtl w:val="true"/>
        </w:rPr>
        <w:t xml:space="preserve">,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 בנימין נתניהו</w:t>
      </w:r>
      <w:r>
        <w:rPr>
          <w:rtl w:val="true"/>
        </w:rPr>
        <w:t xml:space="preserve">, </w:t>
      </w:r>
      <w:r>
        <w:rPr>
          <w:rtl w:val="true"/>
        </w:rPr>
        <w:t xml:space="preserve">ושל נאשמים נוספים בעבירות שוחד ובעבירות נוספות הקשורות לטוהר המידות בשירות הציבורי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). </w:t>
      </w:r>
      <w:r>
        <w:rPr>
          <w:rtl w:val="true"/>
        </w:rPr>
        <w:t xml:space="preserve">המערערים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 xml:space="preserve">הם עיתונאים המועסקים על ידי המערערת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גוף המתופעל על ידי עמותת </w:t>
      </w:r>
      <w:r>
        <w:rPr>
          <w:rtl w:val="true"/>
        </w:rPr>
        <w:t>"</w:t>
      </w:r>
      <w:r>
        <w:rPr>
          <w:rtl w:val="true"/>
        </w:rPr>
        <w:t xml:space="preserve">שקוף </w:t>
      </w:r>
      <w:r>
        <w:rPr>
          <w:rtl w:val="true"/>
        </w:rPr>
        <w:t>–</w:t>
      </w:r>
      <w:r>
        <w:rPr>
          <w:rtl w:val="true"/>
        </w:rPr>
        <w:t xml:space="preserve"> עיתונות למען שמירת הדמוקרטיה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ההחלטה קמא יסודה בטעות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מאחר שהיא פוגעת בעבודתם הם ובעבודתם של עיתונאים אחרים המסקרים את המשפט ועל ידי כך גורעת מהעיקרון של פומביות הדיון ומסבה נזק לחופש העיתונות ולזכות הציבור לדעת</w:t>
      </w:r>
      <w:r>
        <w:rPr>
          <w:rtl w:val="true"/>
        </w:rPr>
        <w:t xml:space="preserve">. </w:t>
      </w:r>
      <w:r>
        <w:rPr>
          <w:rtl w:val="true"/>
        </w:rPr>
        <w:t>המערערים מוסיפים וטוענים כי פגיעה בזכויותיהם כעיתונאים ובאינטרסים ציבוריים שזכויות אלה משרתות היא בגדר הפרת זכות של מי שאינו בעל דין ישיר במסגרת ניהולו של הליך פלילי</w:t>
      </w:r>
      <w:r>
        <w:rPr>
          <w:rtl w:val="true"/>
        </w:rPr>
        <w:t xml:space="preserve">, </w:t>
      </w:r>
      <w:r>
        <w:rPr>
          <w:rtl w:val="true"/>
        </w:rPr>
        <w:t xml:space="preserve">שעליה ניתן לערער בזכות מכוחה של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670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בכתובים אשר הונחו על שולחני על ידי בעלי הדין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הערעור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tl w:val="true"/>
        </w:rPr>
        <w:t xml:space="preserve"> נסובה על זכות הערעור של מי שאינו בעל דין ישיר בהליך העיקרי</w:t>
      </w:r>
      <w:r>
        <w:rPr>
          <w:rtl w:val="true"/>
        </w:rPr>
        <w:t xml:space="preserve">, </w:t>
      </w:r>
      <w:r>
        <w:rPr>
          <w:rtl w:val="true"/>
        </w:rPr>
        <w:t>כדוגמת אדם שחוייב להעיד בניגוד לרצונו</w:t>
      </w:r>
      <w:r>
        <w:rPr>
          <w:rtl w:val="true"/>
        </w:rPr>
        <w:t xml:space="preserve">, </w:t>
      </w:r>
      <w:r>
        <w:rPr>
          <w:rtl w:val="true"/>
        </w:rPr>
        <w:t>או עד מומחה שבית משפט לא פסק לו שכר שראוי היה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לפסוק לטובתו</w:t>
      </w:r>
      <w:r>
        <w:rPr>
          <w:rtl w:val="true"/>
        </w:rPr>
        <w:t xml:space="preserve">. </w:t>
      </w:r>
      <w:r>
        <w:rPr>
          <w:rtl w:val="true"/>
        </w:rPr>
        <w:t xml:space="preserve">לפי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 xml:space="preserve">אדם כזה זוכה למעמד של בעל דין הרשאי לערער בזכות על החלטתו הסופית של בית המשפט אשר לטענתו פגעה בזכות המוקנית לו בדין ובתור שכזאת מהווה </w:t>
      </w:r>
      <w:r>
        <w:rPr>
          <w:rtl w:val="true"/>
        </w:rPr>
        <w:t>"</w:t>
      </w:r>
      <w:r>
        <w:rPr>
          <w:rtl w:val="true"/>
        </w:rPr>
        <w:t>פסק דין</w:t>
      </w:r>
      <w:r>
        <w:rPr>
          <w:rtl w:val="true"/>
        </w:rPr>
        <w:t xml:space="preserve">" </w:t>
      </w:r>
      <w:r>
        <w:rPr>
          <w:rtl w:val="true"/>
        </w:rPr>
        <w:t>בעניינו</w:t>
      </w:r>
      <w:r>
        <w:rPr>
          <w:rtl w:val="true"/>
        </w:rPr>
        <w:t>-</w:t>
      </w:r>
      <w:r>
        <w:rPr>
          <w:rtl w:val="true"/>
        </w:rPr>
        <w:t xml:space="preserve">שלו </w:t>
      </w:r>
      <w:r>
        <w:rPr>
          <w:rtl w:val="true"/>
        </w:rPr>
        <w:t>(</w:t>
      </w:r>
      <w:r>
        <w:rPr>
          <w:rtl w:val="true"/>
        </w:rPr>
        <w:t>ראו שם</w:t>
      </w:r>
      <w:r>
        <w:rPr>
          <w:rtl w:val="true"/>
        </w:rPr>
        <w:t xml:space="preserve">, 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695-693</w:t>
      </w:r>
      <w:r>
        <w:rPr>
          <w:rtl w:val="true"/>
        </w:rPr>
        <w:t xml:space="preserve">; </w:t>
      </w:r>
      <w:r>
        <w:rPr>
          <w:rtl w:val="true"/>
        </w:rPr>
        <w:t xml:space="preserve">וראו גם </w:t>
      </w:r>
      <w:hyperlink r:id="rId1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צירינסקי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בחדרה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721</w:t>
      </w:r>
      <w:r>
        <w:rPr>
          <w:rtl w:val="true"/>
        </w:rPr>
        <w:t xml:space="preserve">, </w:t>
      </w:r>
      <w:r>
        <w:rPr/>
        <w:t>729-728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</w:t>
      </w:r>
      <w:r>
        <w:rPr>
          <w:rtl w:val="true"/>
        </w:rPr>
        <w:t xml:space="preserve">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ביסוד ההלכה עומדים שני תנאים שאין בלתם</w:t>
      </w:r>
      <w:r>
        <w:rPr>
          <w:rtl w:val="true"/>
        </w:rPr>
        <w:t xml:space="preserve">: </w:t>
      </w:r>
      <w:r>
        <w:rPr>
          <w:rtl w:val="true"/>
        </w:rPr>
        <w:t>זכות מוקנית והחלטה סופית של בית המשפט אשר דן בהליך העיקרי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תנאים כאמור אינם מתקיימים</w:t>
      </w:r>
      <w:r>
        <w:rPr>
          <w:rtl w:val="true"/>
        </w:rPr>
        <w:t xml:space="preserve">.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, </w:t>
      </w:r>
      <w:r>
        <w:rPr>
          <w:rtl w:val="true"/>
        </w:rPr>
        <w:t>הקלטת הדיון חייבת להישמר בידי בית המשפט והזכות להאזין לה נתונה אך ורק לבעלי הדין הישירים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: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קובע כי </w:t>
      </w:r>
      <w:r>
        <w:rPr>
          <w:rtl w:val="true"/>
        </w:rPr>
        <w:t>הקלט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תיחשב</w:t>
      </w:r>
      <w:r>
        <w:rPr>
          <w:rtl w:val="true"/>
        </w:rPr>
        <w:t xml:space="preserve"> 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" </w:t>
      </w:r>
      <w:r>
        <w:rPr>
          <w:rtl w:val="true"/>
        </w:rPr>
        <w:t xml:space="preserve">שחייב לתעד את הדיון </w:t>
      </w:r>
      <w:r>
        <w:rPr>
          <w:rtl w:val="true"/>
        </w:rPr>
        <w:t>"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 </w:t>
      </w:r>
      <w:r>
        <w:rPr>
          <w:rtl w:val="true"/>
        </w:rPr>
        <w:t>ומדויקת</w:t>
      </w:r>
      <w:r>
        <w:rPr>
          <w:rtl w:val="true"/>
        </w:rPr>
        <w:t xml:space="preserve">", </w:t>
      </w:r>
      <w:r>
        <w:rPr>
          <w:rtl w:val="true"/>
        </w:rPr>
        <w:t xml:space="preserve">כנדרש </w:t>
      </w:r>
      <w:hyperlink r:id="rId1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למערערים ולשאר העיתונאים המורשים יש נגישות לאולם המשפט ולפרוטוקול הדיונים</w:t>
      </w:r>
      <w:r>
        <w:rPr>
          <w:rtl w:val="true"/>
        </w:rPr>
        <w:t xml:space="preserve">. </w:t>
      </w:r>
      <w:r>
        <w:rPr>
          <w:rtl w:val="true"/>
        </w:rPr>
        <w:t>בכך באה זכותם והעיקרון של פומביות הדיון על סיפוקם</w:t>
      </w:r>
      <w:r>
        <w:rPr>
          <w:rtl w:val="true"/>
        </w:rPr>
        <w:t xml:space="preserve">. </w:t>
      </w:r>
      <w:r>
        <w:rPr>
          <w:rtl w:val="true"/>
        </w:rPr>
        <w:t>למערערים ולשאר העיתונאים אין זכות מוקנית להאזין להקלטות</w:t>
      </w:r>
      <w:r>
        <w:rPr>
          <w:rtl w:val="true"/>
        </w:rPr>
        <w:t xml:space="preserve">; </w:t>
      </w:r>
      <w:r>
        <w:rPr>
          <w:rtl w:val="true"/>
        </w:rPr>
        <w:t>ובאין זכות מוקנית שנפגעה</w:t>
      </w:r>
      <w:r>
        <w:rPr>
          <w:rtl w:val="true"/>
        </w:rPr>
        <w:t xml:space="preserve">, 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tl w:val="true"/>
        </w:rPr>
        <w:t xml:space="preserve"> לא חלה בעניינם ואינה מקנה להם את הזכות לערער על ההחלטה 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ההחלטה קמא</w:t>
      </w:r>
      <w:r>
        <w:rPr>
          <w:rtl w:val="true"/>
        </w:rPr>
        <w:t xml:space="preserve">, </w:t>
      </w:r>
      <w:r>
        <w:rPr>
          <w:rtl w:val="true"/>
        </w:rPr>
        <w:t>אף אינה בגדר החלטה סופית</w:t>
      </w:r>
      <w:r>
        <w:rPr>
          <w:rtl w:val="true"/>
        </w:rPr>
        <w:t xml:space="preserve">, </w:t>
      </w:r>
      <w:r>
        <w:rPr>
          <w:rtl w:val="true"/>
        </w:rPr>
        <w:t>שכן אין זה מן הנמנע שבית המשפט אשר דן במשפט יחליט ליתן פומבי להקלטת הדיון</w:t>
      </w:r>
      <w:r>
        <w:rPr>
          <w:rtl w:val="true"/>
        </w:rPr>
        <w:t xml:space="preserve">, </w:t>
      </w:r>
      <w:r>
        <w:rPr>
          <w:rtl w:val="true"/>
        </w:rPr>
        <w:t>באופן מלא או חלקי</w:t>
      </w:r>
      <w:r>
        <w:rPr>
          <w:rtl w:val="true"/>
        </w:rPr>
        <w:t xml:space="preserve">,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ההחלטה קמא אינה בגדר </w:t>
      </w:r>
      <w:r>
        <w:rPr>
          <w:rtl w:val="true"/>
        </w:rPr>
        <w:t>"</w:t>
      </w:r>
      <w:r>
        <w:rPr>
          <w:rtl w:val="true"/>
        </w:rPr>
        <w:t>פסק דין</w:t>
      </w:r>
      <w:r>
        <w:rPr>
          <w:rtl w:val="true"/>
        </w:rPr>
        <w:t xml:space="preserve">" </w:t>
      </w:r>
      <w:r>
        <w:rPr>
          <w:rtl w:val="true"/>
        </w:rPr>
        <w:t>אלא בגדר החלטת ביניים בהליך פלילי בעלת אופי דיוני מובהק</w:t>
      </w:r>
      <w:r>
        <w:rPr>
          <w:rtl w:val="true"/>
        </w:rPr>
        <w:t xml:space="preserve">, </w:t>
      </w:r>
      <w:r>
        <w:rPr>
          <w:rtl w:val="true"/>
        </w:rPr>
        <w:t>שאינה ניתנת לערעור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יפים הם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אשר נאמרו ביחס לדרישתו של </w:t>
      </w:r>
      <w:r>
        <w:rPr>
          <w:rtl w:val="true"/>
        </w:rPr>
        <w:t>פורום</w:t>
      </w:r>
      <w:r>
        <w:rPr>
          <w:rtl w:val="true"/>
        </w:rPr>
        <w:t xml:space="preserve"> </w:t>
      </w:r>
      <w:r>
        <w:rPr>
          <w:rtl w:val="true"/>
        </w:rPr>
        <w:t>נאמני</w:t>
      </w:r>
      <w:r>
        <w:rPr>
          <w:rtl w:val="true"/>
        </w:rPr>
        <w:t xml:space="preserve"> </w:t>
      </w:r>
      <w:r>
        <w:rPr>
          <w:rtl w:val="true"/>
        </w:rPr>
        <w:t>ארץ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בליכוד</w:t>
      </w:r>
      <w:r>
        <w:rPr>
          <w:rtl w:val="true"/>
        </w:rPr>
        <w:t xml:space="preserve"> לאפשר לאנשיו להיות נוכחים במשפט שבו קא עסקינן חרף המגבלות שהולטו בשל נגיף הקורונה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"; </w:t>
      </w:r>
      <w:r>
        <w:rPr>
          <w:rtl w:val="true"/>
        </w:rPr>
        <w:t>וספק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ושיש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tl w:val="true"/>
        </w:rPr>
        <w:t xml:space="preserve">. [...] </w:t>
      </w:r>
      <w:r>
        <w:rPr>
          <w:rtl w:val="true"/>
        </w:rPr>
        <w:t>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tl w:val="true"/>
        </w:rPr>
        <w:t xml:space="preserve">, </w:t>
      </w:r>
      <w:r>
        <w:rPr>
          <w:rtl w:val="true"/>
        </w:rPr>
        <w:t>שמטבע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. [...]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בהשגתם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תלתא</w:t>
      </w:r>
      <w:r>
        <w:rPr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בליכוד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9-8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</w:t>
      </w:r>
      <w:r>
        <w:rPr/>
        <w:t>5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בטרם אסיים</w:t>
      </w:r>
      <w:r>
        <w:rPr>
          <w:rtl w:val="true"/>
        </w:rPr>
        <w:t xml:space="preserve">, </w:t>
      </w:r>
      <w:r>
        <w:rPr>
          <w:rtl w:val="true"/>
        </w:rPr>
        <w:t>ברצוני להעיר הערה בנוגע למהות הערעור אשר מוגש על ידי עד</w:t>
      </w:r>
      <w:r>
        <w:rPr>
          <w:rtl w:val="true"/>
        </w:rPr>
        <w:t xml:space="preserve">, </w:t>
      </w:r>
      <w:r>
        <w:rPr>
          <w:rtl w:val="true"/>
        </w:rPr>
        <w:t>או על ידי אדם אחר שאינו נאשם</w:t>
      </w:r>
      <w:r>
        <w:rPr>
          <w:rtl w:val="true"/>
        </w:rPr>
        <w:t xml:space="preserve">, </w:t>
      </w:r>
      <w:r>
        <w:rPr>
          <w:rtl w:val="true"/>
        </w:rPr>
        <w:t xml:space="preserve">שלטענתו הפך להיות </w:t>
      </w:r>
      <w:r>
        <w:rPr>
          <w:rtl w:val="true"/>
        </w:rPr>
        <w:t>"</w:t>
      </w:r>
      <w:r>
        <w:rPr>
          <w:rtl w:val="true"/>
        </w:rPr>
        <w:t>בעל דין</w:t>
      </w:r>
      <w:r>
        <w:rPr>
          <w:rtl w:val="true"/>
        </w:rPr>
        <w:t xml:space="preserve">" </w:t>
      </w:r>
      <w:r>
        <w:rPr>
          <w:rtl w:val="true"/>
        </w:rPr>
        <w:t xml:space="preserve">מכוחה של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tl w:val="true"/>
        </w:rPr>
        <w:t xml:space="preserve"> בעקבות החלטת בית</w:t>
      </w:r>
      <w:r>
        <w:rPr>
          <w:rtl w:val="true"/>
        </w:rPr>
        <w:t>-</w:t>
      </w:r>
      <w:r>
        <w:rPr>
          <w:rtl w:val="true"/>
        </w:rPr>
        <w:t>משפט בהליך פלילי אשר פגעה בזכות המוקנית לו בדין</w:t>
      </w:r>
      <w:r>
        <w:rPr>
          <w:rtl w:val="true"/>
        </w:rPr>
        <w:t xml:space="preserve">. </w:t>
      </w:r>
      <w:r>
        <w:rPr>
          <w:rtl w:val="true"/>
        </w:rPr>
        <w:t>ערעור כזה</w:t>
      </w:r>
      <w:r>
        <w:rPr>
          <w:rtl w:val="true"/>
        </w:rPr>
        <w:t xml:space="preserve">, </w:t>
      </w:r>
      <w:r>
        <w:rPr>
          <w:rtl w:val="true"/>
        </w:rPr>
        <w:t>לפי מהותו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ולא ערעור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ועל כן יש להגישו כערעור אזרחי בהתאם להוראות </w:t>
      </w:r>
      <w:hyperlink r:id="rId21">
        <w:r>
          <w:rPr>
            <w:rStyle w:val="Hyperlink"/>
            <w:rtl w:val="true"/>
          </w:rPr>
          <w:t>פרק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 ל</w:t>
      </w:r>
      <w:hyperlink r:id="rId2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האזרחי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 xml:space="preserve">אשר כוללות חובה להפקיד בבית המשפט ערובה להוצאות המשיבים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135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סבורני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4.7.2021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fldChar w:fldCharType="begin">
          <w:ffData>
            <w:name w:val="FileName"/>
            <w:enabled/>
            <w:calcOnExit w:val="0"/>
            <w:textInput/>
          </w:ffData>
        </w:fldChar>
      </w:r>
      <w:r>
        <w:rPr>
          <w:rtl w:val="true"/>
          <w:sz w:val="16"/>
          <w:lang w:val="en-IL" w:eastAsia="en-IL"/>
        </w:rPr>
        <w:instrText xml:space="preserve"> FORMTEXT </w:instrText>
      </w:r>
      <w:r>
        <w:rPr>
          <w:sz w:val="16"/>
          <w:rtl w:val="true"/>
          <w:lang w:val="en-IL" w:eastAsia="en-IL"/>
        </w:rPr>
      </w:r>
      <w:r>
        <w:rPr>
          <w:rtl w:val="true"/>
          <w:sz w:val="16"/>
          <w:lang w:val="en-IL" w:eastAsia="en-IL"/>
        </w:rPr>
        <w:fldChar w:fldCharType="separate"/>
      </w:r>
      <w:r>
        <w:rPr>
          <w:sz w:val="16"/>
          <w:rtl w:val="true"/>
          <w:lang w:val="en-IL" w:eastAsia="en-IL"/>
        </w:rPr>
        <w:t>     </w:t>
      </w:r>
      <w:r/>
      <w:r>
        <w:rPr>
          <w:rtl w:val="true"/>
          <w:sz w:val="16"/>
          <w:lang w:val="en-IL" w:eastAsia="en-IL"/>
        </w:rPr>
        <w:fldChar w:fldCharType="end"/>
      </w:r>
      <w:r>
        <w:rPr>
          <w:sz w:val="16"/>
          <w:rtl w:val="true"/>
          <w:lang w:val="en-IL" w:eastAsia="en-IL"/>
        </w:rPr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א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שטיין </w:t>
      </w:r>
      <w:r>
        <w:rPr>
          <w:rFonts w:cs="David;Times New Roman" w:ascii="David;Times New Roman" w:hAnsi="David;Times New Roman"/>
          <w:color w:val="000000"/>
          <w:szCs w:val="22"/>
        </w:rPr>
        <w:t>54678313-4368/21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6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4368/21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אורן פרסיקו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403194" TargetMode="External"/><Relationship Id="rId3" Type="http://schemas.openxmlformats.org/officeDocument/2006/relationships/hyperlink" Target="http://www.nevo.co.il/law/74849" TargetMode="External"/><Relationship Id="rId4" Type="http://schemas.openxmlformats.org/officeDocument/2006/relationships/hyperlink" Target="http://www.nevo.co.il/law/74849/26.4" TargetMode="External"/><Relationship Id="rId5" Type="http://schemas.openxmlformats.org/officeDocument/2006/relationships/hyperlink" Target="http://www.nevo.co.il/law/74849/68b.a" TargetMode="External"/><Relationship Id="rId6" Type="http://schemas.openxmlformats.org/officeDocument/2006/relationships/hyperlink" Target="http://www.nevo.co.il/law/74849/68b.b" TargetMode="External"/><Relationship Id="rId7" Type="http://schemas.openxmlformats.org/officeDocument/2006/relationships/hyperlink" Target="http://www.nevo.co.il/law/74849/68b.c" TargetMode="External"/><Relationship Id="rId8" Type="http://schemas.openxmlformats.org/officeDocument/2006/relationships/hyperlink" Target="http://www.nevo.co.il/law/157751" TargetMode="External"/><Relationship Id="rId9" Type="http://schemas.openxmlformats.org/officeDocument/2006/relationships/hyperlink" Target="http://www.nevo.co.il/law/157751/135" TargetMode="External"/><Relationship Id="rId10" Type="http://schemas.openxmlformats.org/officeDocument/2006/relationships/hyperlink" Target="http://www.nevo.co.il/law/157751/jgC" TargetMode="External"/><Relationship Id="rId11" Type="http://schemas.openxmlformats.org/officeDocument/2006/relationships/hyperlink" Target="http://www.nevo.co.il/case/26403194" TargetMode="External"/><Relationship Id="rId12" Type="http://schemas.openxmlformats.org/officeDocument/2006/relationships/hyperlink" Target="http://www.nevo.co.il/law/74849/26.4" TargetMode="External"/><Relationship Id="rId13" Type="http://schemas.openxmlformats.org/officeDocument/2006/relationships/hyperlink" Target="http://www.nevo.co.il/law/74849" TargetMode="External"/><Relationship Id="rId14" Type="http://schemas.openxmlformats.org/officeDocument/2006/relationships/hyperlink" Target="http://www.nevo.co.il/case/17939288" TargetMode="External"/><Relationship Id="rId15" Type="http://schemas.openxmlformats.org/officeDocument/2006/relationships/hyperlink" Target="http://www.nevo.co.il/case/5683604" TargetMode="External"/><Relationship Id="rId16" Type="http://schemas.openxmlformats.org/officeDocument/2006/relationships/hyperlink" Target="http://www.nevo.co.il/law/74849/68b.b" TargetMode="External"/><Relationship Id="rId17" Type="http://schemas.openxmlformats.org/officeDocument/2006/relationships/hyperlink" Target="http://www.nevo.co.il/law/74849" TargetMode="External"/><Relationship Id="rId18" Type="http://schemas.openxmlformats.org/officeDocument/2006/relationships/hyperlink" Target="http://www.nevo.co.il/law/74849/68b.c" TargetMode="External"/><Relationship Id="rId19" Type="http://schemas.openxmlformats.org/officeDocument/2006/relationships/hyperlink" Target="http://www.nevo.co.il/law/74849/68b.a" TargetMode="External"/><Relationship Id="rId20" Type="http://schemas.openxmlformats.org/officeDocument/2006/relationships/hyperlink" Target="http://www.nevo.co.il/case/27535030" TargetMode="External"/><Relationship Id="rId21" Type="http://schemas.openxmlformats.org/officeDocument/2006/relationships/hyperlink" Target="http://www.nevo.co.il/law/157751/jgC" TargetMode="External"/><Relationship Id="rId22" Type="http://schemas.openxmlformats.org/officeDocument/2006/relationships/hyperlink" Target="http://www.nevo.co.il/law/157751" TargetMode="External"/><Relationship Id="rId23" Type="http://schemas.openxmlformats.org/officeDocument/2006/relationships/hyperlink" Target="http://www.nevo.co.il/law/157751/135" TargetMode="External"/><Relationship Id="rId24" Type="http://schemas.openxmlformats.org/officeDocument/2006/relationships/hyperlink" Target="https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2021-07-05T10:04:00Z</dcterms:created>
  <dc:creator>h4</dc:creator>
  <dc:description/>
  <cp:keywords/>
  <dc:language>en-IL</dc:language>
  <cp:lastModifiedBy>orly</cp:lastModifiedBy>
  <cp:lastPrinted>2021-07-04T11:31:00Z</cp:lastPrinted>
  <dcterms:modified xsi:type="dcterms:W3CDTF">2021-07-05T10:04:00Z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אורן פרסיקו;איתמר ב#ז;מערכת #העין השביעית#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ישראל;בנימין נתניהו;ארנון מוזס;שאול אלוביץ';איריס אלוביץ'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26403194:2;17939288;5683604;27535030</vt:lpwstr>
  </property>
  <property fmtid="{D5CDD505-2E9C-101B-9397-08002B2CF9AE}" pid="9" name="CITY">
    <vt:lpwstr/>
  </property>
  <property fmtid="{D5CDD505-2E9C-101B-9397-08002B2CF9AE}" pid="10" name="DATE">
    <vt:lpwstr>20210704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שטיין</vt:lpwstr>
  </property>
  <property fmtid="{D5CDD505-2E9C-101B-9397-08002B2CF9AE}" pid="14" name="LAWLISTTMP1">
    <vt:lpwstr>74849/026.4;068b.b;068b.c;068b.a</vt:lpwstr>
  </property>
  <property fmtid="{D5CDD505-2E9C-101B-9397-08002B2CF9AE}" pid="15" name="LAWLISTTMP2">
    <vt:lpwstr>157751/jgC;135</vt:lpwstr>
  </property>
  <property fmtid="{D5CDD505-2E9C-101B-9397-08002B2CF9AE}" pid="16" name="LAWYER">
    <vt:lpwstr>שרית חתוקה;עמית חדד;בעז בן צור;נוית נגב;איריס ניב סבאג;ג'ק חן;מיכאל רוזן עוזר;נעה;אלעד 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14;14</vt:lpwstr>
  </property>
  <property fmtid="{D5CDD505-2E9C-101B-9397-08002B2CF9AE}" pid="38" name="NOSE21">
    <vt:lpwstr>פומביות הדיון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335;333</vt:lpwstr>
  </property>
  <property fmtid="{D5CDD505-2E9C-101B-9397-08002B2CF9AE}" pid="49" name="NOSE31">
    <vt:lpwstr>הגבלתה</vt:lpwstr>
  </property>
  <property fmtid="{D5CDD505-2E9C-101B-9397-08002B2CF9AE}" pid="50" name="NOSE310">
    <vt:lpwstr/>
  </property>
  <property fmtid="{D5CDD505-2E9C-101B-9397-08002B2CF9AE}" pid="51" name="NOSE32">
    <vt:lpwstr>זכות ערעור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2750;2713</vt:lpwstr>
  </property>
  <property fmtid="{D5CDD505-2E9C-101B-9397-08002B2CF9AE}" pid="60" name="PADIDATE">
    <vt:lpwstr>20210705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4368</vt:lpwstr>
  </property>
  <property fmtid="{D5CDD505-2E9C-101B-9397-08002B2CF9AE}" pid="66" name="PROCYEAR">
    <vt:lpwstr>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410120210704</vt:lpwstr>
  </property>
  <property fmtid="{D5CDD505-2E9C-101B-9397-08002B2CF9AE}" pid="70" name="TYPE_N_DATE">
    <vt:lpwstr>41020210704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