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4387/20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7184/20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7256/20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</w:t>
            </w:r>
            <w:r>
              <w:rPr>
                <w:rFonts w:ascii="David" w:hAnsi="David"/>
                <w:rtl w:val="true"/>
              </w:rPr>
              <w:t>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4387/20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7256/20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7184/20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4387/20</w:t>
            </w:r>
            <w:r>
              <w:rPr>
                <w:rFonts w:cs="David" w:ascii="David" w:hAnsi="David"/>
                <w:rtl w:val="true"/>
              </w:rPr>
              <w:t xml:space="preserve">: 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מאורו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מונטה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7256/20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7184/20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47787-06-19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חגי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טרסי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31.12.2021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ascii="David" w:hAnsi="David"/>
                <w:rtl w:val="true"/>
              </w:rPr>
              <w:t xml:space="preserve"> המ</w:t>
            </w:r>
            <w:r>
              <w:rPr>
                <w:rFonts w:ascii="David" w:hAnsi="David"/>
                <w:rtl w:val="true"/>
              </w:rPr>
              <w:t>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4387/20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7256/20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7184/20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4387/20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</w:rPr>
              <w:t>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4387/20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רובינשטיין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7256/20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7184/20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טובים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384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מהפקתם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קנבוס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ניר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שתרתיע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המתפשטות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קוצים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שמשתקפת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מיזמים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מהפקתם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175,000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מפעילותו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ערעורים על גזר דינו של בית המשפט המחוזי </w:t>
      </w:r>
      <w:r>
        <w:rPr>
          <w:rtl w:val="true"/>
        </w:rPr>
        <w:t>מרכז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>לוד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47787-06-19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13.5.2020</w:t>
      </w:r>
      <w:r>
        <w:rPr>
          <w:rtl w:val="true"/>
        </w:rPr>
        <w:t xml:space="preserve">, </w:t>
      </w:r>
      <w:r>
        <w:rPr>
          <w:rtl w:val="true"/>
        </w:rPr>
        <w:t xml:space="preserve">בעניינם של טל דרור ומאורו דל מונטה </w:t>
      </w:r>
      <w:r>
        <w:rPr>
          <w:rtl w:val="true"/>
        </w:rPr>
        <w:t>(</w:t>
      </w:r>
      <w:r>
        <w:rPr>
          <w:rtl w:val="true"/>
        </w:rPr>
        <w:t xml:space="preserve">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4387/20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מאורו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 xml:space="preserve">וכן על גזר דינו של 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טרסי</w:t>
      </w:r>
      <w:r>
        <w:rPr>
          <w:rtl w:val="true"/>
        </w:rPr>
        <w:t xml:space="preserve">) </w:t>
      </w:r>
      <w:r>
        <w:rPr>
          <w:rtl w:val="true"/>
        </w:rPr>
        <w:t>באותו הליך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6.9.2020</w:t>
      </w:r>
      <w:r>
        <w:rPr>
          <w:rtl w:val="true"/>
        </w:rPr>
        <w:t xml:space="preserve">, </w:t>
      </w:r>
      <w:r>
        <w:rPr>
          <w:rtl w:val="true"/>
        </w:rPr>
        <w:t xml:space="preserve">בעניינו של ניר דרור </w:t>
      </w:r>
      <w:r>
        <w:rPr>
          <w:rtl w:val="true"/>
        </w:rPr>
        <w:t>(</w:t>
      </w:r>
      <w:r>
        <w:rPr>
          <w:rFonts w:ascii="David" w:hAnsi="David" w:cs="David"/>
          <w:rtl w:val="true"/>
        </w:rPr>
        <w:t>המערער ב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7184/20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ascii="David" w:hAnsi="David" w:cs="David"/>
          <w:rtl w:val="true"/>
        </w:rPr>
        <w:t>המשיב ב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</w:rPr>
        <w:t>7256/20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ניר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שיפורט בהמשך</w:t>
      </w:r>
      <w:r>
        <w:rPr>
          <w:rtl w:val="true"/>
        </w:rPr>
        <w:t xml:space="preserve">, </w:t>
      </w:r>
      <w:r>
        <w:rPr>
          <w:rtl w:val="true"/>
        </w:rPr>
        <w:t xml:space="preserve">ניר טל ומאורו </w:t>
      </w:r>
      <w:r>
        <w:rPr>
          <w:rtl w:val="true"/>
        </w:rPr>
        <w:t>(</w:t>
      </w:r>
      <w:r>
        <w:rPr>
          <w:rtl w:val="true"/>
        </w:rPr>
        <w:t>להלן 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 </w:t>
      </w:r>
      <w:r>
        <w:rPr>
          <w:rtl w:val="true"/>
        </w:rPr>
        <w:t>הורשעו שלושתם בעבירות סמים וגניבה בגין פעילותם ברשת מעבדות לגידול סם מסוג קנבוס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125,000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4387/20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7256/20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7184/20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מעובדות כתבי האישום המתוקנים אשר הוגשו נגד המשיבים</w:t>
      </w:r>
      <w:r>
        <w:rPr>
          <w:rtl w:val="true"/>
        </w:rPr>
        <w:t xml:space="preserve">, </w:t>
      </w:r>
      <w:r>
        <w:rPr>
          <w:rtl w:val="true"/>
        </w:rPr>
        <w:t>השלושה הקימו יחד עם אחרים שלוש מעבדות לגידול סם מסוג קנבוס</w:t>
      </w:r>
      <w:r>
        <w:rPr>
          <w:rtl w:val="true"/>
        </w:rPr>
        <w:t xml:space="preserve">, </w:t>
      </w:r>
      <w:r>
        <w:rPr>
          <w:rtl w:val="true"/>
        </w:rPr>
        <w:t>אשר בהן נתפסו למעלה מ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שתילי קנבוס</w:t>
      </w:r>
      <w:r>
        <w:rPr>
          <w:rtl w:val="true"/>
        </w:rPr>
        <w:t xml:space="preserve">, </w:t>
      </w:r>
      <w:r>
        <w:rPr>
          <w:rtl w:val="true"/>
        </w:rPr>
        <w:t xml:space="preserve">עלי קנבוס מיובשים ואריזות קנבוס במשקל כולל של </w:t>
      </w:r>
      <w:r>
        <w:rPr/>
        <w:t>584.5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 xml:space="preserve">אשר שוויים </w:t>
      </w:r>
      <w:r>
        <w:rPr/>
        <w:t>17,535,000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המעבדות צוידו על ידי המשיבים בציוד הנחוץ לגידול הסם</w:t>
      </w:r>
      <w:r>
        <w:rPr>
          <w:rtl w:val="true"/>
        </w:rPr>
        <w:t xml:space="preserve">, </w:t>
      </w:r>
      <w:r>
        <w:rPr>
          <w:rtl w:val="true"/>
        </w:rPr>
        <w:t>ובכלל זה</w:t>
      </w:r>
      <w:r>
        <w:rPr>
          <w:rtl w:val="true"/>
        </w:rPr>
        <w:t xml:space="preserve">, </w:t>
      </w:r>
      <w:r>
        <w:rPr>
          <w:rtl w:val="true"/>
        </w:rPr>
        <w:t>מזגנים</w:t>
      </w:r>
      <w:r>
        <w:rPr>
          <w:rtl w:val="true"/>
        </w:rPr>
        <w:t xml:space="preserve">, </w:t>
      </w:r>
      <w:r>
        <w:rPr>
          <w:rtl w:val="true"/>
        </w:rPr>
        <w:t>משאבות</w:t>
      </w:r>
      <w:r>
        <w:rPr>
          <w:rtl w:val="true"/>
        </w:rPr>
        <w:t xml:space="preserve">,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שנאים</w:t>
      </w:r>
      <w:r>
        <w:rPr>
          <w:rtl w:val="true"/>
        </w:rPr>
        <w:t xml:space="preserve">, </w:t>
      </w:r>
      <w:r>
        <w:rPr>
          <w:rtl w:val="true"/>
        </w:rPr>
        <w:t>מאווררים</w:t>
      </w:r>
      <w:r>
        <w:rPr>
          <w:rtl w:val="true"/>
        </w:rPr>
        <w:t xml:space="preserve">, </w:t>
      </w:r>
      <w:r>
        <w:rPr>
          <w:rtl w:val="true"/>
        </w:rPr>
        <w:t>דיפון קיר כסוף ושתילי קנבוס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ביצעו המשיבים בשלוש המעבדות שינויים במערכת החשמל על מנת לחמוק מתשלום עבורו</w:t>
      </w:r>
      <w:r>
        <w:rPr>
          <w:rtl w:val="true"/>
        </w:rPr>
        <w:t xml:space="preserve">, </w:t>
      </w:r>
      <w:r>
        <w:rPr>
          <w:rtl w:val="true"/>
        </w:rPr>
        <w:t>בשווי של מאות אלפי שקלים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לפעילותם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והפקה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–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tl w:val="true"/>
        </w:rPr>
        <w:t xml:space="preserve">); </w:t>
      </w:r>
      <w:r>
        <w:rPr>
          <w:rtl w:val="true"/>
        </w:rPr>
        <w:t>וגניבה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  <w:tab/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>הרשיע את טל ומאורו על פי הודאתם במסגרת הסדר הטיעון במיוחס להם</w:t>
      </w:r>
      <w:r>
        <w:rPr>
          <w:rtl w:val="true"/>
        </w:rPr>
        <w:t xml:space="preserve">, </w:t>
      </w:r>
      <w:r>
        <w:rPr>
          <w:rtl w:val="true"/>
        </w:rPr>
        <w:t>ועל פי המסגרת העונשית עליה הוסכם</w:t>
      </w:r>
      <w:r>
        <w:rPr>
          <w:rtl w:val="true"/>
        </w:rPr>
        <w:t xml:space="preserve">, </w:t>
      </w:r>
      <w:r>
        <w:rPr>
          <w:rtl w:val="true"/>
        </w:rPr>
        <w:t xml:space="preserve">גזר על כל אחד מהם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יוער כי</w:t>
      </w:r>
      <w:r>
        <w:rPr>
          <w:rtl w:val="true"/>
        </w:rPr>
        <w:t xml:space="preserve">, </w:t>
      </w:r>
      <w:r>
        <w:rPr>
          <w:rtl w:val="true"/>
        </w:rPr>
        <w:t>ההסדר לא כלל הסכמה לעניין גובה הקנס הכספי ועונש המאסר המותנה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 גובה הקנס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חומרת העבירות שבהן הורשעו השניים ועל מדיניות הענישה הנוהגת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הדגיש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התכנון שקדם לביצוע העבירות</w:t>
      </w:r>
      <w:r>
        <w:rPr>
          <w:rtl w:val="true"/>
        </w:rPr>
        <w:t xml:space="preserve">; </w:t>
      </w:r>
      <w:r>
        <w:rPr>
          <w:rtl w:val="true"/>
        </w:rPr>
        <w:t>את ההשקעה הכספית הניכרת אשר הייתה כרוכה בהקמת המעבדות</w:t>
      </w:r>
      <w:r>
        <w:rPr>
          <w:rtl w:val="true"/>
        </w:rPr>
        <w:t xml:space="preserve">, </w:t>
      </w:r>
      <w:r>
        <w:rPr>
          <w:rtl w:val="true"/>
        </w:rPr>
        <w:t>המשקפת את התמורה הכלכלית לה ציפו המעורבים כתוצאה מגידול הסמים</w:t>
      </w:r>
      <w:r>
        <w:rPr>
          <w:rtl w:val="true"/>
        </w:rPr>
        <w:t xml:space="preserve">; </w:t>
      </w:r>
      <w:r>
        <w:rPr>
          <w:rtl w:val="true"/>
        </w:rPr>
        <w:t>ואת העובדה כי השניים עמדו בראש מערך המעבדות</w:t>
      </w:r>
      <w:r>
        <w:rPr>
          <w:rtl w:val="true"/>
        </w:rPr>
        <w:t xml:space="preserve">, </w:t>
      </w:r>
      <w:r>
        <w:rPr>
          <w:rtl w:val="true"/>
        </w:rPr>
        <w:t>ועל כן חלקם בביצוע העבירות משמעותי ביחס למעורבים האחרים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; </w:t>
      </w:r>
      <w:r>
        <w:rPr>
          <w:rtl w:val="true"/>
        </w:rPr>
        <w:t>ולחובת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כמוסכם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לעניין ניר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טרסי</w:t>
      </w:r>
      <w:r>
        <w:rPr>
          <w:rtl w:val="true"/>
        </w:rPr>
        <w:t xml:space="preserve">) </w:t>
      </w:r>
      <w:r>
        <w:rPr>
          <w:rtl w:val="true"/>
        </w:rPr>
        <w:t>הרשיע אותו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בחלק מהעבירות אשר יוחסו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23.7.2020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הצטמצמה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המעבדות</w:t>
      </w:r>
      <w:r>
        <w:rPr>
          <w:rtl w:val="true"/>
        </w:rPr>
        <w:t xml:space="preserve">, </w:t>
      </w:r>
      <w:r>
        <w:rPr>
          <w:rtl w:val="true"/>
        </w:rPr>
        <w:t>בשיווקו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ובהפצתו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עונשו של ניר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חומרת העבירות שבהן הורשע</w:t>
      </w:r>
      <w:r>
        <w:rPr>
          <w:rtl w:val="true"/>
        </w:rPr>
        <w:t xml:space="preserve">; </w:t>
      </w:r>
      <w:r>
        <w:rPr>
          <w:rtl w:val="true"/>
        </w:rPr>
        <w:t>את העובדה כי העבירות בוצעו בשל בצע כסף</w:t>
      </w:r>
      <w:r>
        <w:rPr>
          <w:rtl w:val="true"/>
        </w:rPr>
        <w:t xml:space="preserve">;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; </w:t>
      </w:r>
      <w:r>
        <w:rPr>
          <w:rtl w:val="true"/>
        </w:rPr>
        <w:t>וכן את העונשים שהושתו על יתר המעורבים בפרשה</w:t>
      </w:r>
      <w:r>
        <w:rPr>
          <w:rtl w:val="true"/>
        </w:rPr>
        <w:t xml:space="preserve">, </w:t>
      </w:r>
      <w:r>
        <w:rPr>
          <w:rtl w:val="true"/>
        </w:rPr>
        <w:t>ובפרט עונשו של מעורב אחר אשר אף הוא הורשע באישום הראשון 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4387/20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7256/20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בטיעוניה בכתב ובעל פה בדיון שהתקיים בפנינו</w:t>
      </w:r>
      <w:r>
        <w:rPr>
          <w:rtl w:val="true"/>
        </w:rPr>
        <w:t xml:space="preserve">, </w:t>
      </w:r>
      <w:r>
        <w:rPr>
          <w:rtl w:val="true"/>
        </w:rPr>
        <w:t>השיגו באי כוח המדינה על קולת גובה הקנס שהוטל על המשיבים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;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; </w:t>
      </w:r>
      <w:r>
        <w:rPr>
          <w:rtl w:val="true"/>
        </w:rPr>
        <w:t>ובמשך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הכדאיות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אדיר</w:t>
      </w:r>
      <w:r>
        <w:rPr>
          <w:rtl w:val="true"/>
        </w:rPr>
        <w:t xml:space="preserve">"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הדגישו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באי כוחם של המשיבים טענו כי הקנסות שהוטלו בעניינם משקפים היטב את מדיניות הענישה הנוהגת</w:t>
      </w:r>
      <w:r>
        <w:rPr>
          <w:rtl w:val="true"/>
        </w:rPr>
        <w:t xml:space="preserve">; </w:t>
      </w:r>
      <w:r>
        <w:rPr>
          <w:rtl w:val="true"/>
        </w:rPr>
        <w:t>כי שיקול הרתעת הרבים יכול</w:t>
      </w:r>
      <w:r>
        <w:rPr>
          <w:rtl w:val="true"/>
        </w:rPr>
        <w:t xml:space="preserve">,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>להביא להחמרה בענישה בתוך מתחם העונש ההולם ולא לחרוג ממנו</w:t>
      </w:r>
      <w:r>
        <w:rPr>
          <w:rtl w:val="true"/>
        </w:rPr>
        <w:t xml:space="preserve">; </w:t>
      </w:r>
      <w:r>
        <w:rPr>
          <w:rtl w:val="true"/>
        </w:rPr>
        <w:t>כי שווי הסם שנתפס אינו מלמד על היקף רווחיהם</w:t>
      </w:r>
      <w:r>
        <w:rPr>
          <w:rtl w:val="true"/>
        </w:rPr>
        <w:t xml:space="preserve">; </w:t>
      </w:r>
      <w:r>
        <w:rPr>
          <w:rtl w:val="true"/>
        </w:rPr>
        <w:t>וכי לא נפל פגם בהתחשבות בית המשפט המחוזי במצבם הכלכלי בקביעת גובה הקנסות שהוטלו עליהם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7184/20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ערעורו של ניר הופנה בתחילה הן כלפי הכרעת הדין</w:t>
      </w:r>
      <w:r>
        <w:rPr>
          <w:rtl w:val="true"/>
        </w:rPr>
        <w:t xml:space="preserve">, </w:t>
      </w:r>
      <w:r>
        <w:rPr>
          <w:rtl w:val="true"/>
        </w:rPr>
        <w:t>הן כלפי גזר הדין</w:t>
      </w:r>
      <w:r>
        <w:rPr>
          <w:rtl w:val="true"/>
        </w:rPr>
        <w:t xml:space="preserve">, </w:t>
      </w:r>
      <w:r>
        <w:rPr>
          <w:rtl w:val="true"/>
        </w:rPr>
        <w:t>אולם בדיון לפנינו חזר בו ניר מן הערעור על הכרעת הדין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לחומרת העונש שנגזר על ניר</w:t>
      </w:r>
      <w:r>
        <w:rPr>
          <w:rtl w:val="true"/>
        </w:rPr>
        <w:t xml:space="preserve">, </w:t>
      </w:r>
      <w:r>
        <w:rPr>
          <w:rtl w:val="true"/>
        </w:rPr>
        <w:t>נטען כי חלקו בעבירות התמצה ב</w:t>
      </w:r>
      <w:r>
        <w:rPr>
          <w:rtl w:val="true"/>
        </w:rPr>
        <w:t>"</w:t>
      </w:r>
      <w:r>
        <w:rPr>
          <w:rtl w:val="true"/>
        </w:rPr>
        <w:t>תחזוק</w:t>
      </w:r>
      <w:r>
        <w:rPr>
          <w:rtl w:val="true"/>
        </w:rPr>
        <w:t xml:space="preserve">"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וכי מעורבותו התפרשה לאורך תקופה קצרה יחסית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המחוזי בקובעו כי נטל חלק דומיננטי יותר מאחרים בפעילות מעבדת הסמים שבה נקבע כי היה מעורב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באי כוח המדינה חלקו הדומיננטי של ניר בעבירות נלמד מהראיות שהוגשו לבית המשפט המחוזי</w:t>
      </w:r>
      <w:r>
        <w:rPr>
          <w:rtl w:val="true"/>
        </w:rPr>
        <w:t xml:space="preserve">. </w:t>
      </w:r>
      <w:r>
        <w:rPr>
          <w:rtl w:val="true"/>
        </w:rPr>
        <w:t>בפרט נטען</w:t>
      </w:r>
      <w:r>
        <w:rPr>
          <w:rtl w:val="true"/>
        </w:rPr>
        <w:t xml:space="preserve">, </w:t>
      </w:r>
      <w:r>
        <w:rPr>
          <w:rtl w:val="true"/>
        </w:rPr>
        <w:t>כי הוכח שניר היה אמון על אריזת והפצת הסם</w:t>
      </w:r>
      <w:r>
        <w:rPr>
          <w:rtl w:val="true"/>
        </w:rPr>
        <w:t xml:space="preserve">, </w:t>
      </w:r>
      <w:r>
        <w:rPr>
          <w:rtl w:val="true"/>
        </w:rPr>
        <w:t>ועל העברת כספים למעורבים אחרים בפרשה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שעיינו בהכרעות הדין ובגזרי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ושקלנו את טיעוני הצדדים</w:t>
      </w:r>
      <w:r>
        <w:rPr>
          <w:rtl w:val="true"/>
        </w:rPr>
        <w:t xml:space="preserve">, </w:t>
      </w:r>
      <w:r>
        <w:rPr>
          <w:rtl w:val="true"/>
        </w:rPr>
        <w:t>באנו לכלל מסקנה כי בעניינם של טל ומאורו</w:t>
      </w:r>
      <w:r>
        <w:rPr>
          <w:rtl w:val="true"/>
        </w:rPr>
        <w:t xml:space="preserve">, </w:t>
      </w:r>
      <w:r>
        <w:rPr>
          <w:rtl w:val="true"/>
        </w:rPr>
        <w:t>דין ערעור המדינה על גובה הקנס להתקבל</w:t>
      </w:r>
      <w:r>
        <w:rPr>
          <w:rtl w:val="true"/>
        </w:rPr>
        <w:t xml:space="preserve">; </w:t>
      </w:r>
      <w:r>
        <w:rPr>
          <w:rtl w:val="true"/>
        </w:rPr>
        <w:t>ולעניין ניר</w:t>
      </w:r>
      <w:r>
        <w:rPr>
          <w:rtl w:val="true"/>
        </w:rPr>
        <w:t xml:space="preserve">, </w:t>
      </w:r>
      <w:r>
        <w:rPr>
          <w:rtl w:val="true"/>
        </w:rPr>
        <w:t>דין ערעור המדינה להידחות</w:t>
      </w:r>
      <w:r>
        <w:rPr>
          <w:rtl w:val="true"/>
        </w:rPr>
        <w:t xml:space="preserve">, </w:t>
      </w:r>
      <w:r>
        <w:rPr>
          <w:rtl w:val="true"/>
        </w:rPr>
        <w:t>ודין ערעורו על חומרת עונש המאסר בפועל שנגזר עליו להתקבל</w:t>
      </w:r>
      <w:r>
        <w:rPr>
          <w:rtl w:val="true"/>
        </w:rPr>
        <w:t xml:space="preserve">. 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בחומרת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הנגזר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 xml:space="preserve">במקרים </w:t>
      </w:r>
      <w:r>
        <w:rPr>
          <w:rtl w:val="true"/>
        </w:rPr>
        <w:t>חריג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 xml:space="preserve">ר </w:t>
      </w:r>
      <w:r>
        <w:rPr>
          <w:rtl w:val="true"/>
        </w:rPr>
        <w:t>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 xml:space="preserve">הנוהגת בנסיבות דומות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28.11.2018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עמד לא אחת על חומרתן של עבירות הסמים והדגיש כי יש צורך בהטלת ענישה ממשית אשר תרתיע עבריינים פוטנציאליים מביצוען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במטרה למגר את מעבדות הסמים הפועלות במדינה</w:t>
      </w:r>
      <w:r>
        <w:rPr>
          <w:rtl w:val="true"/>
        </w:rPr>
        <w:t xml:space="preserve">, </w:t>
      </w:r>
      <w:r>
        <w:rPr>
          <w:rtl w:val="true"/>
        </w:rPr>
        <w:t>המתפשטות כאש בשדה קוצים</w:t>
      </w:r>
      <w:r>
        <w:rPr>
          <w:rtl w:val="true"/>
        </w:rPr>
        <w:t xml:space="preserve">. </w:t>
      </w:r>
      <w:r>
        <w:rPr>
          <w:rtl w:val="true"/>
        </w:rPr>
        <w:t>רמת ענישה זו</w:t>
      </w:r>
      <w:r>
        <w:rPr>
          <w:rtl w:val="true"/>
        </w:rPr>
        <w:t xml:space="preserve">, </w:t>
      </w:r>
      <w:r>
        <w:rPr>
          <w:rtl w:val="true"/>
        </w:rPr>
        <w:t>כפי שמשתקפת במדיניות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אף יש בה כדי להביע מסר חד וברור כי ניסיונות להקמת מיזמים מן הסוג כבמקרה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אינן בעלות תוחלת כלכלית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51</w:t>
      </w:r>
      <w:r>
        <w:rPr>
          <w:rtl w:val="true"/>
        </w:rPr>
        <w:t>–</w:t>
      </w:r>
      <w:r>
        <w:rPr/>
        <w:t>53</w:t>
      </w:r>
      <w:r>
        <w:rPr>
          <w:rtl w:val="true"/>
        </w:rPr>
        <w:t xml:space="preserve"> (</w:t>
      </w:r>
      <w:r>
        <w:rPr/>
        <w:t>4.6.2020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בקביעת</w:t>
      </w:r>
      <w:r>
        <w:rPr>
          <w:rFonts w:ascii="Century" w:hAnsi="Century" w:cs="Century"/>
          <w:sz w:val="22"/>
          <w:sz w:val="22"/>
          <w:rtl w:val="true"/>
        </w:rPr>
        <w:t xml:space="preserve"> הקנס יש להתחשב </w:t>
      </w:r>
      <w:r>
        <w:rPr>
          <w:rFonts w:ascii="Century" w:hAnsi="Century" w:cs="Century"/>
          <w:sz w:val="22"/>
          <w:sz w:val="22"/>
          <w:rtl w:val="true"/>
        </w:rPr>
        <w:t>במצבו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הכלכלי</w:t>
      </w:r>
      <w:r>
        <w:rPr>
          <w:rFonts w:ascii="Century" w:hAnsi="Century" w:cs="Century"/>
          <w:sz w:val="22"/>
          <w:sz w:val="22"/>
          <w:rtl w:val="true"/>
        </w:rPr>
        <w:t xml:space="preserve"> של הנאשם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שכן </w:t>
      </w:r>
      <w:r>
        <w:rPr>
          <w:rFonts w:ascii="Century" w:hAnsi="Century" w:cs="Century"/>
          <w:sz w:val="22"/>
          <w:sz w:val="22"/>
          <w:rtl w:val="true"/>
        </w:rPr>
        <w:t>אדם</w:t>
      </w:r>
      <w:r>
        <w:rPr>
          <w:rFonts w:ascii="Century" w:hAnsi="Century" w:cs="Century"/>
          <w:sz w:val="22"/>
          <w:sz w:val="22"/>
          <w:rtl w:val="true"/>
        </w:rPr>
        <w:t xml:space="preserve"> מורשע אשר אין ביכולתו </w:t>
      </w:r>
      <w:r>
        <w:rPr>
          <w:rFonts w:ascii="Century" w:hAnsi="Century" w:cs="Century"/>
          <w:sz w:val="22"/>
          <w:sz w:val="22"/>
          <w:rtl w:val="true"/>
        </w:rPr>
        <w:t>לשלם</w:t>
      </w:r>
      <w:r>
        <w:rPr>
          <w:rFonts w:ascii="Century" w:hAnsi="Century" w:cs="Century"/>
          <w:sz w:val="22"/>
          <w:sz w:val="22"/>
          <w:rtl w:val="true"/>
        </w:rPr>
        <w:t xml:space="preserve"> את </w:t>
      </w:r>
      <w:r>
        <w:rPr>
          <w:rFonts w:ascii="Century" w:hAnsi="Century" w:cs="Century"/>
          <w:sz w:val="22"/>
          <w:sz w:val="22"/>
          <w:rtl w:val="true"/>
        </w:rPr>
        <w:t>הקנס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עלול</w:t>
      </w:r>
      <w:r>
        <w:rPr>
          <w:rFonts w:ascii="Century" w:hAnsi="Century" w:cs="Century"/>
          <w:sz w:val="22"/>
          <w:sz w:val="22"/>
          <w:rtl w:val="true"/>
        </w:rPr>
        <w:t xml:space="preserve"> לשאת </w:t>
      </w:r>
      <w:r>
        <w:rPr>
          <w:rFonts w:ascii="Century" w:hAnsi="Century" w:cs="Century"/>
          <w:sz w:val="22"/>
          <w:sz w:val="22"/>
          <w:rtl w:val="true"/>
        </w:rPr>
        <w:t>בעונש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מאסר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בפועל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חלף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הקנס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באופן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המעורר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מצבו</w:t>
      </w:r>
      <w:r>
        <w:rPr>
          <w:rFonts w:ascii="Century" w:hAnsi="Century" w:cs="Century"/>
          <w:sz w:val="22"/>
          <w:sz w:val="22"/>
          <w:rtl w:val="true"/>
        </w:rPr>
        <w:t xml:space="preserve"> הכלכלי הוא שיכתיב את תקופת המאסר בפועל ש</w:t>
      </w:r>
      <w:r>
        <w:rPr>
          <w:rFonts w:ascii="Century" w:hAnsi="Century" w:cs="Century"/>
          <w:sz w:val="22"/>
          <w:sz w:val="22"/>
          <w:rtl w:val="true"/>
        </w:rPr>
        <w:t>בה</w:t>
      </w:r>
      <w:r>
        <w:rPr>
          <w:rFonts w:ascii="Century" w:hAnsi="Century" w:cs="Century"/>
          <w:sz w:val="22"/>
          <w:sz w:val="22"/>
          <w:rtl w:val="true"/>
        </w:rPr>
        <w:t xml:space="preserve"> יישא </w:t>
      </w:r>
      <w:r>
        <w:rPr>
          <w:rFonts w:ascii="Century" w:hAnsi="Century" w:cs="Century"/>
          <w:sz w:val="22"/>
          <w:sz w:val="22"/>
          <w:rtl w:val="true"/>
        </w:rPr>
        <w:t>בגין</w:t>
      </w:r>
      <w:r>
        <w:rPr>
          <w:rFonts w:ascii="Century" w:hAnsi="Century" w:cs="Century"/>
          <w:sz w:val="22"/>
          <w:sz w:val="22"/>
          <w:rtl w:val="true"/>
        </w:rPr>
        <w:t xml:space="preserve"> העבירות שבהן הורשע </w:t>
      </w:r>
      <w:r>
        <w:rPr>
          <w:rFonts w:cs="Century" w:ascii="Century" w:hAnsi="Century"/>
          <w:sz w:val="22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5668/13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17.3.2016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ראו גם </w:t>
      </w:r>
      <w:hyperlink r:id="rId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8182/18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דיני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18.2.2020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מהפקתם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לניר</w:t>
      </w:r>
      <w:r>
        <w:rPr>
          <w:rtl w:val="true"/>
        </w:rPr>
        <w:t xml:space="preserve">, </w:t>
      </w:r>
      <w:r>
        <w:rPr>
          <w:rtl w:val="true"/>
        </w:rPr>
        <w:t>הרי שאנו סבורים כי מצב הדברים שונה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לקנס שנגזר עליו</w:t>
      </w:r>
      <w:r>
        <w:rPr>
          <w:rtl w:val="true"/>
        </w:rPr>
        <w:t xml:space="preserve">, </w:t>
      </w:r>
      <w:r>
        <w:rPr>
          <w:rtl w:val="true"/>
        </w:rPr>
        <w:t>אמנם אין בו כדי לשקף את הרווח אותו עתיד היה ניר להפיק מפעילותו העבריינית</w:t>
      </w:r>
      <w:r>
        <w:rPr>
          <w:rtl w:val="true"/>
        </w:rPr>
        <w:t xml:space="preserve">; </w:t>
      </w:r>
      <w:r>
        <w:rPr>
          <w:rtl w:val="true"/>
        </w:rPr>
        <w:t>ואף לא ניתן להצביע על נסיבות כלכליות אשר יש בהן כדי להצדיק את הקנס הנמוך שנפסק לחובתו</w:t>
      </w:r>
      <w:r>
        <w:rPr>
          <w:rtl w:val="true"/>
        </w:rPr>
        <w:t xml:space="preserve">.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לנוכח חלקו בפעילות העבריינית ובשים לב לעקרון האחידות הענישה </w:t>
      </w:r>
      <w:r>
        <w:rPr>
          <w:rtl w:val="true"/>
        </w:rPr>
        <w:t>–</w:t>
      </w:r>
      <w:r>
        <w:rPr>
          <w:rtl w:val="true"/>
        </w:rPr>
        <w:t xml:space="preserve"> החלטנו שלא להתערב בגובה הקנס ולהקל עמו במידת מה בעונש המאסר בפועל שנגזר 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 לעיקרון זה</w:t>
      </w:r>
      <w:r>
        <w:rPr>
          <w:rtl w:val="true"/>
        </w:rPr>
        <w:t xml:space="preserve">, </w:t>
      </w:r>
      <w:r>
        <w:rPr>
          <w:rtl w:val="true"/>
        </w:rPr>
        <w:t xml:space="preserve">על נאשמים שונים יש לגזור עונשים דומים בגין ביצוע עבירות בנסיבות דומות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במקרים שבהם עומדים לדין כמה נאשמים במסגרת פרשה אחת</w:t>
      </w:r>
      <w:r>
        <w:rPr>
          <w:rtl w:val="true"/>
        </w:rPr>
        <w:t xml:space="preserve">, </w:t>
      </w:r>
      <w:r>
        <w:rPr>
          <w:rtl w:val="true"/>
        </w:rPr>
        <w:t>עונשו של כל אחד מהם ייקבע תוך התייחסות לעונש שנגזר על יתר המעורבים באותה פרשייה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מדרג הענישה ישקף את חלקם היחסי של כל אחד מהם במעשים </w:t>
      </w:r>
      <w:r>
        <w:rPr>
          <w:rtl w:val="true"/>
        </w:rPr>
        <w:t>(</w:t>
      </w:r>
      <w:r>
        <w:rPr>
          <w:rtl w:val="true"/>
        </w:rPr>
        <w:t xml:space="preserve">ראו והשוו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על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דין ערעור המדינה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4387/20</w:t>
      </w:r>
      <w:r>
        <w:rPr>
          <w:rtl w:val="true"/>
        </w:rPr>
        <w:t xml:space="preserve"> </w:t>
      </w:r>
      <w:r>
        <w:rPr>
          <w:rtl w:val="true"/>
        </w:rPr>
        <w:t>על גובה הקנס של טל ומאורו להתקבל</w:t>
      </w:r>
      <w:r>
        <w:rPr>
          <w:rtl w:val="true"/>
        </w:rPr>
        <w:t xml:space="preserve">; </w:t>
      </w:r>
      <w:r>
        <w:rPr>
          <w:rtl w:val="true"/>
        </w:rPr>
        <w:t>ערעור המדינה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7256/20</w:t>
      </w:r>
      <w:r>
        <w:rPr>
          <w:rtl w:val="true"/>
        </w:rPr>
        <w:t xml:space="preserve"> </w:t>
      </w:r>
      <w:r>
        <w:rPr>
          <w:rtl w:val="true"/>
        </w:rPr>
        <w:t>על קולת גובה הקנס שנגזר על ניר להידחות</w:t>
      </w:r>
      <w:r>
        <w:rPr>
          <w:rtl w:val="true"/>
        </w:rPr>
        <w:t xml:space="preserve">; </w:t>
      </w:r>
      <w:r>
        <w:rPr>
          <w:rtl w:val="true"/>
        </w:rPr>
        <w:t>וערעורו של ניר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7184/20</w:t>
      </w:r>
      <w:r>
        <w:rPr>
          <w:rtl w:val="true"/>
        </w:rPr>
        <w:t xml:space="preserve"> </w:t>
      </w:r>
      <w:r>
        <w:rPr>
          <w:rtl w:val="true"/>
        </w:rPr>
        <w:t>על חומרת עונש המאסר בפועל שנגזר עליו מתקבל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שיעמוד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רכיבי הענישה יוותרו על כנם ביחס לכל מהמשיבים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  <w:tab/>
        <w:tab/>
        <w:tab/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  <w:t xml:space="preserve"> </w:t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20043870</w:t>
      </w:r>
      <w:r>
        <w:rPr>
          <w:sz w:val="16"/>
          <w:rtl w:val="true"/>
        </w:rPr>
        <w:t>_</w:t>
      </w:r>
      <w:r>
        <w:rPr>
          <w:sz w:val="16"/>
        </w:rPr>
        <w:t>J08.docx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54678313-4387/20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4387/20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טל דרור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Garamond" w:hAnsi="Garamond" w:cs="Times New Roman"/>
      <w:spacing w:val="1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02315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384a.a.1" TargetMode="External"/><Relationship Id="rId8" Type="http://schemas.openxmlformats.org/officeDocument/2006/relationships/hyperlink" Target="http://www.nevo.co.il/case/25802315" TargetMode="External"/><Relationship Id="rId9" Type="http://schemas.openxmlformats.org/officeDocument/2006/relationships/hyperlink" Target="http://www.nevo.co.il/law/4216/6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384a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3751050" TargetMode="External"/><Relationship Id="rId14" Type="http://schemas.openxmlformats.org/officeDocument/2006/relationships/hyperlink" Target="http://www.nevo.co.il/case/26246488" TargetMode="External"/><Relationship Id="rId15" Type="http://schemas.openxmlformats.org/officeDocument/2006/relationships/hyperlink" Target="http://www.nevo.co.il/case/7958246" TargetMode="External"/><Relationship Id="rId16" Type="http://schemas.openxmlformats.org/officeDocument/2006/relationships/hyperlink" Target="http://www.nevo.co.il/case/25155590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2021-02-09T10:42:00Z</dcterms:created>
  <dc:creator>h4</dc:creator>
  <dc:description/>
  <cp:keywords/>
  <dc:language>en-IL</dc:language>
  <cp:lastModifiedBy>orly</cp:lastModifiedBy>
  <cp:lastPrinted>2021-02-08T09:08:00Z</cp:lastPrinted>
  <dcterms:modified xsi:type="dcterms:W3CDTF">2021-02-09T10:42:00Z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טל דרור;מאורו דל מונטה;ניר דרור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25802315:2;23751050;26246488;7958246;25155590</vt:lpwstr>
  </property>
  <property fmtid="{D5CDD505-2E9C-101B-9397-08002B2CF9AE}" pid="9" name="CITY">
    <vt:lpwstr/>
  </property>
  <property fmtid="{D5CDD505-2E9C-101B-9397-08002B2CF9AE}" pid="10" name="DATE">
    <vt:lpwstr>20210208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ברון;י' אלרון</vt:lpwstr>
  </property>
  <property fmtid="{D5CDD505-2E9C-101B-9397-08002B2CF9AE}" pid="14" name="LAWLISTTMP1">
    <vt:lpwstr>4216/006</vt:lpwstr>
  </property>
  <property fmtid="{D5CDD505-2E9C-101B-9397-08002B2CF9AE}" pid="15" name="LAWLISTTMP2">
    <vt:lpwstr>70301/384a.a.1;040c.a</vt:lpwstr>
  </property>
  <property fmtid="{D5CDD505-2E9C-101B-9397-08002B2CF9AE}" pid="16" name="LAWYER">
    <vt:lpwstr>נורית הרצמן;רועי לוס;נועה זעירא;מיכל רובינשטיין;שי טובים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1446;1446;1446;504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>דרכי ענישה: קנס ומאסר</vt:lpwstr>
  </property>
  <property fmtid="{D5CDD505-2E9C-101B-9397-08002B2CF9AE}" pid="52" name="NOSE33">
    <vt:lpwstr>אחדות הענישה</vt:lpwstr>
  </property>
  <property fmtid="{D5CDD505-2E9C-101B-9397-08002B2CF9AE}" pid="53" name="NOSE34">
    <vt:lpwstr>התערבות במידת העונש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8991;8972;12547;15230</vt:lpwstr>
  </property>
  <property fmtid="{D5CDD505-2E9C-101B-9397-08002B2CF9AE}" pid="60" name="PADIDATE">
    <vt:lpwstr>20210209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4387;7184;7256</vt:lpwstr>
  </property>
  <property fmtid="{D5CDD505-2E9C-101B-9397-08002B2CF9AE}" pid="66" name="PROCYEAR">
    <vt:lpwstr>20;20;20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410120210208</vt:lpwstr>
  </property>
  <property fmtid="{D5CDD505-2E9C-101B-9397-08002B2CF9AE}" pid="70" name="TYPE_N_DATE">
    <vt:lpwstr>41020210208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