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4406/19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4411/19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4418/19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4439/19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4439/19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4406/19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4411/19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4418/19</w:t>
            </w:r>
            <w:r>
              <w:rPr>
                <w:rtl w:val="true"/>
              </w:rPr>
              <w:t>:</w:t>
            </w:r>
          </w:p>
        </w:tc>
        <w:tc>
          <w:tcPr>
            <w:tcW w:w="514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22" w:type="dxa"/>
            <w:tcBorders/>
          </w:tcPr>
          <w:p>
            <w:pPr>
              <w:pStyle w:val="Ruller3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המשיב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4439/19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4406/19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סובח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4439/19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4418/19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אחמד סובח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המשיב </w:t>
            </w:r>
            <w:r>
              <w:rPr>
                <w:rFonts w:cs="David" w:ascii="David" w:hAnsi="David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4439/19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4411/19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מוחמד סובח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</w:rPr>
                <w:t>58670-11-18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14.5.2019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24.10.2019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4406/19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4439/19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המשיבים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4411/19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cs="David" w:ascii="David" w:hAnsi="David"/>
                <w:rtl w:val="true"/>
              </w:rPr>
              <w:t xml:space="preserve">-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4418/19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והמשיבים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4439/19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דוידי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שאער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מועלם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4406/19</w:t>
            </w:r>
            <w:r>
              <w:rPr>
                <w:rFonts w:cs="David" w:ascii="David" w:hAnsi="David"/>
                <w:rtl w:val="true"/>
              </w:rPr>
              <w:t>;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4411/19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4418/19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4439/19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שירות המבחן 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פולק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לעיתים מדיניות הענישה הנוהגת ביחס לעבירה מסוימת אינה מספקת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בשבתו כערכאת ערעור להורות על החמרה בענישה על מנת לקדם ולהגן על הערכים אשר ביסודה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לבלום את נפיצותן של עבירות מסוימות ההופכות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מכת 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ולתת ביטוי לחומרה שיש לייחס 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גם 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לנוכח מדיניות הענישה המחמירה אשר יש לנקוט כלפי עבירות הכוללות שימוש בנשק חם כאמצעי ליישוב 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כאשר נגרמו פגיעות בגוף ובנפש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 הנשק לא נמסר לידי רשויות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על קולת העונש ומנגד ערעור המשיבים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המשיבים הורשעו בביצוע עבירות של חבלה חמורה בנסיבות חמורות ובעבירות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סכסוך בין משפחת המתלוננים לבין משפחת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המשיבים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4439/19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אדם נוסף הצטיידו באקדחים ונסעו ברכב הלוך ושוב מספר פעמים מול המתלונן שעמד ליד ביתו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שהם יורים לעברו מתוך הרכב באקדחים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 נפגע בבטנו התחתונה ונזקק לניתוח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 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ירה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4439/19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באקדח לעבר מתלונן נוסף אשר נפגע בירך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מכן ירה לעבר אנשים נוספים ולא פגע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האקדחים לא נמסרו לידי רשויות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מעשים אלו 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על המשיבים </w:t>
      </w:r>
      <w:r>
        <w:rPr>
          <w:rFonts w:cs="Times New Roman" w:ascii="Times New Roman" w:hAnsi="Times New Roman"/>
          <w:spacing w:val="0"/>
          <w:sz w:val="24"/>
          <w:szCs w:val="26"/>
        </w:rPr>
        <w:t>3-1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ערעור המדינה ודחה את ערעור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 כי אין זה מדרכה של ערכאת הערעור למצות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ייטה שלא להתערב בעונש שהושת על ידי הערכאה הדיונית 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כאשר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 על פני הדברים טעות מהותית ובולטת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לעיתים מדיניות הענישה הנוהגת ביחס לעבירה מסוימת אינה מספקת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להורות על החמרה בענישה על מנת לקדם ולהגן על הערכים אשר ביסודה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לבלום את נפיצותן של עבירות מסוימות ההופכות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מכת 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ולתת ביטוי לחומרה שיש לייחס 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שלפנינו נמנה עם אותם מקרים חריגים אשר בהם נדרשת התערבותו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בשבתו כערכאת 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לנוכח מדיניות הענישה המחמירה אשר יש לנקוט כלפי עבירות הכוללות שימוש בנשק חם כאמצעי ליישוב 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לא נותר אדיש למול השימוש הגובר בנשק 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והדגיש לא אחת את הצורך בענישה מחמירה ומרתיעה כלפי השימוש בו לשם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במיוחד כאשר השימוש בו נעשה בסביבת בתי 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לכך ולנוכח ריבוי מקרי הירי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לנקוט במדיניות ענישה מחמירה כלפי ביצוע עבירות החזקת נשק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אחת כמה וכמה שימוש בנשק חם ופציעתם של קורבנות שונים עקב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וכאשר מבצעי העבירות אינם מוסרים את כלי הנשק לידי רשויות החוק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ובכך מוסיפים לפגוע בביטחון הציבור וקיים חשש תמידי לשימוש עברייני חוזר בנשק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להגעתו של נשק זה לגורמים עויינים ובכללם גורמי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אפוא כי בנסיבות דהיום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ונכון להחמיר את 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הקל בעונשיהם של השלושה בין היתר על רקע 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בני משפחותיהם אשר התגבשה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בשל האפשרות כי הסכמות בני המשפחות ימנעו אירועים אלימים נוספים 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 מאחר שיש בהסכמות אלה בצירוף הודאת המשיבים כדי לבטא נטילת אחריות ממשית על 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דנן אין בעצם 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בני המשפחות כדי להצדיק הקלה משמעותית בעונשי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מתן גושפנקה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כמעין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מרכיב משלים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לדרכי הענישה הקבועים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בו כדי להוות מעין הפרטה פסולה של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איתותה של מערכת המשפט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 להביא להקלה משמעותית בעונשו של העבריין מחליש את ההרתעה מפני ביצוע עבירות וחושף את קורבן העבירה ואת משפחתו ללחצים פסולים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סבור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כי יש ליתן משקל מוגבל בלבד לקיומה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נכון במיוחד בנסיבות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המשיבים שלא למסור את נשקיהם מלמדת כי לא הפנימו את חומרת מעשיהם וכי חרטתם מסויגת ואינה שלמה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שהרי כלי הנשק נותרו זמינים ועלולים לשמש לביצוע עבירות דומות בעתיד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בין אם על ידם ובין אם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משפגיעת המשיבים בביטחון הציבור נמשכת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בהודאתם כדי לבטא חרטה כנה על 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ערעור המדינה על קולת העונש להתקבל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דין הערעורים על חומרת העונש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לכך שכאמור אין זה מדרכה של ערכאת הערעור למצות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ולכך שעל החמרה במדיניות הענישה להתבצע באופן הדרגתי נפסק כי על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יהא לרצות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תחת 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שגזר עליו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יהא לרצות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תחת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שגזר עליו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לרצות </w:t>
      </w:r>
      <w:r>
        <w:rPr>
          <w:rFonts w:cs="Times New Roman" w:ascii="Times New Roman" w:hAnsi="Times New Roman"/>
          <w:spacing w:val="0"/>
          <w:sz w:val="24"/>
          <w:szCs w:val="26"/>
        </w:rPr>
        <w:t>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תחת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שגזר עליו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הענישה 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 w:before="0" w:after="420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לפנינו ערעור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4439/19</w:t>
      </w:r>
      <w:r>
        <w:rPr>
          <w:rtl w:val="true"/>
        </w:rPr>
        <w:t xml:space="preserve">) </w:t>
      </w:r>
      <w:r>
        <w:rPr>
          <w:rtl w:val="true"/>
        </w:rPr>
        <w:t xml:space="preserve">על קולת העונש ומנגד ערעור המשיבים על חומרת העונש </w:t>
      </w:r>
      <w:r>
        <w:rPr>
          <w:rtl w:val="true"/>
        </w:rPr>
        <w:t>(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4406/19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4411/19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4418/19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4439/19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4439/19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tl w:val="true"/>
        </w:rPr>
        <w:t xml:space="preserve">)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המסכת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המתוקן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העובדות המתוארות בכתב האישום המתוקן ובפסק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בערבו של יום </w:t>
      </w:r>
      <w:r>
        <w:rPr/>
        <w:t>26.10.2018</w:t>
      </w:r>
      <w:r>
        <w:rPr>
          <w:rtl w:val="true"/>
        </w:rPr>
        <w:t xml:space="preserve"> </w:t>
      </w:r>
      <w:r>
        <w:rPr>
          <w:rtl w:val="true"/>
        </w:rPr>
        <w:t>התגלע סכסוך בין צעירים מבני משפחת המשיבים לבין צעירים מבני משפחת אבו שנב</w:t>
      </w:r>
      <w:r>
        <w:rPr>
          <w:rtl w:val="true"/>
        </w:rPr>
        <w:t xml:space="preserve">, </w:t>
      </w:r>
      <w:r>
        <w:rPr>
          <w:rtl w:val="true"/>
        </w:rPr>
        <w:t>אשר התפתח למחרת היום לאיומים הדדיים וקללות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ההדורים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27.10.2018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התרחקו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הרביעית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</w:t>
      </w:r>
      <w:r>
        <w:rPr>
          <w:rtl w:val="true"/>
        </w:rPr>
        <w:t xml:space="preserve">, </w:t>
      </w:r>
      <w:r>
        <w:rPr>
          <w:rtl w:val="true"/>
        </w:rPr>
        <w:t>והקליע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 תואר בכתב האישום המתוקן כי בעקבות הירי נשמעו צרחות מכיוון ביתו של 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. </w:t>
      </w:r>
      <w:r>
        <w:rPr>
          <w:rtl w:val="true"/>
        </w:rPr>
        <w:t>הנוכחים במפגש ה</w:t>
      </w:r>
      <w:r>
        <w:rPr>
          <w:rtl w:val="true"/>
        </w:rPr>
        <w:t>-"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רצו אל עבר הבית</w:t>
      </w:r>
      <w:r>
        <w:rPr>
          <w:rtl w:val="true"/>
        </w:rPr>
        <w:t xml:space="preserve">, </w:t>
      </w:r>
      <w:r>
        <w:rPr>
          <w:rtl w:val="true"/>
        </w:rPr>
        <w:t xml:space="preserve">וביניהם המשיב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 נשא בכיס חולצתו אקדח טעון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ריצתו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ונדרס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מהכפר</w:t>
      </w:r>
      <w:r>
        <w:rPr>
          <w:rtl w:val="true"/>
        </w:rPr>
        <w:t xml:space="preserve">, </w:t>
      </w:r>
      <w:r>
        <w:rPr>
          <w:rtl w:val="true"/>
        </w:rPr>
        <w:t>והסגירו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1.11.2018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בהכרעת דינו מיום </w:t>
      </w:r>
      <w:r>
        <w:rPr/>
        <w:t>14.3.2019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המחוזי את 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פי הודאתם בעבירה של גרימת חבלה חמורה בנסיבות מחמירות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ובעבירה של נשיאה והובלת נשק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.</w:t>
        </w:r>
      </w:hyperlink>
    </w:p>
    <w:p>
      <w:pPr>
        <w:pStyle w:val="Ruller4"/>
        <w:ind w:end="0"/>
        <w:jc w:val="both"/>
        <w:rPr/>
      </w:pP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14.5.2019</w:t>
      </w:r>
      <w:r>
        <w:rPr>
          <w:rtl w:val="true"/>
        </w:rPr>
        <w:t xml:space="preserve"> </w:t>
      </w:r>
      <w:r>
        <w:rPr>
          <w:rtl w:val="true"/>
        </w:rPr>
        <w:t xml:space="preserve">הדגיש בית המשפט המחוזי את חומרת מעשי המשיבים אשר פנו </w:t>
      </w:r>
      <w:r>
        <w:rPr>
          <w:rtl w:val="true"/>
        </w:rPr>
        <w:t>"</w:t>
      </w:r>
      <w:r>
        <w:rPr>
          <w:rtl w:val="true"/>
        </w:rPr>
        <w:t>לדרכים אלימות כ</w:t>
      </w:r>
      <w:r>
        <w:rPr>
          <w:rtl w:val="true"/>
        </w:rPr>
        <w:t>'</w:t>
      </w:r>
      <w:r>
        <w:rPr>
          <w:rtl w:val="true"/>
        </w:rPr>
        <w:t>פתרון</w:t>
      </w:r>
      <w:r>
        <w:rPr>
          <w:rtl w:val="true"/>
        </w:rPr>
        <w:t xml:space="preserve">' </w:t>
      </w:r>
      <w:r>
        <w:rPr>
          <w:rtl w:val="true"/>
        </w:rPr>
        <w:t>ליישוב סכסוכים</w:t>
      </w:r>
      <w:r>
        <w:rPr>
          <w:rtl w:val="true"/>
        </w:rPr>
        <w:t xml:space="preserve">" </w:t>
      </w:r>
      <w:r>
        <w:rPr>
          <w:rtl w:val="true"/>
        </w:rPr>
        <w:t>והחזיקו בכלי נשק בלתי חוקיים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;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"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לירי שביצע המשיב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לעבר ג</w:t>
      </w:r>
      <w:r>
        <w:rPr>
          <w:rtl w:val="true"/>
        </w:rPr>
        <w:t>'</w:t>
      </w:r>
      <w:r>
        <w:rPr>
          <w:rtl w:val="true"/>
        </w:rPr>
        <w:t>מיל ובני משפחתו</w:t>
      </w:r>
      <w:r>
        <w:rPr>
          <w:rtl w:val="true"/>
        </w:rPr>
        <w:t xml:space="preserve">, </w:t>
      </w:r>
      <w:r>
        <w:rPr>
          <w:rtl w:val="true"/>
        </w:rPr>
        <w:t>צוין כי אירוע זה</w:t>
      </w:r>
      <w:r>
        <w:rPr>
          <w:rtl w:val="true"/>
        </w:rPr>
        <w:t>, "</w:t>
      </w:r>
      <w:r>
        <w:rPr>
          <w:rtl w:val="true"/>
        </w:rPr>
        <w:t>חרף חומרתו</w:t>
      </w:r>
      <w:r>
        <w:rPr>
          <w:rtl w:val="true"/>
        </w:rPr>
        <w:t xml:space="preserve">, </w:t>
      </w:r>
      <w:r>
        <w:rPr>
          <w:rtl w:val="true"/>
        </w:rPr>
        <w:t>הוא קל באופן משמעותי מהראשון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 מאחר שלא ניתן ללמוד מעובדות כתב האישום המתוקן כי קדם תכנון לירי</w:t>
      </w:r>
      <w:r>
        <w:rPr>
          <w:rtl w:val="true"/>
        </w:rPr>
        <w:t xml:space="preserve">, </w:t>
      </w:r>
      <w:r>
        <w:rPr>
          <w:rtl w:val="true"/>
        </w:rPr>
        <w:t>ומאחר שניתן לפרשו כך שהירי בוצע לעבר רגליהם של 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 xml:space="preserve">אחיו ואחיינו </w:t>
      </w:r>
      <w:r>
        <w:rPr>
          <w:rtl w:val="true"/>
        </w:rPr>
        <w:t>–</w:t>
      </w:r>
      <w:r>
        <w:rPr>
          <w:rtl w:val="true"/>
        </w:rPr>
        <w:t xml:space="preserve"> ולא אל עבר איבריהם החיוניים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בקביעת עונשיהם של המשיבים בתוך מתחמי ענישה אלו נשקלה לקולא העובדה כי המשפחות הגיעו ל</w:t>
      </w:r>
      <w:r>
        <w:rPr>
          <w:rtl w:val="true"/>
        </w:rPr>
        <w:t>"</w:t>
      </w:r>
      <w:r>
        <w:rPr>
          <w:rtl w:val="true"/>
        </w:rPr>
        <w:t>הסכם סולחה</w:t>
      </w:r>
      <w:r>
        <w:rPr>
          <w:rtl w:val="true"/>
        </w:rPr>
        <w:t xml:space="preserve">" </w:t>
      </w:r>
      <w:r>
        <w:rPr>
          <w:rtl w:val="true"/>
        </w:rPr>
        <w:t>ובכך יש ביטוי ל</w:t>
      </w:r>
      <w:r>
        <w:rPr>
          <w:rtl w:val="true"/>
        </w:rPr>
        <w:t>"</w:t>
      </w:r>
      <w:r>
        <w:rPr>
          <w:rtl w:val="true"/>
        </w:rPr>
        <w:t>קבלת אחריות של ממש על מעשיהם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להכביד</w:t>
      </w:r>
      <w:r>
        <w:rPr>
          <w:rtl w:val="true"/>
        </w:rPr>
        <w:t xml:space="preserve">"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לאור מכלול שיקולים אלו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על המשיבים עונשים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טוענת המדינה בין היתר כי העונשים אשר נגזרו על המשיבים אינם משקפים כהלכה את הצורך בהרתעתם ובהרתעת עבריינים פוטנציאליים אחרים משימוש בנשק</w:t>
      </w:r>
      <w:r>
        <w:rPr>
          <w:rtl w:val="true"/>
        </w:rPr>
        <w:t xml:space="preserve">, </w:t>
      </w:r>
      <w:r>
        <w:rPr>
          <w:rtl w:val="true"/>
        </w:rPr>
        <w:t>וכי ענישתם אף אינה עולה בקנה אחד עם מסוכנותם כפי שזו כאמור משתקפת במעשיהם ובתסקירי שירות המבחן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הדגישו באי</w:t>
      </w:r>
      <w:r>
        <w:rPr>
          <w:rtl w:val="true"/>
        </w:rPr>
        <w:t>-</w:t>
      </w:r>
      <w:r>
        <w:rPr>
          <w:rtl w:val="true"/>
        </w:rPr>
        <w:t>כוח המדינה את הצורך בהחמרה בענישה בגין אירועי אלימות הכוללים שימוש בנשק חם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בהתייחס למשיבים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 כי אין מקום להתחשב לקולא ב</w:t>
      </w:r>
      <w:r>
        <w:rPr>
          <w:rtl w:val="true"/>
        </w:rPr>
        <w:t>"</w:t>
      </w:r>
      <w:r>
        <w:rPr>
          <w:rtl w:val="true"/>
        </w:rPr>
        <w:t>עמימות העובדתית</w:t>
      </w:r>
      <w:r>
        <w:rPr>
          <w:rtl w:val="true"/>
        </w:rPr>
        <w:t xml:space="preserve">" </w:t>
      </w:r>
      <w:r>
        <w:rPr>
          <w:rtl w:val="true"/>
        </w:rPr>
        <w:t>באשר לשאלה מי מבין נוסעי הרכב ביצע את 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למשיב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המחוזי כאשר קבע כי מדובר באירוע קל משמעותית מהאירוע הראשון וכאשר קבע כי ביצוע המעשים על</w:t>
      </w:r>
      <w:r>
        <w:rPr>
          <w:rtl w:val="true"/>
        </w:rPr>
        <w:t>-</w:t>
      </w:r>
      <w:r>
        <w:rPr>
          <w:rtl w:val="true"/>
        </w:rPr>
        <w:t xml:space="preserve">ידו מתוך </w:t>
      </w:r>
      <w:r>
        <w:rPr>
          <w:rtl w:val="true"/>
        </w:rPr>
        <w:t>"</w:t>
      </w:r>
      <w:r>
        <w:rPr>
          <w:rtl w:val="true"/>
        </w:rPr>
        <w:t>סערת רגשות</w:t>
      </w:r>
      <w:r>
        <w:rPr>
          <w:rtl w:val="true"/>
        </w:rPr>
        <w:t xml:space="preserve">" </w:t>
      </w:r>
      <w:r>
        <w:rPr>
          <w:rtl w:val="true"/>
        </w:rPr>
        <w:t>מהווה שיקול להקלה 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, "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"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המשיבים העונשים אשר הושתו עליהם חורגים לחומרה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באופן המצדיק הקלה בעונשיהם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כל אחד מהמשיבים הוסיף וטען כי יש להקל בעונשו לאור נסיבותיו האישיות וחלקו בביצוע 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-"'</w:t>
      </w:r>
      <w:r>
        <w:rPr>
          <w:rtl w:val="true"/>
        </w:rPr>
        <w:t>זרוע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המבצעת</w:t>
      </w:r>
      <w:r>
        <w:rPr>
          <w:rtl w:val="true"/>
        </w:rPr>
        <w:t xml:space="preserve">', </w:t>
      </w:r>
      <w:r>
        <w:rPr>
          <w:rtl w:val="true"/>
        </w:rPr>
        <w:t>הרוח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והדומיננטית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איבד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עשתונותיו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ולגונן</w:t>
      </w:r>
      <w:r>
        <w:rPr>
          <w:rtl w:val="true"/>
        </w:rPr>
        <w:t xml:space="preserve">".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אקדים ואומר כבר בפתח הדברים כי אני סבור כי דין ערעור המדינה להתקבל</w:t>
      </w:r>
      <w:r>
        <w:rPr>
          <w:rtl w:val="true"/>
        </w:rPr>
        <w:t xml:space="preserve">, </w:t>
      </w:r>
      <w:r>
        <w:rPr>
          <w:rtl w:val="true"/>
        </w:rPr>
        <w:t xml:space="preserve">ואילו דין ערעורם של המשיבים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נקודת המוצא בדיון שלפנינו היא כי אין זה מדרכה של ערכאת הערעור למצות את הדין</w:t>
      </w:r>
      <w:r>
        <w:rPr>
          <w:rtl w:val="true"/>
        </w:rPr>
        <w:t xml:space="preserve">; </w:t>
      </w:r>
      <w:r>
        <w:rPr>
          <w:rtl w:val="true"/>
        </w:rPr>
        <w:t>וכי בית המשפט ייטה שלא להתערב בעונש שהושת על ידי הערכאה הדיונית 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</w:t>
      </w:r>
      <w:r>
        <w:rPr>
          <w:rtl w:val="true"/>
        </w:rPr>
        <w:t>נפלה על פני הדברים טעות מהותית ובולטת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26.12.2017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נפיצותן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ההופכות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ולתת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השימוש בנשק חם ככלי ליישוב סכסוכים הפך לרעה חולה</w:t>
      </w:r>
      <w:r>
        <w:rPr>
          <w:rtl w:val="true"/>
        </w:rPr>
        <w:t xml:space="preserve">, </w:t>
      </w:r>
      <w:r>
        <w:rPr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tl w:val="true"/>
        </w:rPr>
        <w:t xml:space="preserve">. </w:t>
      </w:r>
      <w:r>
        <w:rPr>
          <w:rtl w:val="true"/>
        </w:rPr>
        <w:t xml:space="preserve">בשנים האחרונות אף חלה עליה מתמדת במספר אירועי הירי המדווחים למשטרה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 xml:space="preserve">ח מבקר המדינה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התמודדות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ואירועי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ביישובי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וביישובים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מעורבים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זה לא נותר אדיש למול השימוש הגובר בנשק חם</w:t>
      </w:r>
      <w:r>
        <w:rPr>
          <w:rtl w:val="true"/>
        </w:rPr>
        <w:t xml:space="preserve">, </w:t>
      </w:r>
      <w:r>
        <w:rPr>
          <w:rtl w:val="true"/>
        </w:rPr>
        <w:t xml:space="preserve">והדגיש לא אחת את הצורך בענישה מחמירה ומרתיעה כלפי השימוש בו לשם </w:t>
      </w:r>
      <w:r>
        <w:rPr>
          <w:rtl w:val="true"/>
        </w:rPr>
        <w:t>פתרון</w:t>
      </w:r>
      <w:r>
        <w:rPr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זאת במיוחד כאשר השימוש בו נעשה בסביבת בתי מגורים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tl w:val="true"/>
        </w:rPr>
        <w:t xml:space="preserve"> צוין 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והרס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17.9.2015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4611/18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10.3.2019</w:t>
      </w:r>
      <w:r>
        <w:rPr>
          <w:rtl w:val="true"/>
        </w:rPr>
        <w:t xml:space="preserve">);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5015/15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ריאן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29.3.2016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ופציעתם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שלושת המשיבים עשו שימוש בנשק חם על רקע סכסוך משפחתי מר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יוּשַׁב</w:t>
      </w:r>
      <w:r>
        <w:rPr>
          <w:rtl w:val="true"/>
        </w:rPr>
        <w:t xml:space="preserve"> רק לאחר קרות האירועים האלימים המתוארים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בסופם נפגעו שני בני אדם</w:t>
      </w:r>
      <w:r>
        <w:rPr>
          <w:rtl w:val="true"/>
        </w:rPr>
        <w:t xml:space="preserve">, </w:t>
      </w:r>
      <w:r>
        <w:rPr>
          <w:rtl w:val="true"/>
        </w:rPr>
        <w:t>אב ובנו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מסוכסכים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2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5860/14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6.3.2016</w:t>
      </w:r>
      <w:r>
        <w:rPr>
          <w:rFonts w:cs="Century" w:ascii="Century" w:hAnsi="Century"/>
          <w:rtl w:val="true"/>
        </w:rPr>
        <w:t>):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גנגסטרים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הוליוודי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דברים אלו יפים אף לענייננו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התכנון אשר קדם למעשיהם של 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והאופן שבו ביצעו את הירי לעבר קורבנם</w:t>
      </w:r>
      <w:r>
        <w:rPr>
          <w:rtl w:val="true"/>
        </w:rPr>
        <w:t xml:space="preserve">, </w:t>
      </w:r>
      <w:r>
        <w:rPr>
          <w:rtl w:val="true"/>
        </w:rPr>
        <w:t xml:space="preserve">כמו גם הקלות אשר בה ביצע המשיב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הירי לעבר ג</w:t>
      </w:r>
      <w:r>
        <w:rPr>
          <w:rtl w:val="true"/>
        </w:rPr>
        <w:t>'</w:t>
      </w:r>
      <w:r>
        <w:rPr>
          <w:rtl w:val="true"/>
        </w:rPr>
        <w:t>מיל ושני בני משפחתו זמן קצר לאחר שנפגשו על מנת לפתור את הסכסוך בין בני המשפחות</w:t>
      </w:r>
      <w:r>
        <w:rPr>
          <w:rtl w:val="true"/>
        </w:rPr>
        <w:t xml:space="preserve">, </w:t>
      </w:r>
      <w:r>
        <w:rPr>
          <w:rtl w:val="true"/>
        </w:rPr>
        <w:t>מהווים אף הם נסיבות מחמירות למעשיהם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הקל כאמור בעונשיהם של השלושה בין היתר על רקע קיומה של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 בני משפחותיהם אשר התגבשה לאחר האירוע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בשל האפשרות כי הסכמות בני המשפחות ימנעו אירועים אלימים נוספים בעתיד</w:t>
      </w:r>
      <w:r>
        <w:rPr>
          <w:rtl w:val="true"/>
        </w:rPr>
        <w:t xml:space="preserve">; </w:t>
      </w:r>
      <w:r>
        <w:rPr>
          <w:rtl w:val="true"/>
        </w:rPr>
        <w:t>והן מאחר שיש בהסכמות אלה בצירוף הודאת המשיבים כדי לבטא נטילת אחריות ממשית על מעשיהם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כפי שקבעתי בהקשר אחר</w:t>
      </w:r>
      <w:r>
        <w:rPr>
          <w:rtl w:val="true"/>
        </w:rPr>
        <w:t>, "</w:t>
      </w:r>
      <w:r>
        <w:rPr>
          <w:rtl w:val="true"/>
        </w:rPr>
        <w:t>הסכמי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הנערכים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– </w:t>
      </w:r>
      <w:r>
        <w:rPr>
          <w:rtl w:val="true"/>
        </w:rPr>
        <w:t>נעשים</w:t>
      </w:r>
      <w:r>
        <w:rPr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בידיעתו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" (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(</w:t>
      </w:r>
      <w:r>
        <w:rPr/>
        <w:t>28.2.2018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ממילא קיים קושי של ממש לקבוע כי קיומה של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 xml:space="preserve">מלמד על נטילת אחריות ממשית מצד מבצעי העבירות עצמם </w:t>
      </w:r>
      <w:r>
        <w:rPr>
          <w:rtl w:val="true"/>
        </w:rPr>
        <w:t>(</w:t>
      </w:r>
      <w:r>
        <w:rPr>
          <w:rtl w:val="true"/>
        </w:rPr>
        <w:t>ראו והשוו גם</w:t>
      </w:r>
      <w:r>
        <w:rPr>
          <w:rtl w:val="true"/>
        </w:rPr>
        <w:t xml:space="preserve">: </w:t>
      </w:r>
      <w:hyperlink r:id="rId31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1966/19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24.3.3019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אין בידי לקבל את קביעת בית המשפט המחוזי אשר לפיה </w:t>
      </w:r>
      <w:r>
        <w:rPr>
          <w:rtl w:val="true"/>
        </w:rPr>
        <w:t>"</w:t>
      </w:r>
      <w:r>
        <w:rPr>
          <w:rtl w:val="true"/>
        </w:rPr>
        <w:t>די לנו</w:t>
      </w:r>
      <w:r>
        <w:rPr>
          <w:rtl w:val="true"/>
        </w:rPr>
        <w:t xml:space="preserve">" </w:t>
      </w:r>
      <w:r>
        <w:rPr>
          <w:rtl w:val="true"/>
        </w:rPr>
        <w:t>אם יהיה בהסכם ה</w:t>
      </w:r>
      <w:r>
        <w:rPr>
          <w:rtl w:val="true"/>
        </w:rPr>
        <w:t>-"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כדי למנוע אירועי אלימות עתידיים</w:t>
      </w:r>
      <w:r>
        <w:rPr>
          <w:rtl w:val="true"/>
        </w:rPr>
        <w:t xml:space="preserve">, </w:t>
      </w:r>
      <w:r>
        <w:rPr>
          <w:rtl w:val="true"/>
        </w:rPr>
        <w:t>וכי לנוכח מטרה צופה פני עתיד זו והרצון כי הצדדים יישבו את ההדורים יש מקום להקל בענישה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3125/04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23.6.2005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6493/05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22.2.2006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סולחות</w:t>
      </w:r>
      <w:r>
        <w:rPr>
          <w:rtl w:val="true"/>
        </w:rPr>
        <w:t xml:space="preserve">" </w:t>
      </w:r>
      <w:r>
        <w:rPr>
          <w:rtl w:val="true"/>
        </w:rPr>
        <w:t>כמעין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" </w:t>
      </w:r>
      <w:r>
        <w:rPr>
          <w:rtl w:val="true"/>
        </w:rPr>
        <w:t>לדרכי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" </w:t>
      </w:r>
      <w:r>
        <w:rPr>
          <w:rtl w:val="true"/>
        </w:rPr>
        <w:t>חותר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איתותה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9168/18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26.2.2019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הדבר נכון במיוחד בנסיבות המקרה 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משפגיעת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לנוכח מכלול שיקולים אלו ולאור חומרת מעשי המשיבים</w:t>
      </w:r>
      <w:r>
        <w:rPr>
          <w:rtl w:val="true"/>
        </w:rPr>
        <w:t xml:space="preserve">, </w:t>
      </w:r>
      <w:r>
        <w:rPr>
          <w:rtl w:val="true"/>
        </w:rPr>
        <w:t>אני סבור כי דין ערעור המדינה על קולת העונש להתקבל</w:t>
      </w:r>
      <w:r>
        <w:rPr>
          <w:rtl w:val="true"/>
        </w:rPr>
        <w:t xml:space="preserve">, </w:t>
      </w:r>
      <w:r>
        <w:rPr>
          <w:rtl w:val="true"/>
        </w:rPr>
        <w:t>ואילו דין הערעורים על חומרת העונש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u w:val="single"/>
        </w:rPr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אני מסכים לפסק דינו של חברי השופט </w:t>
      </w:r>
      <w:r>
        <w:rPr>
          <w:rFonts w:ascii="Miriam" w:hAnsi="Miriam" w:cs="Miriam"/>
          <w:sz w:val="24"/>
          <w:sz w:val="24"/>
          <w:rtl w:val="true"/>
        </w:rPr>
        <w:t>י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אלרון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ואוסיף אך הערה משלימה קצרה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התשתית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הגורם בלעדו איין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r>
        <w:rPr>
          <w:rFonts w:cs="FrankRuehl" w:ascii="FrankRuehl" w:hAnsi="FrankRuehl"/>
          <w:spacing w:val="10"/>
          <w:sz w:val="28"/>
          <w:szCs w:val="28"/>
        </w:rPr>
        <w:t>causa sine qua non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למגוון רחב של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החל בעבירות איומים ושוד מזוין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המשך בעבירות גרימת חבלה חמורה וכלה בעבירות המתה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לעתים קרובות הנשק הבלתי חוקי נרכש מלכתחילה למטרות 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ואף אם הנשק נרכש למטרות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הגנה עצמית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הזמינות של הנשק מעודדת את השימוש בו לביצוע עבירות שונות ולחרפת תוצאותיהן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המאבק בתופעות האלימות החמורות בחברה הישראלית בהן נעשה שימוש בנשק מחייב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מעבר למאמץ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לשים 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כלי הנשק הבלתי חוקיים הרבים שבידי הציבור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גם ענישה מחמירה ומרתיעה בעבירות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לרבות על עצם החזקה או רכישה שלא כדין של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אזכיר כי המחוקק ביטא את גישתו המחמירה לתופעה זו כאשר קבע עונשים מחמירים של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 על רכישה או החזקה של נשק בלא רשות על פי 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 על נשיאה או הובלה של נשק בלא רשות על פי 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 על ייצור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יבוא או סחר בנשק בלא רשות על פי דין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3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144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1977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 אף בלא שנעשה בנשק שימוש לביצוע עבירה נוספת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ייבוש הביצה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המשמשת ערש לגידולן של תופעות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מהלך כזה מחייב הירתמות גם של בתי המשפט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ידי ענישה מחמירה ומרתיעה לעבירות נשק בלתי חוקי באשר 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וכל שכן מקום שנעשה בנשק כזה שימוש בביצוע עבירות אלימות לסוגיהן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5.11.2019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pacing w:before="0" w:after="420"/>
              <w:ind w:hanging="0"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420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42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19044060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54678313-4406/19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4406/19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יונס סובח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420"/>
      <w:ind w:firstLine="799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7628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3.a.1" TargetMode="External"/><Relationship Id="rId8" Type="http://schemas.openxmlformats.org/officeDocument/2006/relationships/hyperlink" Target="http://www.nevo.co.il/law/70301/333.a.2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case/25824897" TargetMode="External"/><Relationship Id="rId12" Type="http://schemas.openxmlformats.org/officeDocument/2006/relationships/hyperlink" Target="http://www.nevo.co.il/case/25824897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333.a.1" TargetMode="External"/><Relationship Id="rId15" Type="http://schemas.openxmlformats.org/officeDocument/2006/relationships/hyperlink" Target="http://www.nevo.co.il/law/70301/333.a.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35" TargetMode="External"/><Relationship Id="rId21" Type="http://schemas.openxmlformats.org/officeDocument/2006/relationships/hyperlink" Target="http://www.nevo.co.il/law/70301/333.a.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40a.b.2" TargetMode="External"/><Relationship Id="rId25" Type="http://schemas.openxmlformats.org/officeDocument/2006/relationships/hyperlink" Target="http://www.nevo.co.il/case/22006497" TargetMode="External"/><Relationship Id="rId26" Type="http://schemas.openxmlformats.org/officeDocument/2006/relationships/hyperlink" Target="http://www.nevo.co.il/case/20291305" TargetMode="External"/><Relationship Id="rId27" Type="http://schemas.openxmlformats.org/officeDocument/2006/relationships/hyperlink" Target="http://www.nevo.co.il/case/24303104" TargetMode="External"/><Relationship Id="rId28" Type="http://schemas.openxmlformats.org/officeDocument/2006/relationships/hyperlink" Target="http://www.nevo.co.il/case/20450586" TargetMode="External"/><Relationship Id="rId29" Type="http://schemas.openxmlformats.org/officeDocument/2006/relationships/hyperlink" Target="http://www.nevo.co.il/case/17948122" TargetMode="External"/><Relationship Id="rId30" Type="http://schemas.openxmlformats.org/officeDocument/2006/relationships/hyperlink" Target="http://www.nevo.co.il/case/22301096" TargetMode="External"/><Relationship Id="rId31" Type="http://schemas.openxmlformats.org/officeDocument/2006/relationships/hyperlink" Target="http://www.nevo.co.il/case/25538837" TargetMode="External"/><Relationship Id="rId32" Type="http://schemas.openxmlformats.org/officeDocument/2006/relationships/hyperlink" Target="http://www.nevo.co.il/case/364405" TargetMode="External"/><Relationship Id="rId33" Type="http://schemas.openxmlformats.org/officeDocument/2006/relationships/hyperlink" Target="http://www.nevo.co.il/case/6068562" TargetMode="External"/><Relationship Id="rId34" Type="http://schemas.openxmlformats.org/officeDocument/2006/relationships/hyperlink" Target="http://www.nevo.co.il/case/24140838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2021-11-14T11:59:00Z</dcterms:created>
  <dc:creator>h4</dc:creator>
  <dc:description/>
  <cp:keywords/>
  <dc:language>en-IL</dc:language>
  <cp:lastModifiedBy>hofit</cp:lastModifiedBy>
  <cp:lastPrinted>2019-11-05T09:20:00Z</cp:lastPrinted>
  <dcterms:modified xsi:type="dcterms:W3CDTF">2021-11-14T11:59:00Z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ישראל;יונס סובח;אחמד סובח;מוחמד סובח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יונס סובח;אחמד סובח;מוחמד סובח;מדינת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25176289;22006497;20291305;24303104;20450586;17948122;22301096;25538837;364405;6068562;24140838</vt:lpwstr>
  </property>
  <property fmtid="{D5CDD505-2E9C-101B-9397-08002B2CF9AE}" pid="9" name="CITY">
    <vt:lpwstr/>
  </property>
  <property fmtid="{D5CDD505-2E9C-101B-9397-08002B2CF9AE}" pid="10" name="DATE">
    <vt:lpwstr>20191105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אלרון;א' שטיין</vt:lpwstr>
  </property>
  <property fmtid="{D5CDD505-2E9C-101B-9397-08002B2CF9AE}" pid="14" name="LAWLISTTMP1">
    <vt:lpwstr>70301/335:2;333.a.1:2;333.a.2;029:3;144.b:2;340a.b.2;144</vt:lpwstr>
  </property>
  <property fmtid="{D5CDD505-2E9C-101B-9397-08002B2CF9AE}" pid="15" name="LAWYER">
    <vt:lpwstr>ליאור דוידי;טניה שאער;אניס אמירא מועלם;בת שבע אבגז;כמיל עודה;ג'ריס ברהום;יוסי פולק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</vt:lpwstr>
  </property>
  <property fmtid="{D5CDD505-2E9C-101B-9397-08002B2CF9AE}" pid="59" name="PADIDATE">
    <vt:lpwstr>20191106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עפ;עפ;עפ;עפ</vt:lpwstr>
  </property>
  <property fmtid="{D5CDD505-2E9C-101B-9397-08002B2CF9AE}" pid="64" name="PROCNUM">
    <vt:lpwstr>4406;4411;4418;4439</vt:lpwstr>
  </property>
  <property fmtid="{D5CDD505-2E9C-101B-9397-08002B2CF9AE}" pid="65" name="PROCYEAR">
    <vt:lpwstr>19;19;19;19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410120191105</vt:lpwstr>
  </property>
  <property fmtid="{D5CDD505-2E9C-101B-9397-08002B2CF9AE}" pid="69" name="TYPE_N_DATE">
    <vt:lpwstr>41020191105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