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445/17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6351/17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6351/17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445/17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6351/17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טרטיאקוב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28.9.2016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30.11.2016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1855-10-15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רבקה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פוקס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ודניאל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22.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4"/>
                <w:sz w:val="24"/>
                <w:szCs w:val="30"/>
                <w:rtl w:val="true"/>
              </w:rPr>
              <w:t>ב</w:t>
            </w:r>
            <w:r>
              <w:rPr>
                <w:sz w:val="24"/>
                <w:sz w:val="24"/>
                <w:szCs w:val="30"/>
                <w:rtl w:val="true"/>
              </w:rPr>
              <w:t>ע</w:t>
            </w:r>
            <w:r>
              <w:rPr>
                <w:sz w:val="24"/>
                <w:szCs w:val="30"/>
                <w:rtl w:val="true"/>
              </w:rPr>
              <w:t>"</w:t>
            </w:r>
            <w:r>
              <w:rPr>
                <w:sz w:val="24"/>
                <w:sz w:val="24"/>
                <w:szCs w:val="30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Cs w:val="30"/>
              </w:rPr>
              <w:t>445/17</w:t>
            </w:r>
            <w:r>
              <w:rPr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 w:val="24"/>
                <w:szCs w:val="30"/>
                <w:rtl w:val="true"/>
              </w:rPr>
              <w:t>והמשיבה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 w:val="24"/>
                <w:szCs w:val="30"/>
                <w:rtl w:val="true"/>
              </w:rPr>
              <w:t>בע</w:t>
            </w:r>
            <w:r>
              <w:rPr>
                <w:sz w:val="24"/>
                <w:szCs w:val="30"/>
                <w:rtl w:val="true"/>
              </w:rPr>
              <w:t>"</w:t>
            </w:r>
            <w:r>
              <w:rPr>
                <w:sz w:val="24"/>
                <w:sz w:val="24"/>
                <w:szCs w:val="30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Cs w:val="30"/>
              </w:rPr>
              <w:t>6351/17</w:t>
            </w:r>
            <w:r>
              <w:rPr>
                <w:sz w:val="24"/>
                <w:szCs w:val="30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פרוש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מיטל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חן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רוזנפלד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פמלה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בנימין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4"/>
                <w:sz w:val="24"/>
                <w:szCs w:val="30"/>
                <w:rtl w:val="true"/>
              </w:rPr>
              <w:t>ב</w:t>
            </w:r>
            <w:r>
              <w:rPr>
                <w:sz w:val="24"/>
                <w:sz w:val="24"/>
                <w:szCs w:val="30"/>
                <w:rtl w:val="true"/>
              </w:rPr>
              <w:t>ע</w:t>
            </w:r>
            <w:r>
              <w:rPr>
                <w:sz w:val="24"/>
                <w:szCs w:val="30"/>
                <w:rtl w:val="true"/>
              </w:rPr>
              <w:t>"</w:t>
            </w:r>
            <w:r>
              <w:rPr>
                <w:sz w:val="24"/>
                <w:sz w:val="24"/>
                <w:szCs w:val="30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Cs w:val="30"/>
              </w:rPr>
              <w:t>445/17</w:t>
            </w:r>
            <w:r>
              <w:rPr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 w:val="24"/>
                <w:szCs w:val="30"/>
                <w:rtl w:val="true"/>
              </w:rPr>
              <w:t>והמערער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 w:val="24"/>
                <w:szCs w:val="30"/>
                <w:rtl w:val="true"/>
              </w:rPr>
              <w:t>בע</w:t>
            </w:r>
            <w:r>
              <w:rPr>
                <w:sz w:val="24"/>
                <w:szCs w:val="30"/>
                <w:rtl w:val="true"/>
              </w:rPr>
              <w:t>"</w:t>
            </w:r>
            <w:r>
              <w:rPr>
                <w:sz w:val="24"/>
                <w:sz w:val="24"/>
                <w:szCs w:val="30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30"/>
                <w:rtl w:val="true"/>
              </w:rPr>
              <w:t xml:space="preserve"> </w:t>
            </w:r>
            <w:r>
              <w:rPr>
                <w:sz w:val="24"/>
                <w:szCs w:val="30"/>
              </w:rPr>
              <w:t>6351/17</w:t>
            </w:r>
            <w:r>
              <w:rPr>
                <w:sz w:val="24"/>
                <w:szCs w:val="30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18"/>
        </w:rPr>
      </w:pPr>
      <w:r>
        <w:rPr>
          <w:rFonts w:cs="FrankRuehl" w:ascii="FrankRuehl" w:hAnsi="FrankRuehl"/>
          <w:sz w:val="24"/>
          <w:szCs w:val="1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להשקיף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האינטראקצי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למזוהה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האינטראקצי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445/17</w:t>
        </w:r>
      </w:hyperlink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פריצה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ונקי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להשקיף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האינטראקצי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למזוהה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האינטראקצי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להשקיף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אפיזודת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זיהתה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ופוגמת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באפיזודה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והנמקותיה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המיוחסת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שהתלוותה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החטיפה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מגדיל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ומחייבו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14"/>
          <w:szCs w:val="18"/>
        </w:rPr>
      </w:pPr>
      <w:r>
        <w:rPr>
          <w:rFonts w:cs="FrankRuehl"/>
          <w:sz w:val="14"/>
          <w:szCs w:val="1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שני ערעורים על הכרעת דינו וגזר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פוקס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1855-10-15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445/17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+ </w:t>
      </w:r>
      <w:hyperlink r:id="rId20">
        <w:r>
          <w:rPr>
            <w:rStyle w:val="Hyperlink"/>
            <w:color w:val="0000FF"/>
            <w:u w:val="single"/>
          </w:rPr>
          <w:t>377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</w:rPr>
          <w:t>377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 לחוק</w:t>
      </w:r>
      <w:r>
        <w:rPr>
          <w:rFonts w:cs="Century" w:ascii="Century" w:hAnsi="Century"/>
          <w:rtl w:val="true"/>
        </w:rPr>
        <w:t xml:space="preserve">;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 </w:t>
      </w:r>
      <w:hyperlink r:id="rId27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+ </w:t>
      </w:r>
      <w:hyperlink r:id="rId29">
        <w:r>
          <w:rPr>
            <w:rStyle w:val="Hyperlink"/>
            <w:rFonts w:cs="Century" w:ascii="Century" w:hAnsi="Century"/>
            <w:color w:val="0000FF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וסעיפים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</w:rPr>
          <w:t>408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;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445/17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6351/17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נגד המשיב</w:t>
      </w:r>
      <w:r>
        <w:rPr>
          <w:rtl w:val="true"/>
        </w:rPr>
        <w:t xml:space="preserve">, </w:t>
      </w:r>
      <w:r>
        <w:rPr>
          <w:rtl w:val="true"/>
        </w:rPr>
        <w:t>תייר מאוקראינה</w:t>
      </w:r>
      <w:r>
        <w:rPr>
          <w:rtl w:val="true"/>
        </w:rPr>
        <w:t xml:space="preserve">, </w:t>
      </w:r>
      <w:r>
        <w:rPr>
          <w:rtl w:val="true"/>
        </w:rPr>
        <w:t>הוגש כתב אישום המחזיק ארבעה אישומים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 מייחס למשיב ביצוע עבירות של ניסיון חטיפת קטין למטרת ביצוע עבירת מין</w:t>
      </w:r>
      <w:r>
        <w:rPr>
          <w:rtl w:val="true"/>
        </w:rPr>
        <w:t xml:space="preserve">; </w:t>
      </w:r>
      <w:r>
        <w:rPr>
          <w:rtl w:val="true"/>
        </w:rPr>
        <w:t>ניסיון אינוס בנסיבות מחמירות ופציעה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;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</w:t>
      </w:r>
      <w:r>
        <w:rPr>
          <w:rtl w:val="true"/>
        </w:rPr>
        <w:t xml:space="preserve">;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הקטינה</w:t>
      </w:r>
      <w:r>
        <w:rPr>
          <w:rtl w:val="true"/>
        </w:rPr>
        <w:t xml:space="preserve">),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,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, </w:t>
      </w:r>
      <w:r>
        <w:rPr>
          <w:rtl w:val="true"/>
        </w:rPr>
        <w:t>הפשיטה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צווארה</w:t>
      </w:r>
      <w:r>
        <w:rPr>
          <w:rtl w:val="true"/>
        </w:rPr>
        <w:t xml:space="preserve">,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והלחיים</w:t>
      </w:r>
      <w:r>
        <w:rPr>
          <w:rtl w:val="true"/>
        </w:rPr>
        <w:t xml:space="preserve">, </w:t>
      </w:r>
      <w:r>
        <w:rPr>
          <w:rtl w:val="true"/>
        </w:rPr>
        <w:t>וחתכים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;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ארב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שירדה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התנפל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חומה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הצוואר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תועבה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לאחר שמיעת ראיות הורשע המשיב </w:t>
      </w:r>
      <w:r>
        <w:rPr>
          <w:rtl w:val="true"/>
        </w:rPr>
        <w:t>(</w:t>
      </w:r>
      <w:r>
        <w:rPr>
          <w:rtl w:val="true"/>
        </w:rPr>
        <w:t>פה אחד</w:t>
      </w:r>
      <w:r>
        <w:rPr>
          <w:rtl w:val="true"/>
        </w:rPr>
        <w:t xml:space="preserve">) </w:t>
      </w:r>
      <w:r>
        <w:rPr>
          <w:rtl w:val="true"/>
        </w:rPr>
        <w:t xml:space="preserve">בעבירות שיוחסו לו באישום השני וזוכה </w:t>
      </w:r>
      <w:r>
        <w:rPr>
          <w:rtl w:val="true"/>
        </w:rPr>
        <w:t>(</w:t>
      </w:r>
      <w:r>
        <w:rPr>
          <w:rtl w:val="true"/>
        </w:rPr>
        <w:t>פה אחד</w:t>
      </w:r>
      <w:r>
        <w:rPr>
          <w:rtl w:val="true"/>
        </w:rPr>
        <w:t xml:space="preserve">) </w:t>
      </w:r>
      <w:r>
        <w:rPr>
          <w:rtl w:val="true"/>
        </w:rPr>
        <w:t>מהעבירה שיוחסה לו באישום הרביעי</w:t>
      </w:r>
      <w:r>
        <w:rPr>
          <w:rtl w:val="true"/>
        </w:rPr>
        <w:t xml:space="preserve">. </w:t>
      </w:r>
      <w:r>
        <w:rPr>
          <w:rtl w:val="true"/>
        </w:rPr>
        <w:t>אשר לעבירות שיוחסו לו באישום הראשון והשלישי</w:t>
      </w:r>
      <w:r>
        <w:rPr>
          <w:rtl w:val="true"/>
        </w:rPr>
        <w:t xml:space="preserve">, </w:t>
      </w:r>
      <w:r>
        <w:rPr>
          <w:rtl w:val="true"/>
        </w:rPr>
        <w:t xml:space="preserve">זוכה המשיב וזאת ברוב דעות </w:t>
      </w:r>
      <w:r>
        <w:rPr>
          <w:rtl w:val="true"/>
        </w:rPr>
        <w:t>–</w:t>
      </w:r>
      <w:r>
        <w:rPr>
          <w:rtl w:val="true"/>
        </w:rPr>
        <w:t xml:space="preserve"> 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פוקס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הרוב</w:t>
      </w:r>
      <w:r>
        <w:rPr>
          <w:rtl w:val="true"/>
        </w:rPr>
        <w:t xml:space="preserve">) </w:t>
      </w:r>
      <w:r>
        <w:rPr>
          <w:rtl w:val="true"/>
        </w:rPr>
        <w:t xml:space="preserve">נגד דעתו החולקת של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המיעוט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>שסבר כי אשמתו של המשיב בביצוע עבירה של פציעה בנסיבות מחמירות באישום השלישי הוכחה מעבר לכל ספק סביר</w:t>
      </w:r>
      <w:r>
        <w:rPr>
          <w:rtl w:val="true"/>
        </w:rPr>
        <w:t xml:space="preserve">. </w:t>
      </w:r>
      <w:r>
        <w:rPr>
          <w:rtl w:val="true"/>
        </w:rPr>
        <w:t>הנשיא אלרון מצא לזכות המשיב מהעבירות של ניסיון החטיפה ועבירת ניסיון האינוס שבאישום 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דעת הרוב קבעה כי זיהויו של המשיב על ידי המתלוננת ג</w:t>
      </w:r>
      <w:r>
        <w:rPr>
          <w:rtl w:val="true"/>
        </w:rPr>
        <w:t>.</w:t>
      </w:r>
      <w:r>
        <w:rPr>
          <w:rtl w:val="true"/>
        </w:rPr>
        <w:t>נ אינו נקי מספקות וכי את עדויותיה</w:t>
      </w:r>
      <w:r>
        <w:rPr>
          <w:rtl w:val="true"/>
        </w:rPr>
        <w:t>ן</w:t>
      </w:r>
      <w:r>
        <w:rPr>
          <w:rtl w:val="true"/>
        </w:rPr>
        <w:t xml:space="preserve"> של ג</w:t>
      </w:r>
      <w:r>
        <w:rPr>
          <w:rtl w:val="true"/>
        </w:rPr>
        <w:t>.</w:t>
      </w:r>
      <w:r>
        <w:rPr>
          <w:rtl w:val="true"/>
        </w:rPr>
        <w:t>ב 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 xml:space="preserve">נ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לקרוא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ההדוק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המאשימה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 xml:space="preserve">מסיבה זו ביקשה דעת הרוב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להמעיט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בהינף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טעם נוסף שלדעת הרוב פגם בזיהוי המשיב כמי שתקף ופצע את ג</w:t>
      </w:r>
      <w:r>
        <w:rPr>
          <w:rtl w:val="true"/>
        </w:rPr>
        <w:t>.</w:t>
      </w:r>
      <w:r>
        <w:rPr>
          <w:rtl w:val="true"/>
        </w:rPr>
        <w:t>נ הוא העובדה שג</w:t>
      </w:r>
      <w:r>
        <w:rPr>
          <w:rtl w:val="true"/>
        </w:rPr>
        <w:t>.</w:t>
      </w:r>
      <w:r>
        <w:rPr>
          <w:rtl w:val="true"/>
        </w:rPr>
        <w:t>ב אמרה במהלך מסדר הזיהוי כי לא ראתה את תמונת המשיב בתקשורת לפני ביצוע מסדר זיהוי התמונות ואילו בעת עדותה בבית המשפט כבר היתה מסופקת בכך</w:t>
      </w:r>
      <w:r>
        <w:rPr>
          <w:rtl w:val="true"/>
        </w:rPr>
        <w:t xml:space="preserve">. </w:t>
      </w:r>
      <w:r>
        <w:rPr>
          <w:rtl w:val="true"/>
        </w:rPr>
        <w:t>עד כאן באשר לפגמים בזיהוי בעניינה של 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כפי שמנתה אותם דעת הרוב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לעדותה של המתלוננת ג</w:t>
      </w:r>
      <w:r>
        <w:rPr>
          <w:rtl w:val="true"/>
        </w:rPr>
        <w:t>.</w:t>
      </w:r>
      <w:r>
        <w:rPr>
          <w:rtl w:val="true"/>
        </w:rPr>
        <w:t>נ בעניין הזיהוי קבעה דעת הרוב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בהסתייגות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בסוגיית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בהסתייגות</w:t>
      </w:r>
      <w:r>
        <w:rPr>
          <w:rtl w:val="true"/>
        </w:rPr>
        <w:t xml:space="preserve">, </w:t>
      </w:r>
      <w:r>
        <w:rPr>
          <w:rtl w:val="true"/>
        </w:rPr>
        <w:t>על שום העובדה שהמתלוננת ג</w:t>
      </w:r>
      <w:r>
        <w:rPr>
          <w:rtl w:val="true"/>
        </w:rPr>
        <w:t>.</w:t>
      </w:r>
      <w:r>
        <w:rPr>
          <w:rtl w:val="true"/>
        </w:rPr>
        <w:t xml:space="preserve">נ אמרה שהיא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חושבת</w:t>
      </w:r>
      <w:r>
        <w:rPr>
          <w:rtl w:val="true"/>
        </w:rPr>
        <w:t xml:space="preserve">" </w:t>
      </w:r>
      <w:r>
        <w:rPr>
          <w:rtl w:val="true"/>
        </w:rPr>
        <w:t xml:space="preserve">שהתמונה של המשיב </w:t>
      </w:r>
      <w:r>
        <w:rPr>
          <w:rtl w:val="true"/>
        </w:rPr>
        <w:t>(</w:t>
      </w:r>
      <w:r>
        <w:rPr>
          <w:rtl w:val="true"/>
        </w:rPr>
        <w:t>שהיתה בטשטוש הפנים</w:t>
      </w:r>
      <w:r>
        <w:rPr>
          <w:rtl w:val="true"/>
        </w:rPr>
        <w:t xml:space="preserve">) </w:t>
      </w:r>
      <w:r>
        <w:rPr>
          <w:rtl w:val="true"/>
        </w:rPr>
        <w:t>לה נחשפה בטרם מסדר זיהוי התמונות</w:t>
      </w:r>
      <w:r>
        <w:rPr>
          <w:rtl w:val="true"/>
        </w:rPr>
        <w:t xml:space="preserve">, </w:t>
      </w:r>
      <w:r>
        <w:rPr>
          <w:rtl w:val="true"/>
        </w:rPr>
        <w:t xml:space="preserve">פורסמה בעיתון </w:t>
      </w:r>
      <w:r>
        <w:rPr>
          <w:rtl w:val="true"/>
        </w:rPr>
        <w:t>"</w:t>
      </w:r>
      <w:r>
        <w:rPr>
          <w:rtl w:val="true"/>
        </w:rPr>
        <w:t>ישראל היום</w:t>
      </w:r>
      <w:r>
        <w:rPr>
          <w:rtl w:val="true"/>
        </w:rPr>
        <w:t xml:space="preserve">" </w:t>
      </w:r>
      <w:r>
        <w:rPr>
          <w:rtl w:val="true"/>
        </w:rPr>
        <w:t xml:space="preserve">בו נתקלה באקראי בקפה </w:t>
      </w:r>
      <w:r>
        <w:rPr>
          <w:rtl w:val="true"/>
        </w:rPr>
        <w:t>"</w:t>
      </w:r>
      <w:r>
        <w:rPr>
          <w:rtl w:val="true"/>
        </w:rPr>
        <w:t>ארומה</w:t>
      </w:r>
      <w:r>
        <w:rPr>
          <w:rtl w:val="true"/>
        </w:rPr>
        <w:t xml:space="preserve">", </w:t>
      </w:r>
      <w:r>
        <w:rPr>
          <w:rtl w:val="true"/>
        </w:rPr>
        <w:t xml:space="preserve">כאשר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בטשטוש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פורסמה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בתקשורת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tl w:val="true"/>
        </w:rPr>
        <w:t xml:space="preserve">" </w:t>
      </w:r>
      <w:r>
        <w:rPr>
          <w:rtl w:val="true"/>
        </w:rPr>
        <w:t>ושבמהלך החקירה לא נעשה ניסיון לחקור איזה עיתונים היו מונחים בבית הקפה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ציינה דעת הרוב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 xml:space="preserve">נ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נעוץ בכך</w:t>
      </w:r>
      <w:r>
        <w:rPr>
          <w:rtl w:val="true"/>
        </w:rPr>
        <w:t xml:space="preserve">, </w:t>
      </w:r>
      <w:r>
        <w:rPr>
          <w:rtl w:val="true"/>
        </w:rPr>
        <w:t>שהמתלוננת ג</w:t>
      </w:r>
      <w:r>
        <w:rPr>
          <w:rtl w:val="true"/>
        </w:rPr>
        <w:t>.</w:t>
      </w:r>
      <w:r>
        <w:rPr>
          <w:rtl w:val="true"/>
        </w:rPr>
        <w:t>נ זיהתה שלושה ימים לאחר האירוע</w:t>
      </w:r>
      <w:r>
        <w:rPr>
          <w:rtl w:val="true"/>
        </w:rPr>
        <w:t xml:space="preserve">, </w:t>
      </w:r>
      <w:r>
        <w:rPr>
          <w:rtl w:val="true"/>
        </w:rPr>
        <w:t>אדם אחר שאיננו המשיב</w:t>
      </w:r>
      <w:r>
        <w:rPr>
          <w:rtl w:val="true"/>
        </w:rPr>
        <w:t xml:space="preserve">, </w:t>
      </w:r>
      <w:r>
        <w:rPr>
          <w:rtl w:val="true"/>
        </w:rPr>
        <w:t xml:space="preserve">כמי שביצע את המעשה כשבנסיבות אלה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 xml:space="preserve">".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שלדעת הרוב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כשבאותן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של המשיב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בנכונות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שיכריע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זיכויו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דעת המיעוט קבעה כי עדות הזיהוי של ג</w:t>
      </w:r>
      <w:r>
        <w:rPr>
          <w:rtl w:val="true"/>
        </w:rPr>
        <w:t>.</w:t>
      </w:r>
      <w:r>
        <w:rPr>
          <w:rtl w:val="true"/>
        </w:rPr>
        <w:t>נ מהימנה ונקיה מספקות משג</w:t>
      </w:r>
      <w:r>
        <w:rPr>
          <w:rtl w:val="true"/>
        </w:rPr>
        <w:t>.</w:t>
      </w:r>
      <w:r>
        <w:rPr>
          <w:rtl w:val="true"/>
        </w:rPr>
        <w:t>נ זיהתה את המשיב כמי שפגע בה</w:t>
      </w:r>
      <w:r>
        <w:rPr>
          <w:rtl w:val="true"/>
        </w:rPr>
        <w:t xml:space="preserve">, </w:t>
      </w:r>
      <w:r>
        <w:rPr>
          <w:rtl w:val="true"/>
        </w:rPr>
        <w:t>כשלעדות הזיהוי שלה מצטרפות ראיות נוספות התומכות ומחזקות אותה</w:t>
      </w:r>
      <w:r>
        <w:rPr>
          <w:rtl w:val="true"/>
        </w:rPr>
        <w:t xml:space="preserve">. </w:t>
      </w:r>
      <w:r>
        <w:rPr>
          <w:rtl w:val="true"/>
        </w:rPr>
        <w:t>דעת המיעוט עמדה על כך שהמרחק בין המתלוננת ג</w:t>
      </w:r>
      <w:r>
        <w:rPr>
          <w:rtl w:val="true"/>
        </w:rPr>
        <w:t>.</w:t>
      </w:r>
      <w:r>
        <w:rPr>
          <w:rtl w:val="true"/>
        </w:rPr>
        <w:t xml:space="preserve">נ לבין מי שתקף אותה </w:t>
      </w:r>
      <w:r>
        <w:rPr>
          <w:rtl w:val="true"/>
        </w:rPr>
        <w:t>(</w:t>
      </w:r>
      <w:r>
        <w:rPr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>היה קרוב מאוד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/>
        <w:t>40-30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כשהמקום בו התנפל עליה המשיב היה מואר מספיק כדי שתוכל להבחין בתיאור פניו</w:t>
      </w:r>
      <w:r>
        <w:rPr>
          <w:rtl w:val="true"/>
        </w:rPr>
        <w:t xml:space="preserve">, </w:t>
      </w:r>
      <w:r>
        <w:rPr>
          <w:rtl w:val="true"/>
        </w:rPr>
        <w:t xml:space="preserve">במיוחד עיניו ומבטו החודר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הסתכלתי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ובגלל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נעצתי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הזאת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בעין</w:t>
      </w:r>
      <w:r>
        <w:rPr>
          <w:rtl w:val="true"/>
        </w:rPr>
        <w:t xml:space="preserve">".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המתלוננת ג</w:t>
      </w:r>
      <w:r>
        <w:rPr>
          <w:rtl w:val="true"/>
        </w:rPr>
        <w:t>.</w:t>
      </w:r>
      <w:r>
        <w:rPr>
          <w:rtl w:val="true"/>
        </w:rPr>
        <w:t xml:space="preserve">נ מסרה בעניינו של התוקף תיאור ההולם את תיאורו של המשיב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רוסי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1.70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1.80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זיפים</w:t>
      </w:r>
      <w:r>
        <w:rPr>
          <w:rtl w:val="true"/>
        </w:rPr>
        <w:t xml:space="preserve">" </w:t>
      </w:r>
      <w:r>
        <w:rPr>
          <w:rtl w:val="true"/>
        </w:rPr>
        <w:t>וציינה שני סימני זיהוי ייחודיים</w:t>
      </w:r>
      <w:r>
        <w:rPr>
          <w:rtl w:val="true"/>
        </w:rPr>
        <w:t xml:space="preserve">, </w:t>
      </w:r>
      <w:r>
        <w:rPr>
          <w:rtl w:val="true"/>
        </w:rPr>
        <w:t>הראשון נמסר בהודעתה הראשונה של ג</w:t>
      </w:r>
      <w:r>
        <w:rPr>
          <w:rtl w:val="true"/>
        </w:rPr>
        <w:t>.</w:t>
      </w:r>
      <w:r>
        <w:rPr>
          <w:rtl w:val="true"/>
        </w:rPr>
        <w:t>נ במשטרה והוא כי לתוקף היה סימן חבלה מתחת לעין ימין</w:t>
      </w:r>
      <w:r>
        <w:rPr>
          <w:rtl w:val="true"/>
        </w:rPr>
        <w:t xml:space="preserve">, </w:t>
      </w:r>
      <w:r>
        <w:rPr>
          <w:rtl w:val="true"/>
        </w:rPr>
        <w:t>עובדה שהתבררה כנכונה לאחר שנמצאה תמונת המשיב במכשיר האייפד שלו</w:t>
      </w:r>
      <w:r>
        <w:rPr>
          <w:rtl w:val="true"/>
        </w:rPr>
        <w:t xml:space="preserve">, </w:t>
      </w:r>
      <w:r>
        <w:rPr>
          <w:rtl w:val="true"/>
        </w:rPr>
        <w:t>בו תיעד את עצמו חבול בעינו כתיאורה של המתלוננת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סימן זיהוי ייחודי שני התייחס לאופן הליכתו של המשיב</w:t>
      </w:r>
      <w:r>
        <w:rPr>
          <w:rtl w:val="true"/>
        </w:rPr>
        <w:t xml:space="preserve">, </w:t>
      </w:r>
      <w:r>
        <w:rPr>
          <w:rtl w:val="true"/>
        </w:rPr>
        <w:t>משהמתלוננת ג</w:t>
      </w:r>
      <w:r>
        <w:rPr>
          <w:rtl w:val="true"/>
        </w:rPr>
        <w:t>.</w:t>
      </w:r>
      <w:r>
        <w:rPr>
          <w:rtl w:val="true"/>
        </w:rPr>
        <w:t>נ ציינה</w:t>
      </w:r>
      <w:r>
        <w:rPr>
          <w:rtl w:val="true"/>
        </w:rPr>
        <w:t xml:space="preserve">, </w:t>
      </w:r>
      <w:r>
        <w:rPr>
          <w:rtl w:val="true"/>
        </w:rPr>
        <w:t>כי ברגע שהמשיב ברח מהזירה לאחר תקיפתה</w:t>
      </w:r>
      <w:r>
        <w:rPr>
          <w:rtl w:val="true"/>
        </w:rPr>
        <w:t xml:space="preserve">, </w:t>
      </w:r>
      <w:r>
        <w:rPr>
          <w:rtl w:val="true"/>
        </w:rPr>
        <w:t xml:space="preserve">נראה לה כי הוא </w:t>
      </w:r>
      <w:r>
        <w:rPr>
          <w:rtl w:val="true"/>
        </w:rPr>
        <w:t>"</w:t>
      </w:r>
      <w:r>
        <w:rPr>
          <w:rtl w:val="true"/>
        </w:rPr>
        <w:t>גורר רגל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צולע</w:t>
      </w:r>
      <w:r>
        <w:rPr>
          <w:rtl w:val="true"/>
        </w:rPr>
        <w:t xml:space="preserve">, </w:t>
      </w:r>
      <w:r>
        <w:rPr>
          <w:rtl w:val="true"/>
        </w:rPr>
        <w:t>כאשר סימן זיהוי ייחודי זה נמסר על ידי ג</w:t>
      </w:r>
      <w:r>
        <w:rPr>
          <w:rtl w:val="true"/>
        </w:rPr>
        <w:t>.</w:t>
      </w:r>
      <w:r>
        <w:rPr>
          <w:rtl w:val="true"/>
        </w:rPr>
        <w:t>נ לשוטרת שחקרה אותה בהודעתה השניה</w:t>
      </w:r>
      <w:r>
        <w:rPr>
          <w:rtl w:val="true"/>
        </w:rPr>
        <w:t xml:space="preserve">, </w:t>
      </w:r>
      <w:r>
        <w:rPr>
          <w:rtl w:val="true"/>
        </w:rPr>
        <w:t>כאשר ג</w:t>
      </w:r>
      <w:r>
        <w:rPr>
          <w:rtl w:val="true"/>
        </w:rPr>
        <w:t>.</w:t>
      </w:r>
      <w:r>
        <w:rPr>
          <w:rtl w:val="true"/>
        </w:rPr>
        <w:t>נ שבה וציינה סימן זיהוי זה של צליעה בזמן העימות בינה לבין המשיב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לחשיפתה של ג</w:t>
      </w:r>
      <w:r>
        <w:rPr>
          <w:rtl w:val="true"/>
        </w:rPr>
        <w:t>.</w:t>
      </w:r>
      <w:r>
        <w:rPr>
          <w:rtl w:val="true"/>
        </w:rPr>
        <w:t xml:space="preserve">נ לתמונתו המטושטשת של המשיב בבית הקפה </w:t>
      </w:r>
      <w:r>
        <w:rPr>
          <w:rtl w:val="true"/>
        </w:rPr>
        <w:t>"</w:t>
      </w:r>
      <w:r>
        <w:rPr>
          <w:rtl w:val="true"/>
        </w:rPr>
        <w:t>ארומה</w:t>
      </w:r>
      <w:r>
        <w:rPr>
          <w:rtl w:val="true"/>
        </w:rPr>
        <w:t xml:space="preserve">" </w:t>
      </w:r>
      <w:r>
        <w:rPr>
          <w:rtl w:val="true"/>
        </w:rPr>
        <w:t>בטרם עריכת מסדר זיהוי התמונות</w:t>
      </w:r>
      <w:r>
        <w:rPr>
          <w:rtl w:val="true"/>
        </w:rPr>
        <w:t xml:space="preserve">, </w:t>
      </w:r>
      <w:r>
        <w:rPr>
          <w:rtl w:val="true"/>
        </w:rPr>
        <w:t>במהלכו זיהתה את המשיב</w:t>
      </w:r>
      <w:r>
        <w:rPr>
          <w:rtl w:val="true"/>
        </w:rPr>
        <w:t xml:space="preserve">, </w:t>
      </w:r>
      <w:r>
        <w:rPr>
          <w:rtl w:val="true"/>
        </w:rPr>
        <w:t>קבע הנשיא אלרון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בתמונת המשיב כשהיא מטושטשת בפנים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דמותו</w:t>
      </w:r>
      <w:r>
        <w:rPr>
          <w:rtl w:val="true"/>
        </w:rPr>
        <w:t xml:space="preserve">". </w:t>
      </w:r>
      <w:r>
        <w:rPr>
          <w:rtl w:val="true"/>
        </w:rPr>
        <w:t>לעניין וודאות הזיהוי הפנה לכך</w:t>
      </w:r>
      <w:r>
        <w:rPr>
          <w:rtl w:val="true"/>
        </w:rPr>
        <w:t xml:space="preserve">, </w:t>
      </w:r>
      <w:r>
        <w:rPr>
          <w:rtl w:val="true"/>
        </w:rPr>
        <w:t>שבמסגרת דפדוף באלבום עבריינים בו היו כמאה תמונות שביניהן לא נכללה תמונתו של המשיב</w:t>
      </w:r>
      <w:r>
        <w:rPr>
          <w:rtl w:val="true"/>
        </w:rPr>
        <w:t xml:space="preserve">, </w:t>
      </w:r>
      <w:r>
        <w:rPr>
          <w:rtl w:val="true"/>
        </w:rPr>
        <w:t>המתלוננת ג</w:t>
      </w:r>
      <w:r>
        <w:rPr>
          <w:rtl w:val="true"/>
        </w:rPr>
        <w:t>.</w:t>
      </w:r>
      <w:r>
        <w:rPr>
          <w:rtl w:val="true"/>
        </w:rPr>
        <w:t>נ לא זיהתה איש וחזר והפנה למידת הוודאות שבה זיהתה את המשיב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בטוחה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אחוז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בהתייחסו לאירוע זיהויה של המתלוננת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tl w:val="true"/>
        </w:rPr>
        <w:t>שלושה ימים לאחר האירוע</w:t>
      </w:r>
      <w:r>
        <w:rPr>
          <w:rtl w:val="true"/>
        </w:rPr>
        <w:t xml:space="preserve">, </w:t>
      </w:r>
      <w:r>
        <w:rPr>
          <w:rtl w:val="true"/>
        </w:rPr>
        <w:t>אדם אחר</w:t>
      </w:r>
      <w:r>
        <w:rPr>
          <w:rtl w:val="true"/>
        </w:rPr>
        <w:t xml:space="preserve">, </w:t>
      </w:r>
      <w:r>
        <w:rPr>
          <w:rtl w:val="true"/>
        </w:rPr>
        <w:t>שאיננו המשיב כמי שתקף אותה</w:t>
      </w:r>
      <w:r>
        <w:rPr>
          <w:rtl w:val="true"/>
        </w:rPr>
        <w:t xml:space="preserve">, </w:t>
      </w:r>
      <w:r>
        <w:rPr>
          <w:rtl w:val="true"/>
        </w:rPr>
        <w:t>קבע הנשיא אלרון כי הדבר אינו פוגם באמינות הזיהוי במסדר התמונות</w:t>
      </w:r>
      <w:r>
        <w:rPr>
          <w:rtl w:val="true"/>
        </w:rPr>
        <w:t xml:space="preserve">, </w:t>
      </w:r>
      <w:r>
        <w:rPr>
          <w:rtl w:val="true"/>
        </w:rPr>
        <w:t>משלפי עדותה של ג</w:t>
      </w:r>
      <w:r>
        <w:rPr>
          <w:rtl w:val="true"/>
        </w:rPr>
        <w:t>.</w:t>
      </w:r>
      <w:r>
        <w:rPr>
          <w:rtl w:val="true"/>
        </w:rPr>
        <w:t>נ באותו יום היא הבחינה במישהו חשוד שלבש קפוצ</w:t>
      </w:r>
      <w:r>
        <w:rPr>
          <w:rtl w:val="true"/>
        </w:rPr>
        <w:t>'</w:t>
      </w:r>
      <w:r>
        <w:rPr>
          <w:rtl w:val="true"/>
        </w:rPr>
        <w:t xml:space="preserve">ון ונראה לה </w:t>
      </w:r>
      <w:r>
        <w:rPr>
          <w:rtl w:val="true"/>
        </w:rPr>
        <w:t>"</w:t>
      </w:r>
      <w:r>
        <w:rPr>
          <w:rtl w:val="true"/>
        </w:rPr>
        <w:t>מוזר</w:t>
      </w:r>
      <w:r>
        <w:rPr>
          <w:rtl w:val="true"/>
        </w:rPr>
        <w:t xml:space="preserve">" </w:t>
      </w:r>
      <w:r>
        <w:rPr>
          <w:rtl w:val="true"/>
        </w:rPr>
        <w:t>כשבכך התכוונה ג</w:t>
      </w:r>
      <w:r>
        <w:rPr>
          <w:rtl w:val="true"/>
        </w:rPr>
        <w:t>.</w:t>
      </w:r>
      <w:r>
        <w:rPr>
          <w:rtl w:val="true"/>
        </w:rPr>
        <w:t>נ להליכתו של אותו חשוד שהלך עם הגב אליה</w:t>
      </w:r>
      <w:r>
        <w:rPr>
          <w:rtl w:val="true"/>
        </w:rPr>
        <w:t xml:space="preserve">. </w:t>
      </w:r>
      <w:r>
        <w:rPr>
          <w:rtl w:val="true"/>
        </w:rPr>
        <w:t xml:space="preserve">על כן </w:t>
      </w:r>
      <w:r>
        <w:rPr>
          <w:rtl w:val="true"/>
        </w:rPr>
        <w:t>"</w:t>
      </w:r>
      <w:r>
        <w:rPr>
          <w:rtl w:val="true"/>
        </w:rPr>
        <w:t>הזיהוי</w:t>
      </w:r>
      <w:r>
        <w:rPr>
          <w:rtl w:val="true"/>
        </w:rPr>
        <w:t xml:space="preserve">" </w:t>
      </w:r>
      <w:r>
        <w:rPr>
          <w:rtl w:val="true"/>
        </w:rPr>
        <w:t>של אותו חשוד כתוקף על ידי ג</w:t>
      </w:r>
      <w:r>
        <w:rPr>
          <w:rtl w:val="true"/>
        </w:rPr>
        <w:t>.</w:t>
      </w:r>
      <w:r>
        <w:rPr>
          <w:rtl w:val="true"/>
        </w:rPr>
        <w:t>נ נעשה על סמך פרטי לבושו</w:t>
      </w:r>
      <w:r>
        <w:rPr>
          <w:rtl w:val="true"/>
        </w:rPr>
        <w:t xml:space="preserve">,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 כפי שלבש המשיב בליל האירוע והליכתו שנראתה לה מוזרה</w:t>
      </w:r>
      <w:r>
        <w:rPr>
          <w:rtl w:val="true"/>
        </w:rPr>
        <w:t xml:space="preserve">, </w:t>
      </w:r>
      <w:r>
        <w:rPr>
          <w:rtl w:val="true"/>
        </w:rPr>
        <w:t>אותה זכרה ג</w:t>
      </w:r>
      <w:r>
        <w:rPr>
          <w:rtl w:val="true"/>
        </w:rPr>
        <w:t>.</w:t>
      </w:r>
      <w:r>
        <w:rPr>
          <w:rtl w:val="true"/>
        </w:rPr>
        <w:t>נ מאותו לילה</w:t>
      </w:r>
      <w:r>
        <w:rPr>
          <w:rtl w:val="true"/>
        </w:rPr>
        <w:t xml:space="preserve">, </w:t>
      </w:r>
      <w:r>
        <w:rPr>
          <w:rtl w:val="true"/>
        </w:rPr>
        <w:t>משציינה בהודעתה במשטרה כי המשיב צלע כשברח מהזירה</w:t>
      </w:r>
      <w:r>
        <w:rPr>
          <w:rtl w:val="true"/>
        </w:rPr>
        <w:t xml:space="preserve">. </w:t>
      </w:r>
      <w:r>
        <w:rPr>
          <w:rtl w:val="true"/>
        </w:rPr>
        <w:t>בהינתן נסיבות ה</w:t>
      </w:r>
      <w:r>
        <w:rPr>
          <w:rtl w:val="true"/>
        </w:rPr>
        <w:t>"</w:t>
      </w:r>
      <w:r>
        <w:rPr>
          <w:rtl w:val="true"/>
        </w:rPr>
        <w:t>זיהוי</w:t>
      </w:r>
      <w:r>
        <w:rPr>
          <w:rtl w:val="true"/>
        </w:rPr>
        <w:t xml:space="preserve">" </w:t>
      </w:r>
      <w:r>
        <w:rPr>
          <w:rtl w:val="true"/>
        </w:rPr>
        <w:t>על פיו זימנה ג</w:t>
      </w:r>
      <w:r>
        <w:rPr>
          <w:rtl w:val="true"/>
        </w:rPr>
        <w:t>.</w:t>
      </w:r>
      <w:r>
        <w:rPr>
          <w:rtl w:val="true"/>
        </w:rPr>
        <w:t>נ את המשטרה</w:t>
      </w:r>
      <w:r>
        <w:rPr>
          <w:rtl w:val="true"/>
        </w:rPr>
        <w:t xml:space="preserve">, </w:t>
      </w:r>
      <w:r>
        <w:rPr>
          <w:rtl w:val="true"/>
        </w:rPr>
        <w:t>סבר הנשיא אלרון כי הדבר אינו פוגם באמינות הזיהוי במסדר התמונות</w:t>
      </w:r>
      <w:r>
        <w:rPr>
          <w:rtl w:val="true"/>
        </w:rPr>
        <w:t xml:space="preserve">, </w:t>
      </w:r>
      <w:r>
        <w:rPr>
          <w:rtl w:val="true"/>
        </w:rPr>
        <w:t>מה גם שהמתלוננת ג</w:t>
      </w:r>
      <w:r>
        <w:rPr>
          <w:rtl w:val="true"/>
        </w:rPr>
        <w:t>.</w:t>
      </w:r>
      <w:r>
        <w:rPr>
          <w:rtl w:val="true"/>
        </w:rPr>
        <w:t>נ לא התבקשה לזהות את אותו אדם שחשדה בו גם לאחר מעצרו</w:t>
      </w:r>
      <w:r>
        <w:rPr>
          <w:rtl w:val="true"/>
        </w:rPr>
        <w:t xml:space="preserve">. </w:t>
      </w:r>
      <w:r>
        <w:rPr>
          <w:rtl w:val="true"/>
        </w:rPr>
        <w:t xml:space="preserve">כפי שסיכם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וההליכה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לכן</w:t>
      </w:r>
      <w:r>
        <w:rPr>
          <w:rtl w:val="true"/>
        </w:rPr>
        <w:t xml:space="preserve">". </w:t>
      </w:r>
      <w:r>
        <w:rPr>
          <w:rtl w:val="true"/>
        </w:rPr>
        <w:t>עוד סבר הנשיא אלרון</w:t>
      </w:r>
      <w:r>
        <w:rPr>
          <w:rtl w:val="true"/>
        </w:rPr>
        <w:t xml:space="preserve">, </w:t>
      </w:r>
      <w:r>
        <w:rPr>
          <w:rtl w:val="true"/>
        </w:rPr>
        <w:t>כי עדותה של ג</w:t>
      </w:r>
      <w:r>
        <w:rPr>
          <w:rtl w:val="true"/>
        </w:rPr>
        <w:t>.</w:t>
      </w:r>
      <w:r>
        <w:rPr>
          <w:rtl w:val="true"/>
        </w:rPr>
        <w:t>ב באשר לזיהויו של המשיב מחזקת את עדותה של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tl w:val="true"/>
        </w:rPr>
        <w:t>משגם ג</w:t>
      </w:r>
      <w:r>
        <w:rPr>
          <w:rtl w:val="true"/>
        </w:rPr>
        <w:t>.</w:t>
      </w:r>
      <w:r>
        <w:rPr>
          <w:rtl w:val="true"/>
        </w:rPr>
        <w:t>ב מוסרת תיאור דומה של פני ועיני המשיב ומבטו החודר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tl w:val="true"/>
        </w:rPr>
        <w:br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המדינה השלימה עם זיכוי המשיב מהעבירות שבאישום הראשון וזיכויו מעבירות ניסיון החטיפה וניסיון האונס שבאישום השלישי ומיקדה את ערעורה בזיכוי המשיב מעבירת הפציעה בנסיבות מחמירות באישום השלישי ובעונש שנגזר עליו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 על הזיכוי אוחזת המדינה בנימוקי דעת המיעוט ובתמצית טוענת כי זיהוי המתלוננת ג</w:t>
      </w:r>
      <w:r>
        <w:rPr>
          <w:rtl w:val="true"/>
        </w:rPr>
        <w:t>.</w:t>
      </w:r>
      <w:r>
        <w:rPr>
          <w:rtl w:val="true"/>
        </w:rPr>
        <w:t xml:space="preserve">נ </w:t>
      </w:r>
      <w:bookmarkStart w:id="15" w:name="Carmel"/>
      <w:bookmarkEnd w:id="15"/>
      <w:r>
        <w:rPr>
          <w:rtl w:val="true"/>
        </w:rPr>
        <w:t>את המשיב באישום השלישי כתוקף</w:t>
      </w:r>
      <w:r>
        <w:rPr>
          <w:rtl w:val="true"/>
        </w:rPr>
        <w:t xml:space="preserve">, </w:t>
      </w:r>
      <w:r>
        <w:rPr>
          <w:rtl w:val="true"/>
        </w:rPr>
        <w:t>הינו זיהוי אמין וודאי שניתן לסמוך עליו הרשעה</w:t>
      </w:r>
      <w:r>
        <w:rPr>
          <w:rtl w:val="true"/>
        </w:rPr>
        <w:t xml:space="preserve">. </w:t>
      </w:r>
      <w:r>
        <w:rPr>
          <w:rtl w:val="true"/>
        </w:rPr>
        <w:t>המדינה טוענת כי לא היה מקום להטיל ספק בעדות הזיהוי של ג</w:t>
      </w:r>
      <w:r>
        <w:rPr>
          <w:rtl w:val="true"/>
        </w:rPr>
        <w:t>.</w:t>
      </w:r>
      <w:r>
        <w:rPr>
          <w:rtl w:val="true"/>
        </w:rPr>
        <w:t>נ את המשיב במסדר התמונות</w:t>
      </w:r>
      <w:r>
        <w:rPr>
          <w:rtl w:val="true"/>
        </w:rPr>
        <w:t xml:space="preserve">, </w:t>
      </w:r>
      <w:r>
        <w:rPr>
          <w:rtl w:val="true"/>
        </w:rPr>
        <w:t>בהתבסס על הנחה שאין לה כל בסיס</w:t>
      </w:r>
      <w:r>
        <w:rPr>
          <w:rtl w:val="true"/>
        </w:rPr>
        <w:t xml:space="preserve">, </w:t>
      </w:r>
      <w:r>
        <w:rPr>
          <w:rtl w:val="true"/>
        </w:rPr>
        <w:t>לפיה המתלוננת ג</w:t>
      </w:r>
      <w:r>
        <w:rPr>
          <w:rtl w:val="true"/>
        </w:rPr>
        <w:t>.</w:t>
      </w:r>
      <w:r>
        <w:rPr>
          <w:rtl w:val="true"/>
        </w:rPr>
        <w:t xml:space="preserve">נ ראתה בנוסף לאותה תמונה מטושטשת בקפה </w:t>
      </w:r>
      <w:r>
        <w:rPr>
          <w:rtl w:val="true"/>
        </w:rPr>
        <w:t>"</w:t>
      </w:r>
      <w:r>
        <w:rPr>
          <w:rtl w:val="true"/>
        </w:rPr>
        <w:t>ארומה</w:t>
      </w:r>
      <w:r>
        <w:rPr>
          <w:rtl w:val="true"/>
        </w:rPr>
        <w:t xml:space="preserve">" </w:t>
      </w:r>
      <w:r>
        <w:rPr>
          <w:rtl w:val="true"/>
        </w:rPr>
        <w:t>תמונה מטושטשת נוספת</w:t>
      </w:r>
      <w:r>
        <w:rPr>
          <w:rtl w:val="true"/>
        </w:rPr>
        <w:t xml:space="preserve">, </w:t>
      </w:r>
      <w:r>
        <w:rPr>
          <w:rtl w:val="true"/>
        </w:rPr>
        <w:t>אחרת של המשיב</w:t>
      </w:r>
      <w:r>
        <w:rPr>
          <w:rtl w:val="true"/>
        </w:rPr>
        <w:t xml:space="preserve">, </w:t>
      </w:r>
      <w:r>
        <w:rPr>
          <w:rtl w:val="true"/>
        </w:rPr>
        <w:t>בעיתון אחר</w:t>
      </w:r>
      <w:r>
        <w:rPr>
          <w:rtl w:val="true"/>
        </w:rPr>
        <w:t xml:space="preserve">, </w:t>
      </w:r>
      <w:r>
        <w:rPr>
          <w:rtl w:val="true"/>
        </w:rPr>
        <w:t>שיכול והשפיעה על וודאות הזיהוי</w:t>
      </w:r>
      <w:r>
        <w:rPr>
          <w:rtl w:val="true"/>
        </w:rPr>
        <w:t xml:space="preserve">. </w:t>
      </w:r>
      <w:r>
        <w:rPr>
          <w:rtl w:val="true"/>
        </w:rPr>
        <w:t xml:space="preserve">עוד טוענת המדינה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מטושטשת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במכוון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בהיחשפות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התמונות</w:t>
      </w:r>
      <w:r>
        <w:rPr>
          <w:rtl w:val="true"/>
        </w:rPr>
        <w:t xml:space="preserve">". </w:t>
      </w:r>
      <w:r>
        <w:rPr>
          <w:rtl w:val="true"/>
        </w:rPr>
        <w:t>בנוסף לכל האמור מפנה המדינה לעדות המתלוננת ג</w:t>
      </w:r>
      <w:r>
        <w:rPr>
          <w:rtl w:val="true"/>
        </w:rPr>
        <w:t>.</w:t>
      </w:r>
      <w:r>
        <w:rPr>
          <w:rtl w:val="true"/>
        </w:rPr>
        <w:t>נ בעמ</w:t>
      </w:r>
      <w:r>
        <w:rPr>
          <w:rtl w:val="true"/>
        </w:rPr>
        <w:t xml:space="preserve">'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בש</w:t>
      </w:r>
      <w:r>
        <w:rPr>
          <w:rtl w:val="true"/>
        </w:rPr>
        <w:t xml:space="preserve">' </w:t>
      </w:r>
      <w:r>
        <w:rPr/>
        <w:t>19-18</w:t>
      </w:r>
      <w:r>
        <w:rPr>
          <w:rtl w:val="true"/>
        </w:rPr>
        <w:t xml:space="preserve">, </w:t>
      </w:r>
      <w:r>
        <w:rPr>
          <w:rtl w:val="true"/>
        </w:rPr>
        <w:t>שם שללה המתלוננת ג</w:t>
      </w:r>
      <w:r>
        <w:rPr>
          <w:rtl w:val="true"/>
        </w:rPr>
        <w:t>.</w:t>
      </w:r>
      <w:r>
        <w:rPr>
          <w:rtl w:val="true"/>
        </w:rPr>
        <w:t>נ כי ראתה תמונה נוספת של המשיב</w:t>
      </w:r>
      <w:r>
        <w:rPr>
          <w:rtl w:val="true"/>
        </w:rPr>
        <w:t xml:space="preserve">. </w:t>
      </w:r>
      <w:r>
        <w:rPr>
          <w:rtl w:val="true"/>
        </w:rPr>
        <w:t>עוד מפנה המדינה לראיות התומכות בזיהוי של המתלוננת ג</w:t>
      </w:r>
      <w:r>
        <w:rPr>
          <w:rtl w:val="true"/>
        </w:rPr>
        <w:t>.</w:t>
      </w:r>
      <w:r>
        <w:rPr>
          <w:rtl w:val="true"/>
        </w:rPr>
        <w:t xml:space="preserve">נ </w:t>
      </w:r>
      <w:r>
        <w:rPr>
          <w:rtl w:val="true"/>
        </w:rPr>
        <w:t>–</w:t>
      </w:r>
      <w:r>
        <w:rPr>
          <w:rtl w:val="true"/>
        </w:rPr>
        <w:t xml:space="preserve"> אותם שני פרטי זיהוי ייחודיים שנמסרו על ידה</w:t>
      </w:r>
      <w:r>
        <w:rPr>
          <w:rtl w:val="true"/>
        </w:rPr>
        <w:t xml:space="preserve">, </w:t>
      </w:r>
      <w:r>
        <w:rPr>
          <w:rtl w:val="true"/>
        </w:rPr>
        <w:t xml:space="preserve">שהתקיימו בדמותו של המשיב </w:t>
      </w:r>
      <w:r>
        <w:rPr>
          <w:rtl w:val="true"/>
        </w:rPr>
        <w:t>–</w:t>
      </w:r>
      <w:r>
        <w:rPr>
          <w:rtl w:val="true"/>
        </w:rPr>
        <w:t xml:space="preserve"> החבלה בעין והצליעה ממנה סבל המשיב בעקבות תאונת עבודה בה היה מעורב מספר ימים לפני האירוע</w:t>
      </w:r>
      <w:r>
        <w:rPr>
          <w:rtl w:val="true"/>
        </w:rPr>
        <w:t xml:space="preserve">. </w:t>
      </w:r>
      <w:r>
        <w:rPr>
          <w:rtl w:val="true"/>
        </w:rPr>
        <w:t>סימני זיהוי ייחודיים אלה באו מפי המתלוננת ג</w:t>
      </w:r>
      <w:r>
        <w:rPr>
          <w:rtl w:val="true"/>
        </w:rPr>
        <w:t>.</w:t>
      </w:r>
      <w:r>
        <w:rPr>
          <w:rtl w:val="true"/>
        </w:rPr>
        <w:t>נ במהלך חקירותיה והם מוסיפים לה נופך אמינות</w:t>
      </w:r>
      <w:r>
        <w:rPr>
          <w:rtl w:val="true"/>
        </w:rPr>
        <w:t xml:space="preserve">. </w:t>
      </w:r>
      <w:r>
        <w:rPr>
          <w:rtl w:val="true"/>
        </w:rPr>
        <w:t>באשר לזיהוי אדם אחר</w:t>
      </w:r>
      <w:r>
        <w:rPr>
          <w:rtl w:val="true"/>
        </w:rPr>
        <w:t xml:space="preserve">, </w:t>
      </w:r>
      <w:r>
        <w:rPr>
          <w:rtl w:val="true"/>
        </w:rPr>
        <w:t>שאיננו המשיב</w:t>
      </w:r>
      <w:r>
        <w:rPr>
          <w:rtl w:val="true"/>
        </w:rPr>
        <w:t xml:space="preserve">, </w:t>
      </w:r>
      <w:r>
        <w:rPr>
          <w:rtl w:val="true"/>
        </w:rPr>
        <w:t>שלושה ימים לאחר האירוע</w:t>
      </w:r>
      <w:r>
        <w:rPr>
          <w:rtl w:val="true"/>
        </w:rPr>
        <w:t xml:space="preserve">, </w:t>
      </w:r>
      <w:r>
        <w:rPr>
          <w:rtl w:val="true"/>
        </w:rPr>
        <w:t>חזרה המדינה על הנמקת דעת המיעוט שאותה אין בכוונתי לשוב ולפרט כאן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לערעורים על העונש</w:t>
      </w:r>
      <w:r>
        <w:rPr>
          <w:rtl w:val="true"/>
        </w:rPr>
        <w:t xml:space="preserve">: </w:t>
      </w:r>
      <w:r>
        <w:rPr>
          <w:rtl w:val="true"/>
        </w:rPr>
        <w:t>בערעור המדינה על קולת העונש נטען</w:t>
      </w:r>
      <w:r>
        <w:rPr>
          <w:rtl w:val="true"/>
        </w:rPr>
        <w:t xml:space="preserve">, </w:t>
      </w:r>
      <w:r>
        <w:rPr>
          <w:rtl w:val="true"/>
        </w:rPr>
        <w:t xml:space="preserve">כי אף שאינה מקלה ראש בעונש מאסר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עדיין יש מקום להחמיר בעונשו של המשיב לאור חומרת מעשי האינוס והפציעה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שבהם הורשע המשיב באישום השני</w:t>
      </w:r>
      <w:r>
        <w:rPr>
          <w:rtl w:val="true"/>
        </w:rPr>
        <w:t xml:space="preserve">, </w:t>
      </w:r>
      <w:r>
        <w:rPr>
          <w:rtl w:val="true"/>
        </w:rPr>
        <w:t>בהתחשב במידת האלימות הקשה והאכזריות שהופעלו במהלכם</w:t>
      </w:r>
      <w:r>
        <w:rPr>
          <w:rtl w:val="true"/>
        </w:rPr>
        <w:t xml:space="preserve">, </w:t>
      </w:r>
      <w:r>
        <w:rPr>
          <w:rtl w:val="true"/>
        </w:rPr>
        <w:t>שכן העונש לא עומד בשום יחס לתמונת הנזק הקשה והצמית שנגרם למתלוננת באישום השני</w:t>
      </w:r>
      <w:r>
        <w:rPr>
          <w:rtl w:val="true"/>
        </w:rPr>
        <w:t xml:space="preserve">. </w:t>
      </w:r>
      <w:r>
        <w:rPr>
          <w:rtl w:val="true"/>
        </w:rPr>
        <w:t xml:space="preserve">מדובר בקטינה שנאנסה בגיל צעיר </w:t>
      </w:r>
      <w:r>
        <w:rPr>
          <w:rtl w:val="true"/>
        </w:rPr>
        <w:t>"</w:t>
      </w:r>
      <w:r>
        <w:rPr>
          <w:rtl w:val="true"/>
        </w:rPr>
        <w:t>כאשר הממצאים הרפואיים שנמצאו בבדיקת חיים</w:t>
      </w:r>
      <w:r>
        <w:rPr>
          <w:rtl w:val="true"/>
        </w:rPr>
        <w:t xml:space="preserve">, </w:t>
      </w:r>
      <w:r>
        <w:rPr>
          <w:rtl w:val="true"/>
        </w:rPr>
        <w:t>שאישרו גרסתה של המתלוננת על כי היתה בתולה בטרם האירוע בו חולל כבודה ופרטיותה נרמסה עד דק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המתלוננת הקטינה נותרה מצולקת תרתי משמע הן פיזית והן נפשית</w:t>
      </w:r>
      <w:r>
        <w:rPr>
          <w:rtl w:val="true"/>
        </w:rPr>
        <w:t xml:space="preserve">, </w:t>
      </w:r>
      <w:r>
        <w:rPr>
          <w:rtl w:val="true"/>
        </w:rPr>
        <w:t>כאשר בעקבות המקרה התדרדר מצבה הנפשי</w:t>
      </w:r>
      <w:r>
        <w:rPr>
          <w:rtl w:val="true"/>
        </w:rPr>
        <w:t xml:space="preserve">. </w:t>
      </w:r>
      <w:r>
        <w:rPr>
          <w:rtl w:val="true"/>
        </w:rPr>
        <w:t>תסקיר נפגעת עבירה מתאר תמונה של נזק עצום בכל מישורי חייה</w:t>
      </w:r>
      <w:r>
        <w:rPr>
          <w:rtl w:val="true"/>
        </w:rPr>
        <w:t xml:space="preserve">, </w:t>
      </w:r>
      <w:r>
        <w:rPr>
          <w:rtl w:val="true"/>
        </w:rPr>
        <w:t>שהפרוגנוזה לניהול חיים תקינים מדאיגה ביותר</w:t>
      </w:r>
      <w:r>
        <w:rPr>
          <w:rtl w:val="true"/>
        </w:rPr>
        <w:t xml:space="preserve">. </w:t>
      </w:r>
      <w:r>
        <w:rPr>
          <w:rtl w:val="true"/>
        </w:rPr>
        <w:t>לעמדת המדינה</w:t>
      </w:r>
      <w:r>
        <w:rPr>
          <w:rtl w:val="true"/>
        </w:rPr>
        <w:t xml:space="preserve">, </w:t>
      </w:r>
      <w:r>
        <w:rPr>
          <w:rtl w:val="true"/>
        </w:rPr>
        <w:t>העבירות שבהן הורשע המשיב באישום השני הצדיקו את מתחם העונש לו טענה בבית משפט קמא</w:t>
      </w:r>
      <w:r>
        <w:rPr>
          <w:rtl w:val="true"/>
        </w:rPr>
        <w:t xml:space="preserve">, </w:t>
      </w:r>
      <w:r>
        <w:rPr>
          <w:rtl w:val="true"/>
        </w:rPr>
        <w:t>עליו חזרה גם בפנינו</w:t>
      </w:r>
      <w:r>
        <w:rPr>
          <w:rtl w:val="true"/>
        </w:rPr>
        <w:t xml:space="preserve">, </w:t>
      </w:r>
      <w:r>
        <w:rPr/>
        <w:t>20-17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 מערער על חומרת עונשו</w:t>
      </w:r>
      <w:r>
        <w:rPr>
          <w:rtl w:val="true"/>
        </w:rPr>
        <w:t xml:space="preserve">, </w:t>
      </w:r>
      <w:r>
        <w:rPr>
          <w:rtl w:val="true"/>
        </w:rPr>
        <w:t>לטענתו העונש שהוטל עליו חמור מידי וחורג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 xml:space="preserve">המשיב בן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בן יחיד למשפחתו</w:t>
      </w:r>
      <w:r>
        <w:rPr>
          <w:rtl w:val="true"/>
        </w:rPr>
        <w:t xml:space="preserve">. </w:t>
      </w:r>
      <w:r>
        <w:rPr>
          <w:rtl w:val="true"/>
        </w:rPr>
        <w:t>בהינתן נסיבות אלו ביקש כי בית המשפט יתערב בגזר הדין ויפחית מעונשו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כעולה מהצגת דעת הרוב והמיעוט</w:t>
      </w:r>
      <w:r>
        <w:rPr>
          <w:rtl w:val="true"/>
        </w:rPr>
        <w:t xml:space="preserve">, </w:t>
      </w:r>
      <w:r>
        <w:rPr>
          <w:rtl w:val="true"/>
        </w:rPr>
        <w:t>המחלוקת בערעור על הכרעת הדין תחומה בשאלה האם זיהוי המשיב על ידי ג</w:t>
      </w:r>
      <w:r>
        <w:rPr>
          <w:rtl w:val="true"/>
        </w:rPr>
        <w:t>.</w:t>
      </w:r>
      <w:r>
        <w:rPr>
          <w:rtl w:val="true"/>
        </w:rPr>
        <w:t>נ כמי שביצע את עבירת הפציעה בנסיבות מחמירות שבאישום השלישי הינו זיהוי ודאי</w:t>
      </w:r>
      <w:r>
        <w:rPr>
          <w:rtl w:val="true"/>
        </w:rPr>
        <w:t xml:space="preserve">, </w:t>
      </w:r>
      <w:r>
        <w:rPr>
          <w:rtl w:val="true"/>
        </w:rPr>
        <w:t>נטול ספקות</w:t>
      </w:r>
      <w:r>
        <w:rPr>
          <w:rtl w:val="true"/>
        </w:rPr>
        <w:t xml:space="preserve">, </w:t>
      </w:r>
      <w:r>
        <w:rPr>
          <w:rtl w:val="true"/>
        </w:rPr>
        <w:t>שניתן לסמוך עליו הרשעה</w:t>
      </w:r>
      <w:r>
        <w:rPr>
          <w:rtl w:val="true"/>
        </w:rPr>
        <w:t xml:space="preserve">. </w:t>
      </w:r>
      <w:r>
        <w:rPr>
          <w:rtl w:val="true"/>
        </w:rPr>
        <w:t>במחלוקת שנפלה בין דעת הרוב לדעת המיעוט</w:t>
      </w:r>
      <w:r>
        <w:rPr>
          <w:rtl w:val="true"/>
        </w:rPr>
        <w:t xml:space="preserve">, </w:t>
      </w:r>
      <w:r>
        <w:rPr>
          <w:rtl w:val="true"/>
        </w:rPr>
        <w:t>דעתי כדעת המיעוט ומכאן שיש לקבל את ערעור המדינה על זיכוי המשיב מהעבירה של פציעה בנסיבות מחמירות שבאישום השלישי</w:t>
      </w:r>
      <w:r>
        <w:rPr>
          <w:rtl w:val="true"/>
        </w:rPr>
        <w:t xml:space="preserve">. </w:t>
      </w:r>
      <w:r>
        <w:rPr>
          <w:rtl w:val="true"/>
        </w:rPr>
        <w:t>אנמק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נקודת המוצא בדעת הרוב לפיה יש לקרוא את עדותה של ג</w:t>
      </w:r>
      <w:r>
        <w:rPr>
          <w:rtl w:val="true"/>
        </w:rPr>
        <w:t>.</w:t>
      </w:r>
      <w:r>
        <w:rPr>
          <w:rtl w:val="true"/>
        </w:rPr>
        <w:t>נ ועדות חברתה ג</w:t>
      </w:r>
      <w:r>
        <w:rPr>
          <w:rtl w:val="true"/>
        </w:rPr>
        <w:t>.</w:t>
      </w:r>
      <w:r>
        <w:rPr>
          <w:rtl w:val="true"/>
        </w:rPr>
        <w:t xml:space="preserve">ב </w:t>
      </w:r>
      <w:r>
        <w:rPr>
          <w:rtl w:val="true"/>
        </w:rPr>
        <w:t>"</w:t>
      </w:r>
      <w:r>
        <w:rPr>
          <w:rtl w:val="true"/>
        </w:rPr>
        <w:t>כעדות אחת</w:t>
      </w:r>
      <w:r>
        <w:rPr>
          <w:rtl w:val="true"/>
        </w:rPr>
        <w:t xml:space="preserve">" </w:t>
      </w:r>
      <w:r>
        <w:rPr>
          <w:rtl w:val="true"/>
        </w:rPr>
        <w:t>משום הקשר ההדוק והבלתי ניתן להפרדה שנעשה על ידי החוקרים והמאשימה</w:t>
      </w:r>
      <w:r>
        <w:rPr>
          <w:rtl w:val="true"/>
        </w:rPr>
        <w:t xml:space="preserve">, </w:t>
      </w:r>
      <w:r>
        <w:rPr>
          <w:rtl w:val="true"/>
        </w:rPr>
        <w:t>כאשר סתירה ואי התאמה בין דברי עדותה של ג</w:t>
      </w:r>
      <w:r>
        <w:rPr>
          <w:rtl w:val="true"/>
        </w:rPr>
        <w:t>.</w:t>
      </w:r>
      <w:r>
        <w:rPr>
          <w:rtl w:val="true"/>
        </w:rPr>
        <w:t>ב לדברי עדותה של ג</w:t>
      </w:r>
      <w:r>
        <w:rPr>
          <w:rtl w:val="true"/>
        </w:rPr>
        <w:t>.</w:t>
      </w:r>
      <w:r>
        <w:rPr>
          <w:rtl w:val="true"/>
        </w:rPr>
        <w:t>נ בעניין הזיהוי פגמו באמינות הזיהוי שנעשה על ידי ג</w:t>
      </w:r>
      <w:r>
        <w:rPr>
          <w:rtl w:val="true"/>
        </w:rPr>
        <w:t>.</w:t>
      </w:r>
      <w:r>
        <w:rPr>
          <w:rtl w:val="true"/>
        </w:rPr>
        <w:t xml:space="preserve">נ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tl w:val="true"/>
        </w:rPr>
        <w:t xml:space="preserve"> הינה נקודת מוצא מוטעית ולא נכונה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ניתן היה להשקיף על עדותן של שתי העדות ג</w:t>
      </w:r>
      <w:r>
        <w:rPr>
          <w:rtl w:val="true"/>
        </w:rPr>
        <w:t>.</w:t>
      </w:r>
      <w:r>
        <w:rPr>
          <w:rtl w:val="true"/>
        </w:rPr>
        <w:t>ב וג</w:t>
      </w:r>
      <w:r>
        <w:rPr>
          <w:rtl w:val="true"/>
        </w:rPr>
        <w:t>.</w:t>
      </w:r>
      <w:r>
        <w:rPr>
          <w:rtl w:val="true"/>
        </w:rPr>
        <w:t>נ כ</w:t>
      </w:r>
      <w:r>
        <w:rPr>
          <w:rtl w:val="true"/>
        </w:rPr>
        <w:t>"</w:t>
      </w:r>
      <w:r>
        <w:rPr>
          <w:rtl w:val="true"/>
        </w:rPr>
        <w:t>מקשה אחת</w:t>
      </w:r>
      <w:r>
        <w:rPr>
          <w:rtl w:val="true"/>
        </w:rPr>
        <w:t xml:space="preserve">", </w:t>
      </w:r>
      <w:r>
        <w:rPr>
          <w:rtl w:val="true"/>
        </w:rPr>
        <w:t>אילו היה מדובר בשתי עדות שחוו את אותו אירוע באותם תנאים ממש</w:t>
      </w:r>
      <w:r>
        <w:rPr>
          <w:rtl w:val="true"/>
        </w:rPr>
        <w:t xml:space="preserve">, </w:t>
      </w:r>
      <w:r>
        <w:rPr>
          <w:rtl w:val="true"/>
        </w:rPr>
        <w:t>קרי כאשר תנאי הזיהוי היו זהים או קרובים מאוד</w:t>
      </w:r>
      <w:r>
        <w:rPr>
          <w:rtl w:val="true"/>
        </w:rPr>
        <w:t xml:space="preserve">, </w:t>
      </w:r>
      <w:r>
        <w:rPr>
          <w:rtl w:val="true"/>
        </w:rPr>
        <w:t>כגון זהות הזירה בה התבצע הזיהוי</w:t>
      </w:r>
      <w:r>
        <w:rPr>
          <w:rtl w:val="true"/>
        </w:rPr>
        <w:t xml:space="preserve">, </w:t>
      </w:r>
      <w:r>
        <w:rPr>
          <w:rtl w:val="true"/>
        </w:rPr>
        <w:t>תנאי התאורה בזירה</w:t>
      </w:r>
      <w:r>
        <w:rPr>
          <w:rtl w:val="true"/>
        </w:rPr>
        <w:t xml:space="preserve">, </w:t>
      </w:r>
      <w:r>
        <w:rPr>
          <w:rtl w:val="true"/>
        </w:rPr>
        <w:t>טיב האינטראקצי</w:t>
      </w:r>
      <w:r>
        <w:rPr>
          <w:rtl w:val="true"/>
        </w:rPr>
        <w:t>ה</w:t>
      </w:r>
      <w:r>
        <w:rPr>
          <w:rtl w:val="true"/>
        </w:rPr>
        <w:t xml:space="preserve"> בין המזוהה לבין המזהה</w:t>
      </w:r>
      <w:r>
        <w:rPr>
          <w:rtl w:val="true"/>
        </w:rPr>
        <w:t xml:space="preserve">, </w:t>
      </w:r>
      <w:r>
        <w:rPr>
          <w:rtl w:val="true"/>
        </w:rPr>
        <w:t>מידת הקרבה הפיזית בין המזהה למזוהה</w:t>
      </w:r>
      <w:r>
        <w:rPr>
          <w:rtl w:val="true"/>
        </w:rPr>
        <w:t xml:space="preserve">, </w:t>
      </w:r>
      <w:r>
        <w:rPr>
          <w:rtl w:val="true"/>
        </w:rPr>
        <w:t>ומשך הזמן שבו התקיימה האינטראקצי</w:t>
      </w:r>
      <w:r>
        <w:rPr>
          <w:rtl w:val="true"/>
        </w:rPr>
        <w:t>ה</w:t>
      </w:r>
      <w:r>
        <w:rPr>
          <w:rtl w:val="true"/>
        </w:rPr>
        <w:t xml:space="preserve"> במהלכה בוצע הזיהוי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 דומה זיהוי שנעשה על ידי עד מזהה</w:t>
      </w:r>
      <w:r>
        <w:rPr>
          <w:rtl w:val="true"/>
        </w:rPr>
        <w:t xml:space="preserve">, </w:t>
      </w:r>
      <w:r>
        <w:rPr>
          <w:rtl w:val="true"/>
        </w:rPr>
        <w:t>העומד במרחק של חמישה מטרים מהמזוהה</w:t>
      </w:r>
      <w:r>
        <w:rPr>
          <w:rtl w:val="true"/>
        </w:rPr>
        <w:t xml:space="preserve">, </w:t>
      </w:r>
      <w:r>
        <w:rPr>
          <w:rtl w:val="true"/>
        </w:rPr>
        <w:t xml:space="preserve">לעד מזהה שמצוי במרחק נגיעה עד כדי מגע פיזי עם המזוהה ועומד מולו </w:t>
      </w:r>
      <w:r>
        <w:rPr>
          <w:rtl w:val="true"/>
        </w:rPr>
        <w:t>"</w:t>
      </w:r>
      <w:r>
        <w:rPr>
          <w:rtl w:val="true"/>
        </w:rPr>
        <w:t>פנים אל פנים</w:t>
      </w:r>
      <w:r>
        <w:rPr>
          <w:rtl w:val="true"/>
        </w:rPr>
        <w:t xml:space="preserve">", </w:t>
      </w:r>
      <w:r>
        <w:rPr>
          <w:rtl w:val="true"/>
        </w:rPr>
        <w:t>כאשר מכוח אותה קרבה פיזית מתאפשר אותו מבט קרוב שנחרט בזכרונו של המזהה ומסייע לאחר מכן בזיהוי הוודאי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נ העידה כי ראתה את תווי פניו של התוקף ואת מבט עיניו והוסיפה ומסרה תיאור ההולם את המשיב</w:t>
      </w:r>
      <w:r>
        <w:rPr>
          <w:rtl w:val="true"/>
        </w:rPr>
        <w:t xml:space="preserve">, </w:t>
      </w:r>
      <w:r>
        <w:rPr>
          <w:rtl w:val="true"/>
        </w:rPr>
        <w:t>בחור ממוצא רוסי</w:t>
      </w:r>
      <w:r>
        <w:rPr>
          <w:rtl w:val="true"/>
        </w:rPr>
        <w:t xml:space="preserve">, </w:t>
      </w:r>
      <w:r>
        <w:rPr>
          <w:rtl w:val="true"/>
        </w:rPr>
        <w:t xml:space="preserve">בגובה </w:t>
      </w:r>
      <w:r>
        <w:rPr/>
        <w:t>1.70</w:t>
      </w:r>
      <w:r>
        <w:rPr>
          <w:rtl w:val="true"/>
        </w:rPr>
        <w:t xml:space="preserve">, </w:t>
      </w:r>
      <w:r>
        <w:rPr/>
        <w:t>1.80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רזה</w:t>
      </w:r>
      <w:r>
        <w:rPr>
          <w:rtl w:val="true"/>
        </w:rPr>
        <w:t xml:space="preserve">, </w:t>
      </w:r>
      <w:r>
        <w:rPr>
          <w:rtl w:val="true"/>
        </w:rPr>
        <w:t>עם 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tl w:val="true"/>
        </w:rPr>
        <w:t xml:space="preserve">. </w:t>
      </w:r>
      <w:r>
        <w:rPr>
          <w:rtl w:val="true"/>
        </w:rPr>
        <w:t xml:space="preserve">כל זאת כאשר מצב התאורה במקום אף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מולך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כאשר מידת הקרבה הפיזית היא זאת שהביאה את ג</w:t>
      </w:r>
      <w:r>
        <w:rPr>
          <w:rtl w:val="true"/>
        </w:rPr>
        <w:t>.</w:t>
      </w:r>
      <w:r>
        <w:rPr>
          <w:rtl w:val="true"/>
        </w:rPr>
        <w:t>נ לראות ולציין את החבלה בעינו הימנית של המשיב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ב העידה בבית המשפט כי הזיהוי שנעשה על ידה שונה בנסיבותיו מנסיבות הזיהוי בהן נעשה הזיהוי על ידי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ב העידה על זירה אחרת שבה בוצע הזיהוי</w:t>
      </w:r>
      <w:r>
        <w:rPr>
          <w:rtl w:val="true"/>
        </w:rPr>
        <w:t xml:space="preserve">, </w:t>
      </w:r>
      <w:r>
        <w:rPr>
          <w:rtl w:val="true"/>
        </w:rPr>
        <w:t>חניית ביתה של 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שם היא הבחינה לראשונה במי שזיהתה כהמשיב</w:t>
      </w:r>
      <w:r>
        <w:rPr>
          <w:rtl w:val="true"/>
        </w:rPr>
        <w:t xml:space="preserve">, </w:t>
      </w:r>
      <w:r>
        <w:rPr>
          <w:rtl w:val="true"/>
        </w:rPr>
        <w:t>כשהוא עומד במרחק של חמישה מטרים ממנה</w:t>
      </w:r>
      <w:r>
        <w:rPr>
          <w:rtl w:val="true"/>
        </w:rPr>
        <w:t xml:space="preserve">, </w:t>
      </w:r>
      <w:r>
        <w:rPr>
          <w:rtl w:val="true"/>
        </w:rPr>
        <w:t>כאשר היא נמצאת באוטו</w:t>
      </w:r>
      <w:r>
        <w:rPr>
          <w:rtl w:val="true"/>
        </w:rPr>
        <w:t xml:space="preserve">, </w:t>
      </w:r>
      <w:r>
        <w:rPr>
          <w:rtl w:val="true"/>
        </w:rPr>
        <w:t>תוך כדי החניית רכבה ברוורס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באוטו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רוורס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לחניה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שפנויה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לתאורת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פרק הזמן שעמד לרשותה של ג</w:t>
      </w:r>
      <w:r>
        <w:rPr>
          <w:rtl w:val="true"/>
        </w:rPr>
        <w:t>.</w:t>
      </w:r>
      <w:r>
        <w:rPr>
          <w:rtl w:val="true"/>
        </w:rPr>
        <w:t>ב לצורך הזיהוי נאמד על ידי ג</w:t>
      </w:r>
      <w:r>
        <w:rPr>
          <w:rtl w:val="true"/>
        </w:rPr>
        <w:t>.</w:t>
      </w:r>
      <w:r>
        <w:rPr>
          <w:rtl w:val="true"/>
        </w:rPr>
        <w:t xml:space="preserve">ב בין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שניות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כעולה מתיאור נסיבות הזיהוי על ידי ג</w:t>
      </w:r>
      <w:r>
        <w:rPr>
          <w:rtl w:val="true"/>
        </w:rPr>
        <w:t>.</w:t>
      </w:r>
      <w:r>
        <w:rPr>
          <w:rtl w:val="true"/>
        </w:rPr>
        <w:t>ב וג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tl w:val="true"/>
        </w:rPr>
        <w:t>הנסיבות בהן זיהתה ג</w:t>
      </w:r>
      <w:r>
        <w:rPr>
          <w:rtl w:val="true"/>
        </w:rPr>
        <w:t>.</w:t>
      </w:r>
      <w:r>
        <w:rPr>
          <w:rtl w:val="true"/>
        </w:rPr>
        <w:t>ב את המשיב הינן שונות ופחות טובות מנסיבות הזיהוי בהן זיהתה ג</w:t>
      </w:r>
      <w:r>
        <w:rPr>
          <w:rtl w:val="true"/>
        </w:rPr>
        <w:t>.</w:t>
      </w:r>
      <w:r>
        <w:rPr>
          <w:rtl w:val="true"/>
        </w:rPr>
        <w:t>נ את המשיב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נ היתה בקרבה פיזית של ממש</w:t>
      </w:r>
      <w:r>
        <w:rPr>
          <w:rtl w:val="true"/>
        </w:rPr>
        <w:t xml:space="preserve">, </w:t>
      </w:r>
      <w:r>
        <w:rPr>
          <w:rtl w:val="true"/>
        </w:rPr>
        <w:t>ובמאבק פיזי עם המשיב</w:t>
      </w:r>
      <w:r>
        <w:rPr>
          <w:rtl w:val="true"/>
        </w:rPr>
        <w:t xml:space="preserve">, </w:t>
      </w:r>
      <w:r>
        <w:rPr>
          <w:rtl w:val="true"/>
        </w:rPr>
        <w:t xml:space="preserve">כשהיא עומדת </w:t>
      </w:r>
      <w:r>
        <w:rPr>
          <w:rtl w:val="true"/>
        </w:rPr>
        <w:t>"</w:t>
      </w:r>
      <w:r>
        <w:rPr>
          <w:rtl w:val="true"/>
        </w:rPr>
        <w:t>פנים מול פנים</w:t>
      </w:r>
      <w:r>
        <w:rPr>
          <w:rtl w:val="true"/>
        </w:rPr>
        <w:t xml:space="preserve">" </w:t>
      </w:r>
      <w:r>
        <w:rPr>
          <w:rtl w:val="true"/>
        </w:rPr>
        <w:t xml:space="preserve">ביחס למשיב וכביטוי הידוע </w:t>
      </w:r>
      <w:r>
        <w:rPr>
          <w:rtl w:val="true"/>
        </w:rPr>
        <w:t>"</w:t>
      </w:r>
      <w:r>
        <w:rPr>
          <w:rtl w:val="true"/>
        </w:rPr>
        <w:t>ראתה לו את הלבן בעיניים</w:t>
      </w:r>
      <w:r>
        <w:rPr>
          <w:rtl w:val="true"/>
        </w:rPr>
        <w:t xml:space="preserve">", </w:t>
      </w:r>
      <w:r>
        <w:rPr>
          <w:rtl w:val="true"/>
        </w:rPr>
        <w:t>כך שקרבה זו היא שאפשרה לה להבחין באותה חבלה מתחת לעין ימין שציינה אותה כסימן זיהוי ייחודי</w:t>
      </w:r>
      <w:r>
        <w:rPr>
          <w:rtl w:val="true"/>
        </w:rPr>
        <w:t xml:space="preserve">. </w:t>
      </w:r>
      <w:r>
        <w:rPr>
          <w:rtl w:val="true"/>
        </w:rPr>
        <w:t>כך הוא הדבר גם במעקבה במבט לאחר הסתלקותו של המשיב מהזירה</w:t>
      </w:r>
      <w:r>
        <w:rPr>
          <w:rtl w:val="true"/>
        </w:rPr>
        <w:t xml:space="preserve">, </w:t>
      </w:r>
      <w:r>
        <w:rPr>
          <w:rtl w:val="true"/>
        </w:rPr>
        <w:t>שהביאה אותה לציין סימן זיהוי ייחודי נוסף</w:t>
      </w:r>
      <w:r>
        <w:rPr>
          <w:rtl w:val="true"/>
        </w:rPr>
        <w:t xml:space="preserve">, </w:t>
      </w:r>
      <w:r>
        <w:rPr>
          <w:rtl w:val="true"/>
        </w:rPr>
        <w:t>עובדת צליעתו</w:t>
      </w:r>
      <w:r>
        <w:rPr>
          <w:rtl w:val="true"/>
        </w:rPr>
        <w:t xml:space="preserve">, </w:t>
      </w:r>
      <w:r>
        <w:rPr>
          <w:rtl w:val="true"/>
        </w:rPr>
        <w:t>פרט שאותו ציינה ג</w:t>
      </w:r>
      <w:r>
        <w:rPr>
          <w:rtl w:val="true"/>
        </w:rPr>
        <w:t>.</w:t>
      </w:r>
      <w:r>
        <w:rPr>
          <w:rtl w:val="true"/>
        </w:rPr>
        <w:t>נ והוא נפקד מעדותה של 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פרטי זיהוי ייחודיים אלה יש בהם כדי להוסיף וודאות לזיהוי שנעשה על ידי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דווקא דברי תשובתה של המתלוננת ג</w:t>
      </w:r>
      <w:r>
        <w:rPr>
          <w:rtl w:val="true"/>
        </w:rPr>
        <w:t>.</w:t>
      </w:r>
      <w:r>
        <w:rPr>
          <w:rtl w:val="true"/>
        </w:rPr>
        <w:t>נ בעמ</w:t>
      </w:r>
      <w:r>
        <w:rPr>
          <w:rtl w:val="true"/>
        </w:rPr>
        <w:t xml:space="preserve">' </w:t>
      </w:r>
      <w:r>
        <w:rPr/>
        <w:t>164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כשנשאלה בחקירה הנגדית באשר להבדלים בתיאורי הזיהוי בינה לבין 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היו צריכים להאיר את עיני בית המשפט באשר לשינוי בנסיבות הזיהוי ומשם למסקנה שלא לזקוף קיומם של הבדלים אלה בתיאורי הזיהוי לחובת עדותה של ג</w:t>
      </w:r>
      <w:r>
        <w:rPr>
          <w:rtl w:val="true"/>
        </w:rPr>
        <w:t>.</w:t>
      </w:r>
      <w:r>
        <w:rPr>
          <w:rtl w:val="true"/>
        </w:rPr>
        <w:t>נ עד כדי הטלת ספק באמינות זיהויה</w:t>
      </w:r>
      <w:r>
        <w:rPr>
          <w:rtl w:val="true"/>
        </w:rPr>
        <w:t xml:space="preserve">. </w:t>
      </w:r>
      <w:r>
        <w:rPr>
          <w:rtl w:val="true"/>
        </w:rPr>
        <w:t>וכך העידה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איתי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 </w:t>
      </w:r>
      <w:r>
        <w:rPr>
          <w:rtl w:val="true"/>
        </w:rPr>
        <w:t>ובהמשך אותו עמ</w:t>
      </w:r>
      <w:r>
        <w:rPr>
          <w:rtl w:val="true"/>
        </w:rPr>
        <w:t xml:space="preserve">' </w:t>
      </w:r>
      <w:r>
        <w:rPr>
          <w:rtl w:val="true"/>
        </w:rPr>
        <w:t>בש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איתי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בזירה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שהותקפתי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הותקפתי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עוד בהמשך בעמ</w:t>
      </w:r>
      <w:r>
        <w:rPr>
          <w:rtl w:val="true"/>
        </w:rPr>
        <w:t xml:space="preserve">' </w:t>
      </w:r>
      <w:r>
        <w:rPr/>
        <w:t>165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נדייק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שהותקפתי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הותקפתי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tl w:val="true"/>
        </w:rPr>
        <w:t>" (</w:t>
      </w:r>
      <w:r>
        <w:rPr>
          <w:rtl w:val="true"/>
        </w:rPr>
        <w:t>ההדגשות הוספו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 בית המשפט קמא ביקר את הנחת המוצא של החוקרים ושל המאשימה לפיה אלה הניחו כי מדובר באדם אחד בשני האירועים</w:t>
      </w:r>
      <w:r>
        <w:rPr>
          <w:rtl w:val="true"/>
        </w:rPr>
        <w:t xml:space="preserve">, </w:t>
      </w:r>
      <w:r>
        <w:rPr>
          <w:rtl w:val="true"/>
        </w:rPr>
        <w:t>אירוע אחד עליו העידה ג</w:t>
      </w:r>
      <w:r>
        <w:rPr>
          <w:rtl w:val="true"/>
        </w:rPr>
        <w:t>.</w:t>
      </w:r>
      <w:r>
        <w:rPr>
          <w:rtl w:val="true"/>
        </w:rPr>
        <w:t>ב שהתרחש בחניית ביתה</w:t>
      </w:r>
      <w:r>
        <w:rPr>
          <w:rtl w:val="true"/>
        </w:rPr>
        <w:t xml:space="preserve">, </w:t>
      </w:r>
      <w:r>
        <w:rPr>
          <w:rtl w:val="true"/>
        </w:rPr>
        <w:t>ואירוע שני עליו העידה ג</w:t>
      </w:r>
      <w:r>
        <w:rPr>
          <w:rtl w:val="true"/>
        </w:rPr>
        <w:t>.</w:t>
      </w:r>
      <w:r>
        <w:rPr>
          <w:rtl w:val="true"/>
        </w:rPr>
        <w:t>נ שהתרחש בזירה אחרת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 לאחר האירוע הראשון עליו העידה 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כאשר הנחה זו</w:t>
      </w:r>
      <w:r>
        <w:rPr>
          <w:rtl w:val="true"/>
        </w:rPr>
        <w:t xml:space="preserve">, </w:t>
      </w:r>
      <w:r>
        <w:rPr>
          <w:rtl w:val="true"/>
        </w:rPr>
        <w:t>כך בית המשפט קמא קבע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מובנת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ונכונה</w:t>
      </w:r>
      <w:r>
        <w:rPr>
          <w:rtl w:val="true"/>
        </w:rPr>
        <w:t xml:space="preserve">"; </w:t>
      </w:r>
      <w:r>
        <w:rPr>
          <w:rtl w:val="true"/>
        </w:rPr>
        <w:t>והנה בית המשפט קמא עושה שימוש באותה הנחת מוצא כדי להטיל ספק באמינות הזיהוי שנעשה על ידי המתלוננת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tl w:val="true"/>
        </w:rPr>
        <w:t>כשהוא משווה את עדות הזיהוי של ג</w:t>
      </w:r>
      <w:r>
        <w:rPr>
          <w:rtl w:val="true"/>
        </w:rPr>
        <w:t>.</w:t>
      </w:r>
      <w:r>
        <w:rPr>
          <w:rtl w:val="true"/>
        </w:rPr>
        <w:t>נ אל מול עדות הזיהוי של ג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זיהוי שכאמור נעשה בשתי זירות שונות</w:t>
      </w:r>
      <w:r>
        <w:rPr>
          <w:rtl w:val="true"/>
        </w:rPr>
        <w:t xml:space="preserve">, </w:t>
      </w:r>
      <w:r>
        <w:rPr>
          <w:rtl w:val="true"/>
        </w:rPr>
        <w:t>בתנאים שונים וכאילו מדובר בשתי עדות לאותו אירוע ממש</w:t>
      </w:r>
      <w:r>
        <w:rPr>
          <w:rtl w:val="true"/>
        </w:rPr>
        <w:t xml:space="preserve">. </w:t>
      </w:r>
      <w:r>
        <w:rPr>
          <w:rtl w:val="true"/>
        </w:rPr>
        <w:t xml:space="preserve">לטעמי בנסיבות הזיהוי השונות שעמדו בבסיס הזיהוי של כל אחת מהעדות היה נכון לבחון את עדויות הזיהוי כל אחת בפני עצמה ולא לבחון אותן </w:t>
      </w:r>
      <w:r>
        <w:rPr>
          <w:rtl w:val="true"/>
        </w:rPr>
        <w:t>"</w:t>
      </w:r>
      <w:r>
        <w:rPr>
          <w:rtl w:val="true"/>
        </w:rPr>
        <w:t>כעדות אחת</w:t>
      </w:r>
      <w:r>
        <w:rPr>
          <w:rtl w:val="true"/>
        </w:rPr>
        <w:t xml:space="preserve">" </w:t>
      </w:r>
      <w:r>
        <w:rPr>
          <w:rtl w:val="true"/>
        </w:rPr>
        <w:t>כפי שעשתה דעת הרוב</w:t>
      </w:r>
      <w:r>
        <w:rPr>
          <w:rtl w:val="true"/>
        </w:rPr>
        <w:t xml:space="preserve">. </w:t>
      </w:r>
      <w:r>
        <w:rPr>
          <w:rtl w:val="true"/>
        </w:rPr>
        <w:t>בחינה בדרך זו היתה מובילה לתוצאה של העדפת עדות הזיהוי של המתלוננת ג</w:t>
      </w:r>
      <w:r>
        <w:rPr>
          <w:rtl w:val="true"/>
        </w:rPr>
        <w:t>.</w:t>
      </w:r>
      <w:r>
        <w:rPr>
          <w:rtl w:val="true"/>
        </w:rPr>
        <w:t>נ על פני עדותה של ג</w:t>
      </w:r>
      <w:r>
        <w:rPr>
          <w:rtl w:val="true"/>
        </w:rPr>
        <w:t>.</w:t>
      </w:r>
      <w:r>
        <w:rPr>
          <w:rtl w:val="true"/>
        </w:rPr>
        <w:t>ב חברתה ומכאן למסקנה לפיה הזיהוי שנעשה על ידי ג</w:t>
      </w:r>
      <w:r>
        <w:rPr>
          <w:rtl w:val="true"/>
        </w:rPr>
        <w:t>.</w:t>
      </w:r>
      <w:r>
        <w:rPr>
          <w:rtl w:val="true"/>
        </w:rPr>
        <w:t>נ הינו זיהוי ודאי</w:t>
      </w:r>
      <w:r>
        <w:rPr>
          <w:rtl w:val="true"/>
        </w:rPr>
        <w:t xml:space="preserve">, </w:t>
      </w:r>
      <w:r>
        <w:rPr>
          <w:rtl w:val="true"/>
        </w:rPr>
        <w:t>נטול ספקות</w:t>
      </w:r>
      <w:r>
        <w:rPr>
          <w:rtl w:val="true"/>
        </w:rPr>
        <w:t xml:space="preserve">, </w:t>
      </w:r>
      <w:r>
        <w:rPr>
          <w:rtl w:val="true"/>
        </w:rPr>
        <w:t>שניתן לבסס עליו הרשעה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דעת הרוב קבעה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בהסתייגות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בסוגיית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tl w:val="true"/>
        </w:rPr>
        <w:t xml:space="preserve">". </w:t>
      </w:r>
      <w:r>
        <w:rPr>
          <w:rtl w:val="true"/>
        </w:rPr>
        <w:t>אינני מקבל קביעה זו</w:t>
      </w:r>
      <w:r>
        <w:rPr>
          <w:rtl w:val="true"/>
        </w:rPr>
        <w:t xml:space="preserve">, </w:t>
      </w:r>
      <w:r>
        <w:rPr>
          <w:rtl w:val="true"/>
        </w:rPr>
        <w:t>משלא מצאתי את ההקשר ההגיוני בקבלת עדות המתלוננת ג</w:t>
      </w:r>
      <w:r>
        <w:rPr>
          <w:rtl w:val="true"/>
        </w:rPr>
        <w:t>.</w:t>
      </w:r>
      <w:r>
        <w:rPr>
          <w:rtl w:val="true"/>
        </w:rPr>
        <w:t xml:space="preserve">נ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בהסתייגות</w:t>
      </w:r>
      <w:r>
        <w:rPr>
          <w:rtl w:val="true"/>
        </w:rPr>
        <w:t xml:space="preserve"> בנושא ראייתה את תמונתו המטושטשת של המשיב טרם עריכת מסדר הזיהוי בו זיהתה את המשיב לבין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tl w:val="true"/>
        </w:rPr>
        <w:t xml:space="preserve"> בסוגיית הזיהוי עצמה</w:t>
      </w:r>
      <w:r>
        <w:rPr>
          <w:rtl w:val="true"/>
        </w:rPr>
        <w:t xml:space="preserve">, </w:t>
      </w:r>
      <w:r>
        <w:rPr>
          <w:rtl w:val="true"/>
        </w:rPr>
        <w:t>שלדעת בית המשפט קמא נבע בעיקרו של דבר מזיהוי המתלוננת ג</w:t>
      </w:r>
      <w:r>
        <w:rPr>
          <w:rtl w:val="true"/>
        </w:rPr>
        <w:t>.</w:t>
      </w:r>
      <w:r>
        <w:rPr>
          <w:rtl w:val="true"/>
        </w:rPr>
        <w:t>נ שלושה ימים לאחר האירוע</w:t>
      </w:r>
      <w:r>
        <w:rPr>
          <w:rtl w:val="true"/>
        </w:rPr>
        <w:t xml:space="preserve">, </w:t>
      </w:r>
      <w:r>
        <w:rPr>
          <w:rtl w:val="true"/>
        </w:rPr>
        <w:t>אדם אחר</w:t>
      </w:r>
      <w:r>
        <w:rPr>
          <w:rtl w:val="true"/>
        </w:rPr>
        <w:t xml:space="preserve">, </w:t>
      </w:r>
      <w:r>
        <w:rPr>
          <w:rtl w:val="true"/>
        </w:rPr>
        <w:t>שאינו המשיב כמי שביצע את התקיפה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עדותה של המתלוננת ג</w:t>
      </w:r>
      <w:r>
        <w:rPr>
          <w:rtl w:val="true"/>
        </w:rPr>
        <w:t>.</w:t>
      </w:r>
      <w:r>
        <w:rPr>
          <w:rtl w:val="true"/>
        </w:rPr>
        <w:t xml:space="preserve">נ לפני בית המשפט היתה עדות זהירה והיא זו שבחרה לציין את שם העיתון </w:t>
      </w:r>
      <w:r>
        <w:rPr>
          <w:rtl w:val="true"/>
        </w:rPr>
        <w:t>"</w:t>
      </w:r>
      <w:r>
        <w:rPr>
          <w:rtl w:val="true"/>
        </w:rPr>
        <w:t>ישראל היום</w:t>
      </w:r>
      <w:r>
        <w:rPr>
          <w:rtl w:val="true"/>
        </w:rPr>
        <w:t xml:space="preserve">" </w:t>
      </w:r>
      <w:r>
        <w:rPr>
          <w:rtl w:val="true"/>
        </w:rPr>
        <w:t>בו ראתה את תמונתו המטושטשת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תוך שהוסיפה כי היא </w:t>
      </w:r>
      <w:r>
        <w:rPr>
          <w:rtl w:val="true"/>
        </w:rPr>
        <w:t>"</w:t>
      </w:r>
      <w:r>
        <w:rPr>
          <w:rtl w:val="true"/>
        </w:rPr>
        <w:t>חושבת</w:t>
      </w:r>
      <w:r>
        <w:rPr>
          <w:rtl w:val="true"/>
        </w:rPr>
        <w:t xml:space="preserve">" </w:t>
      </w:r>
      <w:r>
        <w:rPr>
          <w:rtl w:val="true"/>
        </w:rPr>
        <w:t xml:space="preserve">שפורסמה בעיתון </w:t>
      </w:r>
      <w:r>
        <w:rPr>
          <w:rtl w:val="true"/>
        </w:rPr>
        <w:t>"</w:t>
      </w:r>
      <w:r>
        <w:rPr>
          <w:rtl w:val="true"/>
        </w:rPr>
        <w:t>ישראל היום</w:t>
      </w:r>
      <w:r>
        <w:rPr>
          <w:rtl w:val="true"/>
        </w:rPr>
        <w:t xml:space="preserve">".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לא היה נכון רק בשל סיבה זו לקבל את עדותה של המתלוננת ג</w:t>
      </w:r>
      <w:r>
        <w:rPr>
          <w:rtl w:val="true"/>
        </w:rPr>
        <w:t>.</w:t>
      </w:r>
      <w:r>
        <w:rPr>
          <w:rtl w:val="true"/>
        </w:rPr>
        <w:t xml:space="preserve">נ בנושא זה </w:t>
      </w:r>
      <w:r>
        <w:rPr>
          <w:rtl w:val="true"/>
        </w:rPr>
        <w:t>"</w:t>
      </w:r>
      <w:r>
        <w:rPr>
          <w:rtl w:val="true"/>
        </w:rPr>
        <w:t>בהסתייגות</w:t>
      </w:r>
      <w:r>
        <w:rPr>
          <w:rtl w:val="true"/>
        </w:rPr>
        <w:t xml:space="preserve">" </w:t>
      </w:r>
      <w:r>
        <w:rPr>
          <w:rtl w:val="true"/>
        </w:rPr>
        <w:t xml:space="preserve">רק בשל אמירתה שהיא </w:t>
      </w:r>
      <w:r>
        <w:rPr>
          <w:rtl w:val="true"/>
        </w:rPr>
        <w:t>"</w:t>
      </w:r>
      <w:r>
        <w:rPr>
          <w:rtl w:val="true"/>
        </w:rPr>
        <w:t>חושבת</w:t>
      </w:r>
      <w:r>
        <w:rPr>
          <w:rtl w:val="true"/>
        </w:rPr>
        <w:t xml:space="preserve">" </w:t>
      </w:r>
      <w:r>
        <w:rPr>
          <w:rtl w:val="true"/>
        </w:rPr>
        <w:t xml:space="preserve">שראתה את התמונה בעיתון </w:t>
      </w:r>
      <w:r>
        <w:rPr>
          <w:rtl w:val="true"/>
        </w:rPr>
        <w:t>"</w:t>
      </w:r>
      <w:r>
        <w:rPr>
          <w:rtl w:val="true"/>
        </w:rPr>
        <w:t>ישראל היום</w:t>
      </w:r>
      <w:r>
        <w:rPr>
          <w:rtl w:val="true"/>
        </w:rPr>
        <w:t xml:space="preserve">".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יש מידה רבה של צדק והיגיון בעמדת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שכתבה בעיקרי הטיעון מטעמה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נחשפה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מטושטשת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במכוון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בהיחשפות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דברים אלה מקבלים משנה תוקף לאור דבריה החד משמעיים של המתלוננת ג</w:t>
      </w:r>
      <w:r>
        <w:rPr>
          <w:rtl w:val="true"/>
        </w:rPr>
        <w:t>.</w:t>
      </w:r>
      <w:r>
        <w:rPr>
          <w:rtl w:val="true"/>
        </w:rPr>
        <w:t xml:space="preserve">נ בעדותה כי לבד מהתמונה שראתה </w:t>
      </w:r>
      <w:r>
        <w:rPr>
          <w:rtl w:val="true"/>
        </w:rPr>
        <w:t>"</w:t>
      </w:r>
      <w:r>
        <w:rPr>
          <w:rtl w:val="true"/>
        </w:rPr>
        <w:t>ברפרוף</w:t>
      </w:r>
      <w:r>
        <w:rPr>
          <w:rtl w:val="true"/>
        </w:rPr>
        <w:t xml:space="preserve">" </w:t>
      </w:r>
      <w:r>
        <w:rPr>
          <w:rtl w:val="true"/>
        </w:rPr>
        <w:t xml:space="preserve">כשעברה ליד השולחנות בקפה </w:t>
      </w:r>
      <w:r>
        <w:rPr>
          <w:rtl w:val="true"/>
        </w:rPr>
        <w:t>"</w:t>
      </w:r>
      <w:r>
        <w:rPr>
          <w:rtl w:val="true"/>
        </w:rPr>
        <w:t>ארומה</w:t>
      </w:r>
      <w:r>
        <w:rPr>
          <w:rtl w:val="true"/>
        </w:rPr>
        <w:t xml:space="preserve">", </w:t>
      </w:r>
      <w:r>
        <w:rPr>
          <w:rtl w:val="true"/>
        </w:rPr>
        <w:t xml:space="preserve">היא לא ראתה תמונה אחרת של המשיב לא בטשטוש ולא שלא בטשטוש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שנעצר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היחיד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שולחן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שזרקתי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קלטתי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15-14</w:t>
      </w:r>
      <w:r>
        <w:rPr>
          <w:rtl w:val="true"/>
        </w:rPr>
        <w:t xml:space="preserve">). </w:t>
      </w:r>
      <w:r>
        <w:rPr>
          <w:rtl w:val="true"/>
        </w:rPr>
        <w:t>משהוכח איפוא בעדות המתלוננת ג</w:t>
      </w:r>
      <w:r>
        <w:rPr>
          <w:rtl w:val="true"/>
        </w:rPr>
        <w:t>.</w:t>
      </w:r>
      <w:r>
        <w:rPr>
          <w:rtl w:val="true"/>
        </w:rPr>
        <w:t>נ שלא נסתרה כי היא לא נחשפה</w:t>
      </w:r>
      <w:r>
        <w:rPr>
          <w:rtl w:val="true"/>
        </w:rPr>
        <w:t xml:space="preserve">, </w:t>
      </w:r>
      <w:r>
        <w:rPr>
          <w:rtl w:val="true"/>
        </w:rPr>
        <w:t xml:space="preserve">למעט לתמונה מטושטשת בקפה </w:t>
      </w:r>
      <w:r>
        <w:rPr>
          <w:rtl w:val="true"/>
        </w:rPr>
        <w:t>"</w:t>
      </w:r>
      <w:r>
        <w:rPr>
          <w:rtl w:val="true"/>
        </w:rPr>
        <w:t>ארומה</w:t>
      </w:r>
      <w:r>
        <w:rPr>
          <w:rtl w:val="true"/>
        </w:rPr>
        <w:t xml:space="preserve">", </w:t>
      </w:r>
      <w:r>
        <w:rPr>
          <w:rtl w:val="true"/>
        </w:rPr>
        <w:t xml:space="preserve">לתמונה אחרת של המשיב קודם למסדר זיהוי התמונות </w:t>
      </w:r>
      <w:r>
        <w:rPr>
          <w:rtl w:val="true"/>
        </w:rPr>
        <w:t>(</w:t>
      </w:r>
      <w:r>
        <w:rPr>
          <w:rtl w:val="true"/>
        </w:rPr>
        <w:t>לא תמונה מטושטשת ולא תמונה אחרת</w:t>
      </w:r>
      <w:r>
        <w:rPr>
          <w:rtl w:val="true"/>
        </w:rPr>
        <w:t xml:space="preserve">), </w:t>
      </w:r>
      <w:r>
        <w:rPr>
          <w:rtl w:val="true"/>
        </w:rPr>
        <w:t>היה מקום ליתן את מלוא המשקל למסדר זיהוי התמונות ולעדותה של המתלוננת ג</w:t>
      </w:r>
      <w:r>
        <w:rPr>
          <w:rtl w:val="true"/>
        </w:rPr>
        <w:t>.</w:t>
      </w:r>
      <w:r>
        <w:rPr>
          <w:rtl w:val="true"/>
        </w:rPr>
        <w:t>נ בעניין זיהויו של המשיב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להכרעת הדין ציינה דעת המיעוט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ייחודיים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בהודעתה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דעת הרוב</w:t>
      </w:r>
      <w:r>
        <w:rPr>
          <w:rtl w:val="true"/>
        </w:rPr>
        <w:t xml:space="preserve">, </w:t>
      </w:r>
      <w:r>
        <w:rPr>
          <w:rtl w:val="true"/>
        </w:rPr>
        <w:t>שלא חלקה על קיומם של מאפייני זיהוי ייחודיים אלה במשיב</w:t>
      </w:r>
      <w:r>
        <w:rPr>
          <w:rtl w:val="true"/>
        </w:rPr>
        <w:t xml:space="preserve">, </w:t>
      </w:r>
      <w:r>
        <w:rPr>
          <w:rtl w:val="true"/>
        </w:rPr>
        <w:t xml:space="preserve">בחרה להתמודד עימם כאמור תוך הסתכלות על שתי עדויות הזיהוי כעדות אחת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מתחזקים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לטעמי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כשבאותן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בנכונות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המאשימה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ללמוד</w:t>
      </w:r>
      <w:r>
        <w:rPr>
          <w:rtl w:val="true"/>
        </w:rPr>
        <w:t>" (</w:t>
      </w:r>
      <w:r>
        <w:rPr>
          <w:rtl w:val="true"/>
        </w:rPr>
        <w:t>ההדגשה הוספה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). </w:t>
      </w:r>
      <w:r>
        <w:rPr>
          <w:rtl w:val="true"/>
        </w:rPr>
        <w:t>אמרתי כבר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b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והשוני בנסיבות הזיהוי הוא שוני ממשי</w:t>
      </w:r>
      <w:r>
        <w:rPr>
          <w:rtl w:val="true"/>
        </w:rPr>
        <w:t xml:space="preserve">, </w:t>
      </w:r>
      <w:r>
        <w:rPr>
          <w:rtl w:val="true"/>
        </w:rPr>
        <w:t>ומשכך הקשיים עליהם מצביעה דעת הרוב אינם רלוונטיים עוד</w:t>
      </w:r>
      <w:r>
        <w:rPr>
          <w:rtl w:val="true"/>
        </w:rPr>
        <w:t xml:space="preserve">. </w:t>
      </w:r>
      <w:r>
        <w:rPr>
          <w:rtl w:val="true"/>
        </w:rPr>
        <w:t>בחינת עדותה של המתלוננת ג</w:t>
      </w:r>
      <w:r>
        <w:rPr>
          <w:rtl w:val="true"/>
        </w:rPr>
        <w:t>.</w:t>
      </w:r>
      <w:r>
        <w:rPr>
          <w:rtl w:val="true"/>
        </w:rPr>
        <w:t>נ לעצמה</w:t>
      </w:r>
      <w:r>
        <w:rPr>
          <w:rtl w:val="true"/>
        </w:rPr>
        <w:t xml:space="preserve">, </w:t>
      </w:r>
      <w:r>
        <w:rPr>
          <w:rtl w:val="true"/>
        </w:rPr>
        <w:t>כשהיא מחוזקת באותם שני סימני היכר ייחודיים</w:t>
      </w:r>
      <w:r>
        <w:rPr>
          <w:rtl w:val="true"/>
        </w:rPr>
        <w:t xml:space="preserve">, </w:t>
      </w:r>
      <w:r>
        <w:rPr>
          <w:rtl w:val="true"/>
        </w:rPr>
        <w:t>היתה צריכה להוביל את בית המשפט למסקנה בדבר אמינות וודאות הזיהוי שנעשה על ידי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אפיזודת </w:t>
      </w:r>
      <w:r>
        <w:rPr>
          <w:rtl w:val="true"/>
        </w:rPr>
        <w:t>"</w:t>
      </w:r>
      <w:r>
        <w:rPr>
          <w:rtl w:val="true"/>
        </w:rPr>
        <w:t>הזיהוי</w:t>
      </w:r>
      <w:r>
        <w:rPr>
          <w:rtl w:val="true"/>
        </w:rPr>
        <w:t xml:space="preserve">" </w:t>
      </w:r>
      <w:r>
        <w:rPr>
          <w:rtl w:val="true"/>
        </w:rPr>
        <w:t xml:space="preserve">השגוי </w:t>
      </w:r>
      <w:r>
        <w:rPr>
          <w:rtl w:val="true"/>
        </w:rPr>
        <w:t>–</w:t>
      </w:r>
      <w:r>
        <w:rPr>
          <w:rtl w:val="true"/>
        </w:rPr>
        <w:t xml:space="preserve"> האם היא פוגמת בוודאות הזיהוי של 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?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דעת הרוב קבעה כי עצם העובדה שהמתלוננת ג</w:t>
      </w:r>
      <w:r>
        <w:rPr>
          <w:rtl w:val="true"/>
        </w:rPr>
        <w:t>.</w:t>
      </w:r>
      <w:r>
        <w:rPr>
          <w:rtl w:val="true"/>
        </w:rPr>
        <w:t>נ זיהתה שלושה ימים לאחר האירוע אדם שאיננו המשיב כתוקף מחלישה ופוגמת בזיהוי המתלוננת ג</w:t>
      </w:r>
      <w:r>
        <w:rPr>
          <w:rtl w:val="true"/>
        </w:rPr>
        <w:t>.</w:t>
      </w:r>
      <w:r>
        <w:rPr>
          <w:rtl w:val="true"/>
        </w:rPr>
        <w:t>נ את המשיב</w:t>
      </w:r>
      <w:r>
        <w:rPr>
          <w:rtl w:val="true"/>
        </w:rPr>
        <w:t xml:space="preserve">, </w:t>
      </w:r>
      <w:r>
        <w:rPr>
          <w:rtl w:val="true"/>
        </w:rPr>
        <w:t xml:space="preserve">וכדברי בית המשפט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זיהתה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דעת המיעוט סברה</w:t>
      </w:r>
      <w:r>
        <w:rPr>
          <w:rtl w:val="true"/>
        </w:rPr>
        <w:t xml:space="preserve">, </w:t>
      </w:r>
      <w:r>
        <w:rPr>
          <w:rtl w:val="true"/>
        </w:rPr>
        <w:t>כי אין באפיזודה זו כדי להחליש ולפגוע בוודאות הזיהוי והנמקותיה מקובלות עליי</w:t>
      </w:r>
      <w:r>
        <w:rPr>
          <w:rtl w:val="true"/>
        </w:rPr>
        <w:t xml:space="preserve">. </w:t>
      </w:r>
      <w:r>
        <w:rPr>
          <w:rtl w:val="true"/>
        </w:rPr>
        <w:t>אמנה אותן בתמצית</w:t>
      </w:r>
      <w:r>
        <w:rPr>
          <w:rtl w:val="true"/>
        </w:rPr>
        <w:t xml:space="preserve">. </w:t>
      </w:r>
      <w:r>
        <w:rPr>
          <w:rtl w:val="true"/>
        </w:rPr>
        <w:t>שלושה ימים לאחר האירוע הטראומטי שעברה ג</w:t>
      </w:r>
      <w:r>
        <w:rPr>
          <w:rtl w:val="true"/>
        </w:rPr>
        <w:t>.</w:t>
      </w:r>
      <w:r>
        <w:rPr>
          <w:rtl w:val="true"/>
        </w:rPr>
        <w:t>נ וכשהלכה ברחוב</w:t>
      </w:r>
      <w:r>
        <w:rPr>
          <w:rtl w:val="true"/>
        </w:rPr>
        <w:t xml:space="preserve">, </w:t>
      </w:r>
      <w:r>
        <w:rPr>
          <w:rtl w:val="true"/>
        </w:rPr>
        <w:t>ראתה ג</w:t>
      </w:r>
      <w:r>
        <w:rPr>
          <w:rtl w:val="true"/>
        </w:rPr>
        <w:t>.</w:t>
      </w:r>
      <w:r>
        <w:rPr>
          <w:rtl w:val="true"/>
        </w:rPr>
        <w:t>נ אדם זר שגבו מופנה אליה</w:t>
      </w:r>
      <w:r>
        <w:rPr>
          <w:rtl w:val="true"/>
        </w:rPr>
        <w:t xml:space="preserve">. </w:t>
      </w:r>
      <w:r>
        <w:rPr>
          <w:rtl w:val="true"/>
        </w:rPr>
        <w:t>אותו אדם זר לבש קפוצ</w:t>
      </w:r>
      <w:r>
        <w:rPr>
          <w:rtl w:val="true"/>
        </w:rPr>
        <w:t>'</w:t>
      </w:r>
      <w:r>
        <w:rPr>
          <w:rtl w:val="true"/>
        </w:rPr>
        <w:t xml:space="preserve">ון והתהלך </w:t>
      </w:r>
      <w:r>
        <w:rPr>
          <w:rtl w:val="true"/>
        </w:rPr>
        <w:t>"</w:t>
      </w:r>
      <w:r>
        <w:rPr>
          <w:rtl w:val="true"/>
        </w:rPr>
        <w:t>בצורה מוזרה</w:t>
      </w:r>
      <w:r>
        <w:rPr>
          <w:rtl w:val="true"/>
        </w:rPr>
        <w:t xml:space="preserve">". </w:t>
      </w:r>
      <w:r>
        <w:rPr>
          <w:rtl w:val="true"/>
        </w:rPr>
        <w:t>פריטי לבושו של החשוד ואופן הליכתו הזכירו לג</w:t>
      </w:r>
      <w:r>
        <w:rPr>
          <w:rtl w:val="true"/>
        </w:rPr>
        <w:t>.</w:t>
      </w:r>
      <w:r>
        <w:rPr>
          <w:rtl w:val="true"/>
        </w:rPr>
        <w:t>נ את הצליעה שאפיינה את הליכת המשיב ואת הטרנינג שלבש המשיב</w:t>
      </w:r>
      <w:r>
        <w:rPr>
          <w:rtl w:val="true"/>
        </w:rPr>
        <w:t xml:space="preserve">, </w:t>
      </w:r>
      <w:r>
        <w:rPr>
          <w:rtl w:val="true"/>
        </w:rPr>
        <w:t>מה שהביא אותה להתקשר למשטרה לאחר שחשדה כי מדובר במי שתקף אותה שלושה ימים לפני כן</w:t>
      </w:r>
      <w:r>
        <w:rPr>
          <w:rtl w:val="true"/>
        </w:rPr>
        <w:t xml:space="preserve">. </w:t>
      </w:r>
      <w:r>
        <w:rPr>
          <w:rtl w:val="true"/>
        </w:rPr>
        <w:t>יצוין כי המתלוננת ג</w:t>
      </w:r>
      <w:r>
        <w:rPr>
          <w:rtl w:val="true"/>
        </w:rPr>
        <w:t>.</w:t>
      </w:r>
      <w:r>
        <w:rPr>
          <w:rtl w:val="true"/>
        </w:rPr>
        <w:t>נ לא ראתה את פניו של אותו אדם זר</w:t>
      </w:r>
      <w:r>
        <w:rPr>
          <w:rtl w:val="true"/>
        </w:rPr>
        <w:t xml:space="preserve">, </w:t>
      </w:r>
      <w:r>
        <w:rPr>
          <w:rtl w:val="true"/>
        </w:rPr>
        <w:t>כפי שציין הנשיא אלרון בחוות דעתו ולאחר האזנה לשיחתה של ג</w:t>
      </w:r>
      <w:r>
        <w:rPr>
          <w:rtl w:val="true"/>
        </w:rPr>
        <w:t>.</w:t>
      </w:r>
      <w:r>
        <w:rPr>
          <w:rtl w:val="true"/>
        </w:rPr>
        <w:t xml:space="preserve">נ למוקד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הצלחתי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שמחפשים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ההדגשה הוספה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). </w:t>
      </w:r>
      <w:r>
        <w:rPr>
          <w:rtl w:val="true"/>
        </w:rPr>
        <w:t>כעולה מהדיווח המידי של ג</w:t>
      </w:r>
      <w:r>
        <w:rPr>
          <w:rtl w:val="true"/>
        </w:rPr>
        <w:t>.</w:t>
      </w:r>
      <w:r>
        <w:rPr>
          <w:rtl w:val="true"/>
        </w:rPr>
        <w:t>נ למשטרה</w:t>
      </w:r>
      <w:r>
        <w:rPr>
          <w:rtl w:val="true"/>
        </w:rPr>
        <w:t xml:space="preserve">, </w:t>
      </w:r>
      <w:r>
        <w:rPr>
          <w:rtl w:val="true"/>
        </w:rPr>
        <w:t>אין היא מוסרת שהיא מזהה את האדם שתקף אותה</w:t>
      </w:r>
      <w:r>
        <w:rPr>
          <w:rtl w:val="true"/>
        </w:rPr>
        <w:t xml:space="preserve">, </w:t>
      </w:r>
      <w:r>
        <w:rPr>
          <w:rtl w:val="true"/>
        </w:rPr>
        <w:t xml:space="preserve">אלא היא מזהה חשוד שנראה 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tl w:val="true"/>
        </w:rPr>
        <w:t xml:space="preserve"> האדם שתקף אותה</w:t>
      </w:r>
      <w:r>
        <w:rPr>
          <w:rtl w:val="true"/>
        </w:rPr>
        <w:t xml:space="preserve">. </w:t>
      </w:r>
      <w:r>
        <w:rPr>
          <w:rtl w:val="true"/>
        </w:rPr>
        <w:t>די בתיאור דיווח אותנטי זה כדי להפריך את הטענה כי המתלוננת ג</w:t>
      </w:r>
      <w:r>
        <w:rPr>
          <w:rtl w:val="true"/>
        </w:rPr>
        <w:t>.</w:t>
      </w:r>
      <w:r>
        <w:rPr>
          <w:rtl w:val="true"/>
        </w:rPr>
        <w:t xml:space="preserve">נ </w:t>
      </w:r>
      <w:r>
        <w:rPr>
          <w:rtl w:val="true"/>
        </w:rPr>
        <w:t>"</w:t>
      </w:r>
      <w:r>
        <w:rPr>
          <w:rtl w:val="true"/>
        </w:rPr>
        <w:t>זיהתה</w:t>
      </w:r>
      <w:r>
        <w:rPr>
          <w:rtl w:val="true"/>
        </w:rPr>
        <w:t xml:space="preserve">" </w:t>
      </w:r>
      <w:r>
        <w:rPr>
          <w:rtl w:val="true"/>
        </w:rPr>
        <w:t>את התוקף</w:t>
      </w:r>
      <w:r>
        <w:rPr>
          <w:rtl w:val="true"/>
        </w:rPr>
        <w:t xml:space="preserve">, </w:t>
      </w:r>
      <w:r>
        <w:rPr>
          <w:rtl w:val="true"/>
        </w:rPr>
        <w:t>כך שאין לסמוך על עדות הזיהוי שלה</w:t>
      </w:r>
      <w:r>
        <w:rPr>
          <w:rtl w:val="true"/>
        </w:rPr>
        <w:t xml:space="preserve">. </w:t>
      </w:r>
      <w:r>
        <w:rPr>
          <w:rtl w:val="true"/>
        </w:rPr>
        <w:t>כאן המקום להזכיר</w:t>
      </w:r>
      <w:r>
        <w:rPr>
          <w:rtl w:val="true"/>
        </w:rPr>
        <w:t xml:space="preserve">, </w:t>
      </w:r>
      <w:r>
        <w:rPr>
          <w:rtl w:val="true"/>
        </w:rPr>
        <w:t>כי המתלוננת ג</w:t>
      </w:r>
      <w:r>
        <w:rPr>
          <w:rtl w:val="true"/>
        </w:rPr>
        <w:t>.</w:t>
      </w:r>
      <w:r>
        <w:rPr>
          <w:rtl w:val="true"/>
        </w:rPr>
        <w:t>נ במסדר זיהוי התמונות שנעשה לה</w:t>
      </w:r>
      <w:r>
        <w:rPr>
          <w:rtl w:val="true"/>
        </w:rPr>
        <w:t xml:space="preserve">, </w:t>
      </w:r>
      <w:r>
        <w:rPr>
          <w:rtl w:val="true"/>
        </w:rPr>
        <w:t>זיהתה את המשיב על פי מראה פניו ולא על פי מבנה גופו</w:t>
      </w:r>
      <w:r>
        <w:rPr>
          <w:rtl w:val="true"/>
        </w:rPr>
        <w:t xml:space="preserve">, </w:t>
      </w:r>
      <w:r>
        <w:rPr>
          <w:rtl w:val="true"/>
        </w:rPr>
        <w:t>הליכתו או צליעתו</w:t>
      </w:r>
      <w:r>
        <w:rPr>
          <w:rtl w:val="true"/>
        </w:rPr>
        <w:t xml:space="preserve">. </w:t>
      </w:r>
      <w:r>
        <w:rPr>
          <w:rtl w:val="true"/>
        </w:rPr>
        <w:t xml:space="preserve">במילים אחרות </w:t>
      </w:r>
      <w:r>
        <w:rPr>
          <w:rtl w:val="true"/>
        </w:rPr>
        <w:t>–</w:t>
      </w:r>
      <w:r>
        <w:rPr>
          <w:rtl w:val="true"/>
        </w:rPr>
        <w:t xml:space="preserve"> זימון המשטרה על ידי ג</w:t>
      </w:r>
      <w:r>
        <w:rPr>
          <w:rtl w:val="true"/>
        </w:rPr>
        <w:t>.</w:t>
      </w:r>
      <w:r>
        <w:rPr>
          <w:rtl w:val="true"/>
        </w:rPr>
        <w:t>נ באותה הזדמנות נעשה על רקע חשדה כי מדובר במי שתקף אותה בשל מבנה גופו</w:t>
      </w:r>
      <w:r>
        <w:rPr>
          <w:rtl w:val="true"/>
        </w:rPr>
        <w:t xml:space="preserve">, </w:t>
      </w:r>
      <w:r>
        <w:rPr>
          <w:rtl w:val="true"/>
        </w:rPr>
        <w:t>הליכתו ופרטי לבושו של אותו אדם</w:t>
      </w:r>
      <w:r>
        <w:rPr>
          <w:rtl w:val="true"/>
        </w:rPr>
        <w:t xml:space="preserve">, </w:t>
      </w:r>
      <w:r>
        <w:rPr>
          <w:rtl w:val="true"/>
        </w:rPr>
        <w:t>ולא משום שהבחינה במראה פניו</w:t>
      </w:r>
      <w:r>
        <w:rPr>
          <w:rtl w:val="true"/>
        </w:rPr>
        <w:t xml:space="preserve">. </w:t>
      </w:r>
      <w:r>
        <w:rPr>
          <w:rtl w:val="true"/>
        </w:rPr>
        <w:t>ניתן להבין את הלחץ והפחד בהם היתה נתונה ג</w:t>
      </w:r>
      <w:r>
        <w:rPr>
          <w:rtl w:val="true"/>
        </w:rPr>
        <w:t>.</w:t>
      </w:r>
      <w:r>
        <w:rPr>
          <w:rtl w:val="true"/>
        </w:rPr>
        <w:t>נ ששלושה ימים קודם לכן הותקפה באכזריות על ידי אדם זר</w:t>
      </w:r>
      <w:r>
        <w:rPr>
          <w:rtl w:val="true"/>
        </w:rPr>
        <w:t xml:space="preserve">, </w:t>
      </w:r>
      <w:r>
        <w:rPr>
          <w:rtl w:val="true"/>
        </w:rPr>
        <w:t>שפגע בה פגיעה קשה</w:t>
      </w:r>
      <w:r>
        <w:rPr>
          <w:rtl w:val="true"/>
        </w:rPr>
        <w:t xml:space="preserve">, </w:t>
      </w:r>
      <w:r>
        <w:rPr>
          <w:rtl w:val="true"/>
        </w:rPr>
        <w:t>כשעל רקע חששות אלה היא מתקשרת למשטרה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אין באפיזודת </w:t>
      </w:r>
      <w:r>
        <w:rPr>
          <w:rtl w:val="true"/>
        </w:rPr>
        <w:t>"</w:t>
      </w:r>
      <w:r>
        <w:rPr>
          <w:rtl w:val="true"/>
        </w:rPr>
        <w:t>הזיהוי השגוי</w:t>
      </w:r>
      <w:r>
        <w:rPr>
          <w:rtl w:val="true"/>
        </w:rPr>
        <w:t xml:space="preserve">" </w:t>
      </w:r>
      <w:r>
        <w:rPr>
          <w:rtl w:val="true"/>
        </w:rPr>
        <w:t>כדי לפגום בזיהוי המתלוננת ג</w:t>
      </w:r>
      <w:r>
        <w:rPr>
          <w:rtl w:val="true"/>
        </w:rPr>
        <w:t>.</w:t>
      </w:r>
      <w:r>
        <w:rPr>
          <w:rtl w:val="true"/>
        </w:rPr>
        <w:t>נ ולהמעיט ממשקלו של הזיהוי הוודאי אותו מסרה המתלוננת ג</w:t>
      </w:r>
      <w:r>
        <w:rPr>
          <w:rtl w:val="true"/>
        </w:rPr>
        <w:t>.</w:t>
      </w:r>
      <w:r>
        <w:rPr>
          <w:rtl w:val="true"/>
        </w:rPr>
        <w:t>נ הן במהלך מסדר התמונות והן במהלך עדותה בבית המשפט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 הערעור על ההרשעה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ערעור המדינה ולהרשיע את המשיב בביצוע העבירה של 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המיוחסת לו באישום השלישי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>כי אין זה מדרכה של ערכאת הערעור להתערב בעונש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אם העונש אותו גזרה סוטה באופן מהותי ממדיניות הענישה הראויה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מתקיימות נסיבות מיוחדות המצדיקות זאת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3669/14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20</w:t>
      </w:r>
      <w:r>
        <w:rPr>
          <w:rtl w:val="true"/>
        </w:rPr>
        <w:t xml:space="preserve"> (</w:t>
      </w:r>
      <w:r>
        <w:rPr>
          <w:rFonts w:cs="Times New Roman" w:ascii="Times New Roman" w:hAnsi="Times New Roman"/>
          <w:rtl w:val="true"/>
        </w:rPr>
        <w:t>‏</w:t>
      </w:r>
      <w:r>
        <w:rPr/>
        <w:t>18.12.2016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 xml:space="preserve"> (</w:t>
      </w:r>
      <w:r>
        <w:rPr>
          <w:rFonts w:cs="Times New Roman" w:ascii="Times New Roman" w:hAnsi="Times New Roman"/>
          <w:rtl w:val="true"/>
        </w:rPr>
        <w:t>‏</w:t>
      </w:r>
      <w:r>
        <w:rPr/>
        <w:t>14.11.2017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 xml:space="preserve">,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צווארה</w:t>
      </w:r>
      <w:r>
        <w:rPr>
          <w:rtl w:val="true"/>
        </w:rPr>
        <w:t xml:space="preserve">, </w:t>
      </w:r>
      <w:r>
        <w:rPr>
          <w:rtl w:val="true"/>
        </w:rPr>
        <w:t>אצבעותיה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וחזה</w:t>
      </w:r>
      <w:r>
        <w:rPr>
          <w:rtl w:val="true"/>
        </w:rPr>
        <w:t xml:space="preserve">.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</w:t>
      </w:r>
      <w:r>
        <w:rPr>
          <w:rtl w:val="true"/>
        </w:rPr>
        <w:t xml:space="preserve">, </w:t>
      </w:r>
      <w:r>
        <w:rPr>
          <w:rtl w:val="true"/>
        </w:rPr>
        <w:t>כשהמשיב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מתבגרת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בתולה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מצולקת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עצובה</w:t>
      </w:r>
      <w:r>
        <w:rPr>
          <w:rtl w:val="true"/>
        </w:rPr>
        <w:t xml:space="preserve">, </w:t>
      </w:r>
      <w:r>
        <w:rPr>
          <w:rtl w:val="true"/>
        </w:rPr>
        <w:t>מופנמת</w:t>
      </w:r>
      <w:r>
        <w:rPr>
          <w:rtl w:val="true"/>
        </w:rPr>
        <w:t xml:space="preserve">, </w:t>
      </w:r>
      <w:r>
        <w:rPr>
          <w:rtl w:val="true"/>
        </w:rPr>
        <w:t>מסוגרת</w:t>
      </w:r>
      <w:r>
        <w:rPr>
          <w:rtl w:val="true"/>
        </w:rPr>
        <w:t xml:space="preserve">, </w:t>
      </w:r>
      <w:r>
        <w:rPr>
          <w:rtl w:val="true"/>
        </w:rPr>
        <w:t>כבויה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מיואשת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מהאחר</w:t>
      </w:r>
      <w:r>
        <w:rPr>
          <w:rtl w:val="true"/>
        </w:rPr>
        <w:t xml:space="preserve">, </w:t>
      </w:r>
      <w:r>
        <w:rPr>
          <w:rtl w:val="true"/>
        </w:rPr>
        <w:t>מסביבתה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והיריון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מוקדים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בפציעות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שהשחיתו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להסתרה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נזקי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ומפריעים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ומסייע</w:t>
      </w:r>
      <w:r>
        <w:rPr>
          <w:rtl w:val="true"/>
        </w:rPr>
        <w:t xml:space="preserve">, </w:t>
      </w:r>
      <w:r>
        <w:rPr>
          <w:rtl w:val="true"/>
        </w:rPr>
        <w:t>מעצים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קשייה</w:t>
      </w:r>
      <w:r>
        <w:rPr>
          <w:rtl w:val="true"/>
        </w:rPr>
        <w:t xml:space="preserve">".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7066/04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17.1.2005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מדמה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במקרא</w:t>
      </w:r>
      <w:r>
        <w:rPr>
          <w:rtl w:val="true"/>
        </w:rPr>
        <w:t xml:space="preserve">, </w:t>
      </w:r>
      <w:r>
        <w:rPr>
          <w:rtl w:val="true"/>
        </w:rPr>
        <w:t>שהאונס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כרוצח</w:t>
      </w:r>
      <w:r>
        <w:rPr>
          <w:rtl w:val="true"/>
        </w:rPr>
        <w:t>: '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' (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); '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, </w:t>
      </w:r>
      <w:r>
        <w:rPr>
          <w:rtl w:val="true"/>
        </w:rPr>
        <w:t>שהאינוס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משאמרתי את שאמרתי</w:t>
      </w:r>
      <w:r>
        <w:rPr>
          <w:rtl w:val="true"/>
        </w:rPr>
        <w:t xml:space="preserve">, </w:t>
      </w:r>
      <w:r>
        <w:rPr>
          <w:rtl w:val="true"/>
        </w:rPr>
        <w:t>דומה כי אין מקום להכביר במילים על דחיית ערעורו של המשיב על חומרת עונשו</w:t>
      </w:r>
      <w:r>
        <w:rPr>
          <w:rtl w:val="true"/>
        </w:rPr>
        <w:t xml:space="preserve">, </w:t>
      </w:r>
      <w:r>
        <w:rPr>
          <w:rtl w:val="true"/>
        </w:rPr>
        <w:t>משהנימוקים לכך עולים מיניה וביה מנימוקי קבלת ערעור המדינה על קולת עונשו</w:t>
      </w:r>
      <w:r>
        <w:rPr>
          <w:rtl w:val="true"/>
        </w:rPr>
        <w:t xml:space="preserve">. </w:t>
      </w:r>
      <w:r>
        <w:rPr>
          <w:rtl w:val="true"/>
        </w:rPr>
        <w:t>על אף גילו הצעיר והיעדר עבר פלילי</w:t>
      </w:r>
      <w:r>
        <w:rPr>
          <w:rtl w:val="true"/>
        </w:rPr>
        <w:t xml:space="preserve">, </w:t>
      </w:r>
      <w:r>
        <w:rPr>
          <w:rtl w:val="true"/>
        </w:rPr>
        <w:t>עניין לנו בעבריין מין מסוכן ואלים שיש להרחיקו מחברת אדם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שהותירה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הרחקתו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ע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פוגלמן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מ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מזוז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eastAsia="Century" w:cs="Century" w:ascii="Century" w:hAnsi="Century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בחשון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ט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14.10.2018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color w:val="FFFFFF"/>
          <w:sz w:val="2"/>
          <w:szCs w:val="2"/>
        </w:rPr>
      </w:pPr>
      <w:bookmarkStart w:id="16" w:name="Start_Write"/>
      <w:bookmarkEnd w:id="16"/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17004450</w:t>
      </w:r>
      <w:r>
        <w:rPr>
          <w:sz w:val="16"/>
          <w:rtl w:val="true"/>
        </w:rPr>
        <w:t>_</w:t>
      </w:r>
      <w:r>
        <w:rPr>
          <w:sz w:val="16"/>
        </w:rPr>
        <w:t>Q07.doc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פוגלמן </w:t>
      </w:r>
      <w:r>
        <w:rPr>
          <w:rFonts w:cs="David;Times New Roman" w:ascii="David;Times New Roman" w:hAnsi="David;Times New Roman"/>
          <w:color w:val="000000"/>
          <w:szCs w:val="22"/>
        </w:rPr>
        <w:t>54678313-445/17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445/17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דניס טרטיאקוב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0114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2.3.4" TargetMode="External"/><Relationship Id="rId8" Type="http://schemas.openxmlformats.org/officeDocument/2006/relationships/hyperlink" Target="http://www.nevo.co.il/law/70301/374a" TargetMode="External"/><Relationship Id="rId9" Type="http://schemas.openxmlformats.org/officeDocument/2006/relationships/hyperlink" Target="http://www.nevo.co.il/law/70301/377" TargetMode="External"/><Relationship Id="rId10" Type="http://schemas.openxmlformats.org/officeDocument/2006/relationships/hyperlink" Target="http://www.nevo.co.il/law/70301/377a.a.7" TargetMode="External"/><Relationship Id="rId11" Type="http://schemas.openxmlformats.org/officeDocument/2006/relationships/hyperlink" Target="http://www.nevo.co.il/law/70301/377a.b" TargetMode="External"/><Relationship Id="rId12" Type="http://schemas.openxmlformats.org/officeDocument/2006/relationships/hyperlink" Target="http://www.nevo.co.il/law/70301/405.a." TargetMode="External"/><Relationship Id="rId13" Type="http://schemas.openxmlformats.org/officeDocument/2006/relationships/hyperlink" Target="http://www.nevo.co.il/law/70301/405.b" TargetMode="External"/><Relationship Id="rId14" Type="http://schemas.openxmlformats.org/officeDocument/2006/relationships/hyperlink" Target="http://www.nevo.co.il/law/70301/405.c." TargetMode="External"/><Relationship Id="rId15" Type="http://schemas.openxmlformats.org/officeDocument/2006/relationships/hyperlink" Target="http://www.nevo.co.il/law/70301/407.b" TargetMode="External"/><Relationship Id="rId16" Type="http://schemas.openxmlformats.org/officeDocument/2006/relationships/hyperlink" Target="http://www.nevo.co.il/law/70301/408" TargetMode="External"/><Relationship Id="rId17" Type="http://schemas.openxmlformats.org/officeDocument/2006/relationships/hyperlink" Target="http://www.nevo.co.il/case/22303412" TargetMode="External"/><Relationship Id="rId18" Type="http://schemas.openxmlformats.org/officeDocument/2006/relationships/hyperlink" Target="http://www.nevo.co.il/case/20601145" TargetMode="External"/><Relationship Id="rId19" Type="http://schemas.openxmlformats.org/officeDocument/2006/relationships/hyperlink" Target="http://www.nevo.co.il/law/70301/374a" TargetMode="External"/><Relationship Id="rId20" Type="http://schemas.openxmlformats.org/officeDocument/2006/relationships/hyperlink" Target="http://www.nevo.co.il/law/70301/377a.a.7" TargetMode="External"/><Relationship Id="rId21" Type="http://schemas.openxmlformats.org/officeDocument/2006/relationships/hyperlink" Target="http://www.nevo.co.il/law/70301/345.b.2.3.4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377a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77" TargetMode="External"/><Relationship Id="rId26" Type="http://schemas.openxmlformats.org/officeDocument/2006/relationships/hyperlink" Target="http://www.nevo.co.il/law/70301/345.b.2.3.4" TargetMode="External"/><Relationship Id="rId27" Type="http://schemas.openxmlformats.org/officeDocument/2006/relationships/hyperlink" Target="http://www.nevo.co.il/law/70301/345.a.1" TargetMode="External"/><Relationship Id="rId28" Type="http://schemas.openxmlformats.org/officeDocument/2006/relationships/hyperlink" Target="http://www.nevo.co.il/law/70301/333" TargetMode="External"/><Relationship Id="rId29" Type="http://schemas.openxmlformats.org/officeDocument/2006/relationships/hyperlink" Target="http://www.nevo.co.il/law/70301/335.a.1" TargetMode="External"/><Relationship Id="rId30" Type="http://schemas.openxmlformats.org/officeDocument/2006/relationships/hyperlink" Target="http://www.nevo.co.il/law/70301/405.a.;405.c.;405.b" TargetMode="External"/><Relationship Id="rId31" Type="http://schemas.openxmlformats.org/officeDocument/2006/relationships/hyperlink" Target="http://www.nevo.co.il/law/70301/407.b" TargetMode="External"/><Relationship Id="rId32" Type="http://schemas.openxmlformats.org/officeDocument/2006/relationships/hyperlink" Target="http://www.nevo.co.il/law/70301/408" TargetMode="External"/><Relationship Id="rId33" Type="http://schemas.openxmlformats.org/officeDocument/2006/relationships/hyperlink" Target="http://www.nevo.co.il/case/16968058" TargetMode="External"/><Relationship Id="rId34" Type="http://schemas.openxmlformats.org/officeDocument/2006/relationships/hyperlink" Target="http://www.nevo.co.il/case/21477135" TargetMode="External"/><Relationship Id="rId35" Type="http://schemas.openxmlformats.org/officeDocument/2006/relationships/hyperlink" Target="http://www.nevo.co.il/case/377387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2018-10-15T11:41:00Z</dcterms:created>
  <dc:creator> </dc:creator>
  <dc:description/>
  <cp:keywords/>
  <dc:language>en-IL</dc:language>
  <cp:lastModifiedBy>orly</cp:lastModifiedBy>
  <cp:lastPrinted>2018-10-09T14:49:00Z</cp:lastPrinted>
  <dcterms:modified xsi:type="dcterms:W3CDTF">2018-10-15T11:41:00Z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דניס טרטיאקוב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20601145:2;16968058;21477135;377387</vt:lpwstr>
  </property>
  <property fmtid="{D5CDD505-2E9C-101B-9397-08002B2CF9AE}" pid="9" name="CITY">
    <vt:lpwstr/>
  </property>
  <property fmtid="{D5CDD505-2E9C-101B-9397-08002B2CF9AE}" pid="10" name="DATE">
    <vt:lpwstr>20181014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מזוז;ג' קרא</vt:lpwstr>
  </property>
  <property fmtid="{D5CDD505-2E9C-101B-9397-08002B2CF9AE}" pid="14" name="LAWLISTTMP1">
    <vt:lpwstr>70301/374a;377a.a.7;345.b.2.3.4:2;345.a.1:2;377a.b;377;333;335.a.1;405.a;405.c;405.b;407.b;408</vt:lpwstr>
  </property>
  <property fmtid="{D5CDD505-2E9C-101B-9397-08002B2CF9AE}" pid="15" name="LAWYER">
    <vt:lpwstr>תמר אולמן;תמר פרוש;מיטל חן רוזנפלד;פמלה בנימין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ראיות</vt:lpwstr>
  </property>
  <property fmtid="{D5CDD505-2E9C-101B-9397-08002B2CF9AE}" pid="27" name="NOSE110">
    <vt:lpwstr/>
  </property>
  <property fmtid="{D5CDD505-2E9C-101B-9397-08002B2CF9AE}" pid="28" name="NOSE12">
    <vt:lpwstr>ראיות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89;89;77</vt:lpwstr>
  </property>
  <property fmtid="{D5CDD505-2E9C-101B-9397-08002B2CF9AE}" pid="37" name="NOSE21">
    <vt:lpwstr>זיהוי</vt:lpwstr>
  </property>
  <property fmtid="{D5CDD505-2E9C-101B-9397-08002B2CF9AE}" pid="38" name="NOSE210">
    <vt:lpwstr/>
  </property>
  <property fmtid="{D5CDD505-2E9C-101B-9397-08002B2CF9AE}" pid="39" name="NOSE22">
    <vt:lpwstr>עדות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1625;1654;1446</vt:lpwstr>
  </property>
  <property fmtid="{D5CDD505-2E9C-101B-9397-08002B2CF9AE}" pid="48" name="NOSE31">
    <vt:lpwstr>הרשעה על-פיו</vt:lpwstr>
  </property>
  <property fmtid="{D5CDD505-2E9C-101B-9397-08002B2CF9AE}" pid="49" name="NOSE310">
    <vt:lpwstr/>
  </property>
  <property fmtid="{D5CDD505-2E9C-101B-9397-08002B2CF9AE}" pid="50" name="NOSE32">
    <vt:lpwstr>בחינתה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10098;10385;8995</vt:lpwstr>
  </property>
  <property fmtid="{D5CDD505-2E9C-101B-9397-08002B2CF9AE}" pid="59" name="PADIDATE">
    <vt:lpwstr>20181015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445;6351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410120181014</vt:lpwstr>
  </property>
  <property fmtid="{D5CDD505-2E9C-101B-9397-08002B2CF9AE}" pid="69" name="TYPE_N_DATE">
    <vt:lpwstr>41020181014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