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4450/18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  <w:gridCol w:w="5527"/>
      </w:tblGrid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  <w:gridCol w:w="5527"/>
      </w:tblGrid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כאמל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  <w:gridCol w:w="5526"/>
      </w:tblGrid>
      <w:tr>
        <w:trPr/>
        <w:tc>
          <w:tcPr>
            <w:tcW w:w="28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5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  <w:gridCol w:w="5527"/>
      </w:tblGrid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 -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עבירה</w:t>
            </w:r>
          </w:p>
        </w:tc>
      </w:tr>
      <w:tr>
        <w:trPr>
          <w:trHeight w:val="287" w:hRule="atLeast"/>
        </w:trPr>
        <w:tc>
          <w:tcPr>
            <w:tcW w:w="28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5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528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28"/>
      </w:tblGrid>
      <w:tr>
        <w:trPr/>
        <w:tc>
          <w:tcPr>
            <w:tcW w:w="552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33209-08-16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  <w:gridCol w:w="2816"/>
        <w:gridCol w:w="2710"/>
      </w:tblGrid>
      <w:tr>
        <w:trPr/>
        <w:tc>
          <w:tcPr>
            <w:tcW w:w="283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8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01.03.2020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  <w:gridCol w:w="5526"/>
      </w:tblGrid>
      <w:tr>
        <w:trPr/>
        <w:tc>
          <w:tcPr>
            <w:tcW w:w="283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:</w:t>
            </w:r>
          </w:p>
        </w:tc>
        <w:tc>
          <w:tcPr>
            <w:tcW w:w="55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סביחאת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שבתאי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מדר</w:t>
            </w:r>
          </w:p>
        </w:tc>
      </w:tr>
      <w:tr>
        <w:trPr/>
        <w:tc>
          <w:tcPr>
            <w:tcW w:w="283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5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62.8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</w:rPr>
          <w:t>21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21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169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מי שנוהג במשאית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מפלצת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בשעת לילה מאוחרת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כשהוא מעיד על עצמו שהוא נזקק לסמים מדי 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מציב את עצמו ברף הגבוה של הענישה נוכח התוצאות הקשות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 הרוגים ושני פצועים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הרף הגבוה של הענישה במקרה של המערער מוצדק גם נוכח עברו הפלילי המכביד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מדיניות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חצה צומת באור אדום כשהוא נוהג במשאית במשקל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טון במהירות של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וכשהוא תחת השפעת הרואין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המשאית התנגשה במכונית פרטית שחצתה את הצומת באור ירוק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וכתוצאה מכך נהרגו שלוש מנוסעות המכונית וכן נפצעו קשה הנהג והנוסע שישב לידו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הורשע לאחר שמיעת ראיות בשלוש עבירות של הריגה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298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בנוסחו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 לתיקו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תיקון 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הרפורמה בעבירות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 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חציית צומת באור אדום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ובעבירה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גרימת חבלה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פסילה לצמיתות של רישיון הנהיגה ופיצוי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240,000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לעזבונות המנוחות </w:t>
      </w:r>
      <w:r>
        <w:rPr>
          <w:rFonts w:cs="Times New Roman" w:ascii="Times New Roman" w:hAnsi="Times New Roman"/>
          <w:spacing w:val="0"/>
          <w:sz w:val="24"/>
          <w:szCs w:val="26"/>
        </w:rPr>
        <w:t>3-2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הן על ההרשעה והן 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כשלעניין ההרשעה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התמקד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בסוגיה של נהיגה 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 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נמצא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 בטענה הנוגעת לשרשרת העברת דגימות הדם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עומד על ראיות מצטברות נוספות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בהם התרשמות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שוטרים וחוקרים שפגשו את המערער לאחר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הודאתו של המערער עצו בפני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רופאי השב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הוא משתמש בסמים מידי שעה וכי השתמש בסם לפני מעצרו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 עד מאוד 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מסקנת חוות הדעת כי המערער היה תחת השפעת סמים בעת התאונה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לבסוף הוזכרו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שקריו הבוטים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קיצורו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בערעור על הכרעת הדין דבר וחצי דבר שיש בו כדי להצדיק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יש להחיל עליו את תיקון 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הקובע עונש מאסר של עד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בגין עבירת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הטענה להידחות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קביעתו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בדבר היסוד הנפשי של המערער בעת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חצה צומת באור אדום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שניות לאחר שהרמזור התחלף לאדום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במהירות גבוהה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בשעת 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המערער עייף וכמעט נרדם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במשאית כבדה במשקל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סימני בלימה לאחר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כי יש לראותו כמי שגילה אדישות ושוויון נפש לאפשרות של התרחשות תאונה 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תיקון 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מקל עם המערער ואין מקום להחילו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משרעת הענישה בעבירות הריגה בתאונות דרכים היא רחבה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 הוא על הרף הגבוה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וניתן למצוא פסקי דין בהם נגזרו עונשים מתונים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מוצא לאבחן מקרים אלו מענייננו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מי שנוהג במשאית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מפלצת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בשעת לילה מאוחרת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כשהוא מעיד על עצמו שהוא נזקק לסמים מדי 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מציב את עצמו ברף הגבוה של הענישה נוכח התוצאות הקשות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 הרוגים ושני פצועים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הרף הגבוה של הענישה במקרה של המערער מוצדק גם נוכח עברו הפלילי המכביד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הרשעות קודמות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 בגין עבירות סמים וכ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בתחום התעבורה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לערעור על גובה הפיצוי שהושת על המערער לטובת עזבונות המנוחות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 כלכלי של נאשם אינו עילה להפחתת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וטוב היה לערעור בנושא זה משלא הוגש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בנוסחו </w:t>
      </w:r>
      <w:r>
        <w:rPr>
          <w:rFonts w:ascii="FrankRuehl" w:hAnsi="FrankRuehl"/>
          <w:color w:val="000000"/>
          <w:sz w:val="28"/>
          <w:sz w:val="28"/>
          <w:rtl w:val="true"/>
        </w:rPr>
        <w:t>עובר לתיקו</w:t>
      </w:r>
      <w:r>
        <w:rPr>
          <w:rFonts w:ascii="FrankRuehl" w:hAnsi="FrankRuehl"/>
          <w:color w:val="000000"/>
          <w:sz w:val="28"/>
          <w:sz w:val="28"/>
          <w:rtl w:val="true"/>
        </w:rPr>
        <w:t>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חוק העונשין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137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/>
          <w:color w:val="000000"/>
          <w:sz w:val="28"/>
          <w:sz w:val="28"/>
          <w:rtl w:val="true"/>
        </w:rPr>
        <w:t>התשע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ט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tl w:val="true"/>
        </w:rPr>
        <w:t>) (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);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 </w:t>
      </w:r>
      <w:hyperlink r:id="rId20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169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וסעיפים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)+</w:t>
        </w:r>
        <w:r>
          <w:rPr>
            <w:rStyle w:val="Hyperlink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29.12.2016</w:t>
      </w:r>
      <w:r>
        <w:rPr>
          <w:rtl w:val="true"/>
        </w:rPr>
        <w:t xml:space="preserve"> </w:t>
      </w:r>
      <w:r>
        <w:rPr>
          <w:rtl w:val="true"/>
        </w:rPr>
        <w:t>והכרעת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00:46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לצפון</w:t>
      </w:r>
      <w:r>
        <w:rPr>
          <w:rtl w:val="true"/>
        </w:rPr>
        <w:t xml:space="preserve">, </w:t>
      </w:r>
      <w:r>
        <w:rPr>
          <w:rtl w:val="true"/>
        </w:rPr>
        <w:t>וחצה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פורידיס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tl w:val="true"/>
        </w:rPr>
        <w:t xml:space="preserve">, </w:t>
      </w:r>
      <w:r>
        <w:rPr>
          <w:rtl w:val="true"/>
        </w:rPr>
        <w:t>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התינוקת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240,000</w:t>
      </w:r>
      <w:r>
        <w:rPr>
          <w:rtl w:val="true"/>
        </w:rPr>
        <w:t xml:space="preserve"> ₪ </w:t>
      </w:r>
      <w:r>
        <w:rPr>
          <w:rtl w:val="true"/>
        </w:rPr>
        <w:t>לעזבונות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/>
        <w:t>3-2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tl w:val="true"/>
        </w:rPr>
        <w:t xml:space="preserve">: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</w:t>
      </w:r>
      <w:r>
        <w:rPr>
          <w:rtl w:val="true"/>
        </w:rPr>
        <w:t>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(!!!)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.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ייס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שהעבירן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tl w:val="true"/>
        </w:rPr>
        <w:t xml:space="preserve">, 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הטוקסיקולוגית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. </w:t>
      </w:r>
      <w:r>
        <w:rPr>
          <w:rtl w:val="true"/>
        </w:rPr>
        <w:t>השקית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</w:t>
      </w:r>
      <w:r>
        <w:rPr>
          <w:rtl w:val="true"/>
        </w:rPr>
        <w:t>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והלבורנטיות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בדגימ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</w:t>
      </w:r>
      <w:r>
        <w:rPr>
          <w:rtl w:val="true"/>
        </w:rPr>
        <w:t>ות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וחתימתה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הבקיאים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5073/11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 (</w:t>
      </w:r>
      <w:r>
        <w:rPr>
          <w:rFonts w:cs="Century" w:ascii="Century" w:hAnsi="Century"/>
        </w:rPr>
        <w:t>12.11.2014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ספקולטיבי</w:t>
      </w:r>
      <w:r>
        <w:rPr>
          <w:rtl w:val="true"/>
        </w:rPr>
        <w:t xml:space="preserve">, </w:t>
      </w:r>
      <w:r>
        <w:rPr>
          <w:rtl w:val="true"/>
        </w:rPr>
        <w:t>וטענות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ישנוני</w:t>
      </w:r>
      <w:r>
        <w:rPr>
          <w:rtl w:val="true"/>
        </w:rPr>
        <w:t>, "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ורדומה</w:t>
      </w:r>
      <w:r>
        <w:rPr>
          <w:rtl w:val="true"/>
        </w:rPr>
        <w:t>", "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בדאון</w:t>
      </w:r>
      <w:r>
        <w:rPr>
          <w:rtl w:val="true"/>
        </w:rPr>
        <w:t xml:space="preserve">, </w:t>
      </w:r>
      <w:r>
        <w:rPr>
          <w:rtl w:val="true"/>
        </w:rPr>
        <w:t>מנומנם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...",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עדות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שוקיר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קריז</w:t>
      </w:r>
      <w:r>
        <w:rPr>
          <w:rtl w:val="true"/>
        </w:rPr>
        <w:t xml:space="preserve">" </w:t>
      </w:r>
      <w:r>
        <w:rPr>
          <w:rtl w:val="true"/>
        </w:rPr>
        <w:t>וסבל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טרטקובסקי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4.8.2016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טרטקובסקי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קריז</w:t>
      </w:r>
      <w:r>
        <w:rPr>
          <w:rtl w:val="true"/>
        </w:rPr>
        <w:t xml:space="preserve">", </w:t>
      </w:r>
      <w:r>
        <w:rPr>
          <w:rtl w:val="true"/>
        </w:rPr>
        <w:t>וגילה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16.8.2016</w:t>
      </w:r>
      <w:r>
        <w:rPr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וקריסטל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 </w:t>
      </w:r>
      <w:r>
        <w:rPr>
          <w:rtl w:val="true"/>
        </w:rPr>
        <w:t>שהועלה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אופיאטים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הושמדו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נלעגים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טרטקובסקי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לפברוק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שרוצים</w:t>
      </w:r>
      <w:r>
        <w:rPr>
          <w:rtl w:val="true"/>
        </w:rPr>
        <w:t>")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קיצורו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לאדום</w:t>
      </w:r>
      <w:r>
        <w:rPr>
          <w:rtl w:val="true"/>
        </w:rPr>
        <w:t xml:space="preserve">,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נרדם</w:t>
      </w:r>
      <w:r>
        <w:rPr>
          <w:rtl w:val="true"/>
        </w:rPr>
        <w:t xml:space="preserve">,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28</w:t>
      </w:r>
      <w:r>
        <w:rPr/>
        <w:t>.</w:t>
      </w:r>
      <w:r>
        <w:rPr/>
        <w:t>7.2019</w:t>
      </w:r>
      <w:r>
        <w:rPr>
          <w:rtl w:val="true"/>
        </w:rPr>
        <w:t>((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משרעת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2257/10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 (</w:t>
      </w:r>
      <w:r>
        <w:rPr/>
        <w:t>12.11.2011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25.4.2010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בארה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בארה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נהרגו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8748/08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10.10.2011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ברכה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והתעבורתי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".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7332/11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עטאללה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6.10.2013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עטאללה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והוגדר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עטאללה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מפלצת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: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הרשעותיו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שהאחרונה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tl w:val="true"/>
        </w:rPr>
        <w:t xml:space="preserve">,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כמעט</w:t>
      </w:r>
      <w:r>
        <w:rPr>
          <w:rtl w:val="true"/>
        </w:rPr>
        <w:t xml:space="preserve">' </w:t>
      </w:r>
      <w:r>
        <w:rPr>
          <w:rtl w:val="true"/>
        </w:rPr>
        <w:t>מוכתב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גרידא</w:t>
      </w:r>
      <w:r>
        <w:rPr>
          <w:rtl w:val="true"/>
        </w:rPr>
        <w:t xml:space="preserve">',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נכחד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, </w:t>
      </w:r>
      <w:r>
        <w:rPr>
          <w:rtl w:val="true"/>
        </w:rPr>
        <w:t>ומצטרף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הלוּם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,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2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1.3.2020</w:t>
      </w:r>
      <w:r>
        <w:rPr>
          <w:rtl w:val="true"/>
        </w:rPr>
        <w:t xml:space="preserve">). </w:t>
      </w:r>
      <w:bookmarkEnd w:id="12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18044500</w:t>
      </w:r>
      <w:r>
        <w:rPr>
          <w:sz w:val="16"/>
          <w:rtl w:val="true"/>
        </w:rPr>
        <w:t>_</w:t>
      </w:r>
      <w:r>
        <w:rPr>
          <w:sz w:val="16"/>
        </w:rPr>
        <w:t>E05.docx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54678313-4450/18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4450/18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כאמל דיאב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979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38.3" TargetMode="External"/><Relationship Id="rId7" Type="http://schemas.openxmlformats.org/officeDocument/2006/relationships/hyperlink" Target="http://www.nevo.co.il/law/5227/62.3" TargetMode="External"/><Relationship Id="rId8" Type="http://schemas.openxmlformats.org/officeDocument/2006/relationships/hyperlink" Target="http://www.nevo.co.il/law/5227/62.8." TargetMode="External"/><Relationship Id="rId9" Type="http://schemas.openxmlformats.org/officeDocument/2006/relationships/hyperlink" Target="http://www.nevo.co.il/law/5227/68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21.a." TargetMode="External"/><Relationship Id="rId12" Type="http://schemas.openxmlformats.org/officeDocument/2006/relationships/hyperlink" Target="http://www.nevo.co.il/law/74274/21.b" TargetMode="External"/><Relationship Id="rId13" Type="http://schemas.openxmlformats.org/officeDocument/2006/relationships/hyperlink" Target="http://www.nevo.co.il/law/74274/169b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62.3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274/169b" TargetMode="External"/><Relationship Id="rId21" Type="http://schemas.openxmlformats.org/officeDocument/2006/relationships/hyperlink" Target="http://www.nevo.co.il/law/74274/21.a.;21.b" TargetMode="External"/><Relationship Id="rId22" Type="http://schemas.openxmlformats.org/officeDocument/2006/relationships/hyperlink" Target="http://www.nevo.co.il/law/5227/62.8.;68" TargetMode="External"/><Relationship Id="rId23" Type="http://schemas.openxmlformats.org/officeDocument/2006/relationships/hyperlink" Target="http://www.nevo.co.il/law/5227/38.3" TargetMode="External"/><Relationship Id="rId24" Type="http://schemas.openxmlformats.org/officeDocument/2006/relationships/hyperlink" Target="http://www.nevo.co.il/case/5712233" TargetMode="External"/><Relationship Id="rId25" Type="http://schemas.openxmlformats.org/officeDocument/2006/relationships/hyperlink" Target="http://www.nevo.co.il/case/20911393" TargetMode="External"/><Relationship Id="rId26" Type="http://schemas.openxmlformats.org/officeDocument/2006/relationships/hyperlink" Target="http://www.nevo.co.il/case/23354214" TargetMode="External"/><Relationship Id="rId27" Type="http://schemas.openxmlformats.org/officeDocument/2006/relationships/hyperlink" Target="http://www.nevo.co.il/case/5821139" TargetMode="External"/><Relationship Id="rId28" Type="http://schemas.openxmlformats.org/officeDocument/2006/relationships/hyperlink" Target="http://www.nevo.co.il/case/6123100" TargetMode="External"/><Relationship Id="rId29" Type="http://schemas.openxmlformats.org/officeDocument/2006/relationships/hyperlink" Target="http://www.nevo.co.il/case/5816303" TargetMode="External"/><Relationship Id="rId30" Type="http://schemas.openxmlformats.org/officeDocument/2006/relationships/hyperlink" Target="http://www.nevo.co.il/case/5600951" TargetMode="External"/><Relationship Id="rId31" Type="http://schemas.openxmlformats.org/officeDocument/2006/relationships/hyperlink" Target="http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2020-03-07T10:04:00Z</dcterms:created>
  <dc:creator>h4</dc:creator>
  <dc:description/>
  <cp:keywords/>
  <dc:language>en-IL</dc:language>
  <cp:lastModifiedBy>orly</cp:lastModifiedBy>
  <cp:lastPrinted>2020-03-04T10:20:00Z</cp:lastPrinted>
  <dcterms:modified xsi:type="dcterms:W3CDTF">2020-03-07T10:04:00Z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כאמל דיאב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המנוחה אנג'ליק וק.נ. - נפגעי עבירה;משפחת המנוחה אולגה אשקר - נפגעי עבירה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21797931;5712233;20911393;23354214;5821139;6123100;5816303;5600951</vt:lpwstr>
  </property>
  <property fmtid="{D5CDD505-2E9C-101B-9397-08002B2CF9AE}" pid="9" name="CITY">
    <vt:lpwstr/>
  </property>
  <property fmtid="{D5CDD505-2E9C-101B-9397-08002B2CF9AE}" pid="10" name="DATE">
    <vt:lpwstr>20200301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סולברג;ע' ברון</vt:lpwstr>
  </property>
  <property fmtid="{D5CDD505-2E9C-101B-9397-08002B2CF9AE}" pid="14" name="LAWLISTTMP1">
    <vt:lpwstr>70301/298</vt:lpwstr>
  </property>
  <property fmtid="{D5CDD505-2E9C-101B-9397-08002B2CF9AE}" pid="15" name="LAWLISTTMP2">
    <vt:lpwstr>5227/062.3;062.8;068;038.3</vt:lpwstr>
  </property>
  <property fmtid="{D5CDD505-2E9C-101B-9397-08002B2CF9AE}" pid="16" name="LAWLISTTMP3">
    <vt:lpwstr>74274/169b;021.a;021.b</vt:lpwstr>
  </property>
  <property fmtid="{D5CDD505-2E9C-101B-9397-08002B2CF9AE}" pid="17" name="LAWYER">
    <vt:lpwstr>אופיר טישלר;מוחמד סביחאת;שבתאי מדר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תעבורה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תעבורה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104;77;104;77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עבירות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1830;1443;1831;1446</vt:lpwstr>
  </property>
  <property fmtid="{D5CDD505-2E9C-101B-9397-08002B2CF9AE}" pid="50" name="NOSE31">
    <vt:lpwstr>הריגה</vt:lpwstr>
  </property>
  <property fmtid="{D5CDD505-2E9C-101B-9397-08002B2CF9AE}" pid="51" name="NOSE310">
    <vt:lpwstr/>
  </property>
  <property fmtid="{D5CDD505-2E9C-101B-9397-08002B2CF9AE}" pid="52" name="NOSE32">
    <vt:lpwstr>הריגה</vt:lpwstr>
  </property>
  <property fmtid="{D5CDD505-2E9C-101B-9397-08002B2CF9AE}" pid="53" name="NOSE33">
    <vt:lpwstr>מדיניות ענישה</vt:lpwstr>
  </property>
  <property fmtid="{D5CDD505-2E9C-101B-9397-08002B2CF9AE}" pid="54" name="NOSE34">
    <vt:lpwstr>מדיניות ענישה: שיקולים לחומרה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11234;8816;11263;8995</vt:lpwstr>
  </property>
  <property fmtid="{D5CDD505-2E9C-101B-9397-08002B2CF9AE}" pid="61" name="PADIDATE">
    <vt:lpwstr>20200308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4450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410120200301</vt:lpwstr>
  </property>
  <property fmtid="{D5CDD505-2E9C-101B-9397-08002B2CF9AE}" pid="71" name="TYPE_N_DATE">
    <vt:lpwstr>41020200301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