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4454/19</w:t>
            </w:r>
          </w:p>
        </w:tc>
      </w:tr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4606/19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הנדל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מינץ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אלרון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;Times New Roman" w:hAnsi="David;Times New Roman" w:cs="David;Times New Roman"/>
              </w:rPr>
            </w:pPr>
            <w:bookmarkStart w:id="3" w:name="FirstAppellant"/>
            <w:bookmarkEnd w:id="3"/>
            <w:r>
              <w:rPr>
                <w:rFonts w:ascii="David;Times New Roman" w:hAnsi="David;Times New Roman"/>
                <w:rtl w:val="true"/>
              </w:rPr>
              <w:t>המערער</w:t>
            </w:r>
            <w:r>
              <w:rPr>
                <w:rFonts w:ascii="David;Times New Roman" w:hAnsi="David;Times New Roman"/>
                <w:rtl w:val="true"/>
              </w:rPr>
              <w:t xml:space="preserve"> ב</w:t>
            </w:r>
            <w:r>
              <w:rPr>
                <w:rFonts w:cs="David;Times New Roman" w:ascii="David;Times New Roman" w:hAnsi="David;Times New Roman"/>
                <w:rtl w:val="true"/>
              </w:rPr>
              <w:t>-</w:t>
            </w:r>
            <w:r>
              <w:rPr>
                <w:rFonts w:ascii="David;Times New Roman" w:hAnsi="David;Times New Roman"/>
                <w:rtl w:val="true"/>
              </w:rPr>
              <w:t>ע</w:t>
            </w:r>
            <w:r>
              <w:rPr>
                <w:rFonts w:cs="David;Times New Roman" w:ascii="David;Times New Roman" w:hAnsi="David;Times New Roman"/>
                <w:rtl w:val="true"/>
              </w:rPr>
              <w:t>"</w:t>
            </w:r>
            <w:r>
              <w:rPr>
                <w:rFonts w:ascii="David;Times New Roman" w:hAnsi="David;Times New Roman"/>
                <w:rtl w:val="true"/>
              </w:rPr>
              <w:t xml:space="preserve">פ </w:t>
            </w:r>
            <w:r>
              <w:rPr>
                <w:rFonts w:cs="David;Times New Roman" w:ascii="David;Times New Roman" w:hAnsi="David;Times New Roman"/>
              </w:rPr>
              <w:t>4454/19</w:t>
            </w:r>
            <w:r>
              <w:rPr>
                <w:rFonts w:cs="David;Times New Roman" w:ascii="David;Times New Roman" w:hAnsi="David;Times New Roman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פלוני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;Times New Roman" w:hAnsi="David;Times New Roman" w:cs="David;Times New Roman"/>
              </w:rPr>
            </w:pPr>
            <w:r>
              <w:rPr>
                <w:rFonts w:cs="David;Times New Roman" w:ascii="David;Times New Roman" w:hAnsi="David;Times New Roman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;Times New Roman" w:hAnsi="David;Times New Roman" w:cs="David;Times New Roman"/>
              </w:rPr>
            </w:pPr>
            <w:r>
              <w:rPr>
                <w:rFonts w:cs="David;Times New Roman" w:ascii="David;Times New Roman" w:hAnsi="David;Times New Roman"/>
                <w:rtl w:val="true"/>
              </w:rPr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;Times New Roman" w:hAnsi="David;Times New Roman" w:cs="David;Times New Roman"/>
              </w:rPr>
            </w:pPr>
            <w:r>
              <w:rPr>
                <w:rFonts w:ascii="David;Times New Roman" w:hAnsi="David;Times New Roman"/>
                <w:rtl w:val="true"/>
              </w:rPr>
              <w:t>המערער ב</w:t>
            </w:r>
            <w:r>
              <w:rPr>
                <w:rFonts w:cs="David;Times New Roman" w:ascii="David;Times New Roman" w:hAnsi="David;Times New Roman"/>
                <w:rtl w:val="true"/>
              </w:rPr>
              <w:t>-</w:t>
            </w:r>
            <w:r>
              <w:rPr>
                <w:rFonts w:ascii="David;Times New Roman" w:hAnsi="David;Times New Roman"/>
                <w:rtl w:val="true"/>
              </w:rPr>
              <w:t>ע</w:t>
            </w:r>
            <w:r>
              <w:rPr>
                <w:rFonts w:cs="David;Times New Roman" w:ascii="David;Times New Roman" w:hAnsi="David;Times New Roman"/>
                <w:rtl w:val="true"/>
              </w:rPr>
              <w:t>"</w:t>
            </w:r>
            <w:r>
              <w:rPr>
                <w:rFonts w:ascii="David;Times New Roman" w:hAnsi="David;Times New Roman"/>
                <w:rtl w:val="true"/>
              </w:rPr>
              <w:t xml:space="preserve">פ </w:t>
            </w:r>
            <w:r>
              <w:rPr>
                <w:rFonts w:cs="David;Times New Roman" w:ascii="David;Times New Roman" w:hAnsi="David;Times New Roman"/>
              </w:rPr>
              <w:t>4606/19</w:t>
            </w:r>
            <w:r>
              <w:rPr>
                <w:rFonts w:cs="David;Times New Roman" w:ascii="David;Times New Roman" w:hAnsi="David;Times New Roman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פלוני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;Times New Roman" w:hAnsi="David;Times New Roman" w:cs="David;Times New Roman"/>
              </w:rPr>
            </w:pPr>
            <w:r>
              <w:rPr>
                <w:rFonts w:ascii="David;Times New Roman" w:hAnsi="David;Times New Roman"/>
                <w:rtl w:val="true"/>
              </w:rPr>
              <w:t>המשיב</w:t>
            </w:r>
            <w:r>
              <w:rPr>
                <w:rFonts w:ascii="David;Times New Roman" w:hAnsi="David;Times New Roman"/>
                <w:rtl w:val="true"/>
              </w:rPr>
              <w:t>ה</w:t>
            </w:r>
            <w:r>
              <w:rPr>
                <w:rFonts w:cs="David;Times New Roman" w:ascii="David;Times New Roman" w:hAnsi="David;Times New Roman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  <w:r>
        <w:rPr>
          <w:rtl w:val="true"/>
        </w:rPr>
        <w:tab/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rFonts w:ascii="Century" w:hAnsi="Century" w:cs="Miriam"/>
                <w:b/>
                <w:szCs w:val="24"/>
              </w:rPr>
            </w:pP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ערעור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על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פסק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דינו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של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בית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המשפט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המחוזי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ב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>-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ב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אר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שבע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ב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>-</w:t>
            </w:r>
            <w:hyperlink r:id="rId2">
              <w:r>
                <w:rPr>
                  <w:rStyle w:val="Hyperlink"/>
                  <w:rFonts w:ascii="Century" w:hAnsi="Century" w:cs="Miriam"/>
                  <w:b/>
                  <w:b/>
                  <w:color w:val="0000FF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rFonts w:cs="Miriam" w:ascii="Century" w:hAnsi="Century"/>
                  <w:b/>
                  <w:color w:val="0000FF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ascii="Century" w:hAnsi="Century" w:cs="Miriam"/>
                  <w:b/>
                  <w:b/>
                  <w:color w:val="0000FF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ascii="Century" w:hAnsi="Century" w:eastAsia="Century" w:cs="Century"/>
                  <w:b/>
                  <w:b/>
                  <w:color w:val="0000FF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cs="Miriam" w:ascii="Century" w:hAnsi="Century"/>
                  <w:b/>
                  <w:color w:val="0000FF"/>
                  <w:szCs w:val="24"/>
                  <w:u w:val="single"/>
                </w:rPr>
                <w:t>15213-04-14</w:t>
              </w:r>
            </w:hyperlink>
            <w:r>
              <w:rPr>
                <w:rFonts w:cs="Miriam" w:ascii="Century" w:hAnsi="Century"/>
                <w:b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ו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>-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ת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>"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פ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cs="Miriam" w:ascii="Century" w:hAnsi="Century"/>
                <w:b/>
                <w:szCs w:val="24"/>
              </w:rPr>
              <w:t>10850-07-15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מיום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cs="Miriam" w:ascii="Century" w:hAnsi="Century"/>
                <w:b/>
                <w:szCs w:val="24"/>
              </w:rPr>
              <w:t>11.12.2020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ו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 xml:space="preserve">- </w:t>
            </w:r>
            <w:r>
              <w:rPr>
                <w:rFonts w:cs="Miriam" w:ascii="Century" w:hAnsi="Century"/>
                <w:b/>
                <w:szCs w:val="24"/>
              </w:rPr>
              <w:t>21.5.2019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שנית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ן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על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ידי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כב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 xml:space="preserve">'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השופט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ע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 xml:space="preserve">'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כהן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כ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בתמוז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ף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14.07.2020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5"/>
        <w:gridCol w:w="5148"/>
      </w:tblGrid>
      <w:tr>
        <w:trPr/>
        <w:tc>
          <w:tcPr>
            <w:tcW w:w="3215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4454/19</w:t>
            </w:r>
            <w:r>
              <w:rPr>
                <w:rtl w:val="true"/>
              </w:rPr>
              <w:t>:</w:t>
            </w:r>
          </w:p>
        </w:tc>
        <w:tc>
          <w:tcPr>
            <w:tcW w:w="5148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לין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יוסי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5"/>
        <w:gridCol w:w="5148"/>
      </w:tblGrid>
      <w:tr>
        <w:trPr/>
        <w:tc>
          <w:tcPr>
            <w:tcW w:w="3215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4606/19</w:t>
            </w:r>
            <w:r>
              <w:rPr>
                <w:rtl w:val="true"/>
              </w:rPr>
              <w:t>:</w:t>
            </w:r>
          </w:p>
        </w:tc>
        <w:tc>
          <w:tcPr>
            <w:tcW w:w="5148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רמי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שלבי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5"/>
        <w:gridCol w:w="5148"/>
      </w:tblGrid>
      <w:tr>
        <w:trPr/>
        <w:tc>
          <w:tcPr>
            <w:tcW w:w="3215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14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מריה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ציבלין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bookmarkStart w:id="5" w:name="LawTable"/>
      <w:bookmarkEnd w:id="5"/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/>
      </w:pPr>
      <w:hyperlink r:id="rId3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</w:rPr>
          <w:t>1977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sz w:val="24"/>
          </w:rPr>
          <w:t>29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sz w:val="24"/>
          </w:rPr>
          <w:t>329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1</w:t>
      </w:r>
      <w:r>
        <w:rPr>
          <w:rFonts w:cs="FrankRuehl" w:ascii="FrankRuehl" w:hAnsi="FrankRuehl"/>
          <w:color w:val="0000FF"/>
          <w:sz w:val="24"/>
          <w:rtl w:val="true"/>
        </w:rPr>
        <w:t>)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/>
      </w:pPr>
      <w:hyperlink r:id="rId6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 xml:space="preserve">פקודת הראיות </w:t>
        </w:r>
        <w:r>
          <w:rPr>
            <w:rStyle w:val="Hyperlink"/>
            <w:rFonts w:cs="FrankRuehl" w:ascii="FrankRuehl" w:hAnsi="FrankRuehl"/>
            <w:sz w:val="24"/>
            <w:rtl w:val="true"/>
          </w:rPr>
          <w:t>[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</w:rPr>
          <w:t>1971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'  </w:t>
      </w:r>
      <w:hyperlink r:id="rId7">
        <w:r>
          <w:rPr>
            <w:rStyle w:val="Hyperlink"/>
            <w:rFonts w:cs="FrankRuehl" w:ascii="FrankRuehl" w:hAnsi="FrankRuehl"/>
            <w:sz w:val="24"/>
          </w:rPr>
          <w:t>10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א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sz w:val="24"/>
          </w:rPr>
          <w:t>10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א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ג</w:t>
      </w:r>
      <w:r>
        <w:rPr>
          <w:rFonts w:cs="FrankRuehl" w:ascii="FrankRuehl" w:hAnsi="FrankRuehl"/>
          <w:color w:val="0000FF"/>
          <w:sz w:val="24"/>
          <w:rtl w:val="true"/>
        </w:rPr>
        <w:t>)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  <w:bookmarkStart w:id="6" w:name="LawTable_End"/>
      <w:bookmarkStart w:id="7" w:name="LawTable_End"/>
      <w:bookmarkEnd w:id="7"/>
    </w:p>
    <w:p>
      <w:pPr>
        <w:pStyle w:val="ListParagraph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bookmarkStart w:id="8" w:name="ABSTRACT_START"/>
      <w:bookmarkEnd w:id="8"/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ListParagraph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בהתייחס לערעורים על הרשעת המערערים בביצוע עבירת חבלה בכוונה מחמירה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הרי שאלו מופנים בעיקרו של דבר כלפי ממצאי עובדה ומהימנות שאין זה מדרכו של 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זה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כערכאת ערעור להתערב בהם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בהתייחס לערעור על גזה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יש להוקיע תרבות אלימה מעין זו אשר הפכה לחזון נפרץ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ולקבוע ענישה מחמירה אשר תרתיע עבריינים פוטנציאליים מליטול את הדין לידיהם ולנקוט באלימות ליישוב סכסוכיהם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בהתאם לכך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עונשו של המערער </w:t>
      </w:r>
      <w:r>
        <w:rPr>
          <w:rFonts w:cs="Times New Roman" w:ascii="Times New Roman" w:hAnsi="Times New Roman"/>
          <w:spacing w:val="0"/>
          <w:sz w:val="24"/>
          <w:szCs w:val="26"/>
        </w:rPr>
        <w:t>1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אינו מחמיר עמו כלל ועיקר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ListParagraph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עבירות – חבלה בכוונה מחמירה</w:t>
      </w:r>
    </w:p>
    <w:p>
      <w:pPr>
        <w:pStyle w:val="ListParagraph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שותפים לעבירה – מבצע בצוותא</w:t>
      </w:r>
    </w:p>
    <w:p>
      <w:pPr>
        <w:pStyle w:val="ListParagraph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ראיות – הודעה – מחוץ לכותלי בית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המשפט</w:t>
      </w:r>
    </w:p>
    <w:p>
      <w:pPr>
        <w:pStyle w:val="ListParagraph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עבירות אלימות</w:t>
      </w:r>
    </w:p>
    <w:p>
      <w:pPr>
        <w:pStyle w:val="ListParagraph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ListParagraph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מחוזי הרשיע את המערערים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לאחר שמיעת ראיות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בביצוע עבירת חבלה בכוונה מחמירה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מדובר באירוע אלים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במהלכו נרגם המתלונן באבנים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והוכה בצינור ובפטיש על ידי חבורה של ארבעה אנשים – בכללם המערערים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 המערער ב</w:t>
      </w:r>
      <w:hyperlink r:id="rId9">
        <w:r>
          <w:rPr>
            <w:rStyle w:val="Hyperlink"/>
            <w:rFonts w:ascii="Times New Roman" w:hAnsi="Times New Roman" w:cs="Times New Roman"/>
            <w:color w:val="000000"/>
            <w:spacing w:val="0"/>
            <w:sz w:val="24"/>
            <w:sz w:val="24"/>
            <w:szCs w:val="26"/>
            <w:u w:val="none"/>
            <w:rtl w:val="true"/>
          </w:rPr>
          <w:t>ע</w:t>
        </w:r>
        <w:r>
          <w:rPr>
            <w:rStyle w:val="Hyperlink"/>
            <w:rFonts w:cs="Times New Roman" w:ascii="Times New Roman" w:hAnsi="Times New Roman"/>
            <w:color w:val="000000"/>
            <w:spacing w:val="0"/>
            <w:sz w:val="24"/>
            <w:szCs w:val="26"/>
            <w:u w:val="none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color w:val="000000"/>
            <w:spacing w:val="0"/>
            <w:sz w:val="24"/>
            <w:sz w:val="24"/>
            <w:szCs w:val="26"/>
            <w:u w:val="none"/>
            <w:rtl w:val="true"/>
          </w:rPr>
          <w:t xml:space="preserve">פ </w:t>
        </w:r>
        <w:r>
          <w:rPr>
            <w:rStyle w:val="Hyperlink"/>
            <w:rFonts w:cs="Times New Roman" w:ascii="Times New Roman" w:hAnsi="Times New Roman"/>
            <w:color w:val="000000"/>
            <w:spacing w:val="0"/>
            <w:sz w:val="24"/>
            <w:szCs w:val="26"/>
            <w:u w:val="none"/>
          </w:rPr>
          <w:t>4606/19</w:t>
        </w:r>
      </w:hyperlink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להלן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המערער </w:t>
      </w:r>
      <w:r>
        <w:rPr>
          <w:rFonts w:cs="Times New Roman" w:ascii="Times New Roman" w:hAnsi="Times New Roman"/>
          <w:spacing w:val="0"/>
          <w:sz w:val="24"/>
          <w:szCs w:val="26"/>
        </w:rPr>
        <w:t>1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נגזרו </w:t>
      </w:r>
      <w:r>
        <w:rPr>
          <w:rFonts w:cs="Times New Roman" w:ascii="Times New Roman" w:hAnsi="Times New Roman"/>
          <w:spacing w:val="0"/>
          <w:sz w:val="24"/>
          <w:szCs w:val="26"/>
        </w:rPr>
        <w:t>14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חודשי מאסר בפועל לצד ענישה נלווית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ועל המערער ב</w:t>
      </w:r>
      <w:hyperlink r:id="rId10">
        <w:r>
          <w:rPr>
            <w:rStyle w:val="Hyperlink"/>
            <w:rFonts w:ascii="Times New Roman" w:hAnsi="Times New Roman" w:cs="Times New Roman"/>
            <w:color w:val="000000"/>
            <w:spacing w:val="0"/>
            <w:sz w:val="24"/>
            <w:sz w:val="24"/>
            <w:szCs w:val="26"/>
            <w:u w:val="none"/>
            <w:rtl w:val="true"/>
          </w:rPr>
          <w:t>ע</w:t>
        </w:r>
        <w:r>
          <w:rPr>
            <w:rStyle w:val="Hyperlink"/>
            <w:rFonts w:cs="Times New Roman" w:ascii="Times New Roman" w:hAnsi="Times New Roman"/>
            <w:color w:val="000000"/>
            <w:spacing w:val="0"/>
            <w:sz w:val="24"/>
            <w:szCs w:val="26"/>
            <w:u w:val="none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color w:val="000000"/>
            <w:spacing w:val="0"/>
            <w:sz w:val="24"/>
            <w:sz w:val="24"/>
            <w:szCs w:val="26"/>
            <w:u w:val="none"/>
            <w:rtl w:val="true"/>
          </w:rPr>
          <w:t xml:space="preserve">פ </w:t>
        </w:r>
        <w:r>
          <w:rPr>
            <w:rStyle w:val="Hyperlink"/>
            <w:rFonts w:cs="Times New Roman" w:ascii="Times New Roman" w:hAnsi="Times New Roman"/>
            <w:color w:val="000000"/>
            <w:spacing w:val="0"/>
            <w:sz w:val="24"/>
            <w:szCs w:val="26"/>
            <w:u w:val="none"/>
          </w:rPr>
          <w:t>4454/19</w:t>
        </w:r>
      </w:hyperlink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להלן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המערער </w:t>
      </w:r>
      <w:r>
        <w:rPr>
          <w:rFonts w:cs="Times New Roman" w:ascii="Times New Roman" w:hAnsi="Times New Roman"/>
          <w:spacing w:val="0"/>
          <w:sz w:val="24"/>
          <w:szCs w:val="26"/>
        </w:rPr>
        <w:t>2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נגזרו </w:t>
      </w:r>
      <w:r>
        <w:rPr>
          <w:rFonts w:cs="Times New Roman" w:ascii="Times New Roman" w:hAnsi="Times New Roman"/>
          <w:spacing w:val="0"/>
          <w:sz w:val="24"/>
          <w:szCs w:val="26"/>
        </w:rPr>
        <w:t>9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חודשי מאסר בפועל אשר ירוצו בעבודות שירות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לצד ענישה נלווית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ערעורו של המערער </w:t>
      </w:r>
      <w:r>
        <w:rPr>
          <w:rFonts w:cs="Times New Roman" w:ascii="Times New Roman" w:hAnsi="Times New Roman"/>
          <w:spacing w:val="0"/>
          <w:sz w:val="24"/>
          <w:szCs w:val="26"/>
        </w:rPr>
        <w:t>1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מופנה הן כלפי הכרעת הדין והן כלפי חומרת העונש שנגזר עליו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ואילו ערעורו של המערער </w:t>
      </w:r>
      <w:r>
        <w:rPr>
          <w:rFonts w:cs="Times New Roman" w:ascii="Times New Roman" w:hAnsi="Times New Roman"/>
          <w:spacing w:val="0"/>
          <w:sz w:val="24"/>
          <w:szCs w:val="26"/>
        </w:rPr>
        <w:t>2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מופנה כלפי הכרעת הדין בלבד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ListParagraph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ListParagraph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 העליון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מפי השופט 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אלרון בהסכמת השופטים נ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הנדל וד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מינץ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דחה את הערעורים מהטעמים הבאים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ListParagraph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בהתייחס לערעורים על הכרעת הדין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הרי שאלו מופנים בעיקרו של דבר כלפי ממצאי עובדה ומהימנות שאין זה מדרכו של 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זה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כערכאת ערעור להתערב בהם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ListParagraph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המחוזי פירט בהרחבה את הטעמים לקביעתו כי גרסת המתלונן מהימנה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תוך שהדגיש כי הציג גרסה סדורה ועקבית הן בהודעותיו במשטרה והן בעדותו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וכי גרסה זו מתיישבת עם עדויותיהם של עדי המאשימה האחרים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–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כמו גם עם גרסת מנסור כפי שנמסרה במשטרה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מנגד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המערערים הציגו גרסאות סותרות וחסרות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אשר עוררו קשיים משמעותיים ולא נמצאו מהימנות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 נמצא בטענות המערערים טעם של ממש להתערב בקביעות מהימנות אלו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כן לא נמצא פגם בהחלטת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המחוזי שלפיה יש להעדיף את הודעת מנסור במשטרה על פני הגרסה שמסר בעדותו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עפ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י </w:t>
      </w:r>
      <w:hyperlink r:id="rId11">
        <w:r>
          <w:rPr>
            <w:rStyle w:val="Hyperlink"/>
            <w:rFonts w:ascii="Times New Roman" w:hAnsi="Times New Roman" w:cs="Times New Roman"/>
            <w:color w:val="000000"/>
            <w:spacing w:val="0"/>
            <w:sz w:val="24"/>
            <w:sz w:val="24"/>
            <w:szCs w:val="26"/>
            <w:u w:val="none"/>
            <w:rtl w:val="true"/>
          </w:rPr>
          <w:t xml:space="preserve">סעיף </w:t>
        </w:r>
        <w:r>
          <w:rPr>
            <w:rStyle w:val="Hyperlink"/>
            <w:rFonts w:cs="Times New Roman" w:ascii="Times New Roman" w:hAnsi="Times New Roman"/>
            <w:color w:val="000000"/>
            <w:spacing w:val="0"/>
            <w:sz w:val="24"/>
            <w:szCs w:val="26"/>
            <w:u w:val="none"/>
          </w:rPr>
          <w:t>10</w:t>
        </w:r>
        <w:r>
          <w:rPr>
            <w:rStyle w:val="Hyperlink"/>
            <w:rFonts w:ascii="Times New Roman" w:hAnsi="Times New Roman" w:cs="Times New Roman"/>
            <w:color w:val="000000"/>
            <w:spacing w:val="0"/>
            <w:sz w:val="24"/>
            <w:sz w:val="24"/>
            <w:szCs w:val="26"/>
            <w:u w:val="none"/>
            <w:rtl w:val="true"/>
          </w:rPr>
          <w:t>א</w:t>
        </w:r>
      </w:hyperlink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ל</w:t>
      </w:r>
      <w:hyperlink r:id="rId12">
        <w:r>
          <w:rPr>
            <w:rStyle w:val="Hyperlink"/>
            <w:rFonts w:ascii="Times New Roman" w:hAnsi="Times New Roman" w:cs="Times New Roman"/>
            <w:color w:val="000000"/>
            <w:spacing w:val="0"/>
            <w:sz w:val="24"/>
            <w:sz w:val="24"/>
            <w:szCs w:val="26"/>
            <w:u w:val="none"/>
            <w:rtl w:val="true"/>
          </w:rPr>
          <w:t>פקודת הראיות</w:t>
        </w:r>
      </w:hyperlink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ListParagraph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כן לא נמצא ממש בטענה שלפיה אין לייחס למערערים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ולמערער </w:t>
      </w:r>
      <w:r>
        <w:rPr>
          <w:rFonts w:cs="Times New Roman" w:ascii="Times New Roman" w:hAnsi="Times New Roman"/>
          <w:spacing w:val="0"/>
          <w:sz w:val="24"/>
          <w:szCs w:val="26"/>
        </w:rPr>
        <w:t>2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בפרט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אחריות בגין מעשי התקיפה כולם כמבצעים בצוותא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כפי שהדגיש השופט אלרון לאחרונה בעניין אחר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, 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משנכנס אדם למעגל המבצעים בצוותא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למידת מעורבותו והיקפה אין השפעה על אחריותו הפלילית המתקיימת בנסיבות העניין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אולם עשויה להיות לה השפעה בסוגיות הקשורות לענישה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במקרה דנן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ניכר מעדות המתלונן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אשר כאמור נמצאה מהימנה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 המערערים שניהם נטלו חלק פעיל במעשים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הן בשלב שקדם להתזת הגז המדמיע והן בשלב שלאחר מכן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בהקשר זה צוין כי די ברגימת המתלונן באבנים בעודו שרוי על הקרקע על ידי שני המערערים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אשר גרמה לו לחבלות חמורות – ובכללן שבר באפו וחתכים בראשו – כדי לקיים את יסודות עבירת החבלה בכוונה מחמירה ביחס לשניהם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 כן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משתקפו המערערים את המתלונן והשליכו לעברו אבנים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ואף המשיכו לעשות כן תוך שאחד מבני החבורה הכה אותו בצינור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הרי שנכנסו למעגל המבצעים בצוותא – ויש לייחס להם אחריות בגין אירוע התקיפה כולו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לעניין זה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 כל משמעות לזיהוי מי מהתוקפים ביצע כל אחת מהפעולות באירוע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שהרי הם נושאים באחריות משותפת למעשים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ListParagraph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לפיכך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דין הערעורים על הכרעת הדין להידחות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ListParagraph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כן נדחה ערעורו של המערער </w:t>
      </w:r>
      <w:r>
        <w:rPr>
          <w:rFonts w:cs="Times New Roman" w:ascii="Times New Roman" w:hAnsi="Times New Roman"/>
          <w:spacing w:val="0"/>
          <w:sz w:val="24"/>
          <w:szCs w:val="26"/>
        </w:rPr>
        <w:t>1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 גזר דינו וזאת חרף המלצת שירות המבחן בעניינו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יש להוקיע תרבות אלימה מעין זו אשר הפכה לחזון נפרץ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ולקבוע ענישה מחמירה אשר תרתיע עבריינים פוטנציאליים מליטול את הדין לידיהם ולנקוט באלימות ליישוב סכסוכיהם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בהתאם לכך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עונשו של המערער </w:t>
      </w:r>
      <w:r>
        <w:rPr>
          <w:rFonts w:cs="Times New Roman" w:ascii="Times New Roman" w:hAnsi="Times New Roman"/>
          <w:spacing w:val="0"/>
          <w:sz w:val="24"/>
          <w:szCs w:val="26"/>
        </w:rPr>
        <w:t>1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אינו מחמיר עמו כלל ועיקר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וודאי שאין מקום להקל בעונש שנגזר עליו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/>
          <w:spacing w:val="0"/>
          <w:sz w:val="24"/>
          <w:szCs w:val="26"/>
          <w:rtl w:val="true"/>
        </w:rPr>
      </w:r>
      <w:bookmarkStart w:id="9" w:name="ABSTRACT_END"/>
      <w:bookmarkStart w:id="10" w:name="ABSTRACT_END"/>
      <w:bookmarkEnd w:id="10"/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1" w:name="PsakDin"/>
            <w:bookmarkStart w:id="12" w:name="BeginProtocol"/>
            <w:bookmarkStart w:id="13" w:name="secretary"/>
            <w:bookmarkEnd w:id="11"/>
            <w:bookmarkEnd w:id="12"/>
            <w:bookmarkEnd w:id="13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4" w:name="Writer_Name"/>
      <w:bookmarkEnd w:id="14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אלרון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ListParagraph"/>
        <w:numPr>
          <w:ilvl w:val="0"/>
          <w:numId w:val="2"/>
        </w:numPr>
        <w:ind w:hanging="0" w:start="0" w:end="0"/>
        <w:jc w:val="both"/>
        <w:rPr/>
      </w:pPr>
      <w:bookmarkStart w:id="15" w:name="Start_Write"/>
      <w:bookmarkEnd w:id="15"/>
      <w:r>
        <w:rPr>
          <w:rtl w:val="true"/>
        </w:rPr>
        <w:t>לפנינו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ערעורים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בבאר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שבע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השופט</w:t>
      </w:r>
      <w:r>
        <w:rPr>
          <w:rFonts w:eastAsia="Garamond" w:cs="Garamond"/>
          <w:rtl w:val="true"/>
        </w:rPr>
        <w:t xml:space="preserve"> </w:t>
      </w:r>
      <w:r>
        <w:rPr>
          <w:rStyle w:val="Emphasis"/>
          <w:rtl w:val="true"/>
        </w:rPr>
        <w:t>ע</w:t>
      </w:r>
      <w:r>
        <w:rPr>
          <w:rStyle w:val="Emphasis"/>
          <w:rtl w:val="true"/>
        </w:rPr>
        <w:t xml:space="preserve">' </w:t>
      </w:r>
      <w:r>
        <w:rPr>
          <w:rStyle w:val="Emphasis"/>
          <w:rtl w:val="true"/>
        </w:rPr>
        <w:t>כהן</w:t>
      </w:r>
      <w:r>
        <w:rPr>
          <w:rtl w:val="true"/>
        </w:rPr>
        <w:t xml:space="preserve">) </w:t>
      </w:r>
      <w:r>
        <w:rPr>
          <w:rtl w:val="true"/>
        </w:rPr>
        <w:t>מיום</w:t>
      </w:r>
      <w:r>
        <w:rPr>
          <w:rFonts w:eastAsia="Garamond" w:cs="Garamond"/>
          <w:rtl w:val="true"/>
        </w:rPr>
        <w:t xml:space="preserve"> </w:t>
      </w:r>
      <w:r>
        <w:rPr/>
        <w:t>11.12.2018</w:t>
      </w:r>
      <w:r>
        <w:rPr>
          <w:rtl w:val="true"/>
        </w:rPr>
        <w:t xml:space="preserve"> </w:t>
      </w:r>
      <w:r>
        <w:rPr>
          <w:rtl w:val="true"/>
        </w:rPr>
        <w:t>וכן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Garamond" w:cs="Garamond"/>
          <w:rtl w:val="true"/>
        </w:rPr>
        <w:t xml:space="preserve"> </w:t>
      </w:r>
      <w:r>
        <w:rPr/>
        <w:t>21.5.2019</w:t>
      </w:r>
      <w:r>
        <w:rPr>
          <w:rtl w:val="true"/>
        </w:rPr>
        <w:t xml:space="preserve">, </w:t>
      </w:r>
      <w:r>
        <w:rPr>
          <w:rtl w:val="true"/>
        </w:rPr>
        <w:t>ב</w:t>
      </w:r>
      <w:hyperlink r:id="rId13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Garamond" w:cs="Garamond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15213-04-14</w:t>
        </w:r>
      </w:hyperlink>
      <w:r>
        <w:rPr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וב</w:t>
      </w:r>
      <w:r>
        <w:rPr>
          <w:rtl w:val="true"/>
        </w:rPr>
        <w:t>ת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eastAsia="Garamond" w:cs="Garamond"/>
          <w:rtl w:val="true"/>
        </w:rPr>
        <w:t xml:space="preserve"> </w:t>
      </w:r>
      <w:r>
        <w:rPr/>
        <w:t>10850-07-15</w:t>
      </w:r>
      <w:r>
        <w:rPr>
          <w:rtl w:val="true"/>
        </w:rPr>
        <w:t>.</w:t>
      </w:r>
    </w:p>
    <w:p>
      <w:pPr>
        <w:pStyle w:val="ListParagraph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המערערים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הורשעו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שמיעת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ראיות</w:t>
      </w:r>
      <w:r>
        <w:rPr>
          <w:rtl w:val="true"/>
        </w:rPr>
        <w:t xml:space="preserve">, </w:t>
      </w:r>
      <w:r>
        <w:rPr>
          <w:rtl w:val="true"/>
        </w:rPr>
        <w:t>בביצוע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חבלה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Garamond" w:cs="Garamond"/>
          <w:rtl w:val="true"/>
        </w:rPr>
        <w:t xml:space="preserve"> </w:t>
      </w:r>
      <w:hyperlink r:id="rId14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Garamond" w:cs="Garamond"/>
            <w:rtl w:val="true"/>
          </w:rPr>
          <w:t xml:space="preserve"> </w:t>
        </w:r>
        <w:r>
          <w:rPr>
            <w:rStyle w:val="Hyperlink"/>
          </w:rPr>
          <w:t>329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Garamond" w:cs="Garamond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ascii="FrankRuehl" w:hAnsi="FrankRuehl"/>
          <w:rtl w:val="true"/>
        </w:rPr>
        <w:t>–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Style w:val="Emphasis"/>
          <w:rtl w:val="true"/>
        </w:rPr>
        <w:t>חוק</w:t>
      </w:r>
      <w:r>
        <w:rPr>
          <w:rStyle w:val="Emphasis"/>
          <w:rFonts w:eastAsia="Garamond" w:cs="Garamond"/>
          <w:rtl w:val="true"/>
        </w:rPr>
        <w:t xml:space="preserve"> </w:t>
      </w:r>
      <w:r>
        <w:rPr>
          <w:rStyle w:val="Emphasis"/>
          <w:rtl w:val="true"/>
        </w:rPr>
        <w:t>העונשין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/>
        <w:t>4606/19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</w:t>
      </w:r>
      <w:r>
        <w:rPr>
          <w:rStyle w:val="Emphasis"/>
          <w:rtl w:val="true"/>
        </w:rPr>
        <w:t xml:space="preserve"> </w:t>
      </w:r>
      <w:r>
        <w:rPr>
          <w:rStyle w:val="Emphasis"/>
          <w:rtl w:val="true"/>
        </w:rPr>
        <w:t>המערער</w:t>
      </w:r>
      <w:r>
        <w:rPr>
          <w:rStyle w:val="Emphasis"/>
          <w:rFonts w:eastAsia="Arial TUR;Arial" w:cs="Arial TUR;Arial"/>
          <w:rtl w:val="true"/>
        </w:rPr>
        <w:t xml:space="preserve"> </w:t>
      </w:r>
      <w:r>
        <w:rPr>
          <w:rStyle w:val="Emphasis"/>
        </w:rPr>
        <w:t>1</w:t>
      </w:r>
      <w:r>
        <w:rPr>
          <w:rtl w:val="true"/>
        </w:rPr>
        <w:t xml:space="preserve">) </w:t>
      </w:r>
      <w:r>
        <w:rPr>
          <w:rtl w:val="true"/>
        </w:rPr>
        <w:t>נגזרו</w:t>
      </w:r>
      <w:r>
        <w:rPr>
          <w:rFonts w:eastAsia="Arial TUR;Arial" w:cs="Arial TUR;Arial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נלווית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/>
        <w:t>4454/19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Style w:val="Emphasis"/>
          <w:rtl w:val="true"/>
        </w:rPr>
        <w:t>המערער</w:t>
      </w:r>
      <w:r>
        <w:rPr>
          <w:rStyle w:val="Emphasis"/>
          <w:rFonts w:eastAsia="Arial TUR;Arial" w:cs="Arial TUR;Arial"/>
          <w:rtl w:val="true"/>
        </w:rPr>
        <w:t xml:space="preserve"> </w:t>
      </w:r>
      <w:r>
        <w:rPr>
          <w:rStyle w:val="Emphasis"/>
        </w:rPr>
        <w:t>2</w:t>
      </w:r>
      <w:r>
        <w:rPr>
          <w:rtl w:val="true"/>
        </w:rPr>
        <w:t xml:space="preserve">) </w:t>
      </w:r>
      <w:r>
        <w:rPr>
          <w:rtl w:val="true"/>
        </w:rPr>
        <w:t>נגזרו</w:t>
      </w:r>
      <w:r>
        <w:rPr>
          <w:rFonts w:eastAsia="Arial TUR;Arial" w:cs="Arial TUR;Arial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ירוצו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נלווית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>ערעורו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מופנה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, </w:t>
      </w:r>
      <w:r>
        <w:rPr>
          <w:rtl w:val="true"/>
        </w:rPr>
        <w:t>ואילו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מופנה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  <w:t>לאור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המסכת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המשותפת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בבסיס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הערעורים</w:t>
      </w:r>
      <w:r>
        <w:rPr>
          <w:rtl w:val="true"/>
        </w:rPr>
        <w:t xml:space="preserve">, </w:t>
      </w:r>
      <w:r>
        <w:rPr>
          <w:rtl w:val="true"/>
        </w:rPr>
        <w:t>אוחד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בשמיעתו</w:t>
      </w:r>
      <w:r>
        <w:rPr>
          <w:rtl w:val="true"/>
        </w:rPr>
        <w:t>.</w:t>
      </w:r>
    </w:p>
    <w:p>
      <w:pPr>
        <w:pStyle w:val="Heading1"/>
        <w:ind w:hanging="0" w:start="0" w:end="0"/>
        <w:jc w:val="start"/>
        <w:rPr/>
      </w:pPr>
      <w:r>
        <w:rPr>
          <w:rtl w:val="true"/>
        </w:rPr>
        <w:t>עיקרי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האישום</w:t>
      </w:r>
    </w:p>
    <w:p>
      <w:pPr>
        <w:pStyle w:val="ListParagraph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הנטען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המאוחד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eastAsia="Garamond" w:cs="Garamond"/>
          <w:rtl w:val="true"/>
        </w:rPr>
        <w:t xml:space="preserve"> </w:t>
      </w:r>
      <w:r>
        <w:rPr/>
        <w:t>2.4.2014</w:t>
      </w:r>
      <w:r>
        <w:rPr>
          <w:rtl w:val="true"/>
        </w:rPr>
        <w:t xml:space="preserve"> </w:t>
      </w:r>
      <w:r>
        <w:rPr>
          <w:rtl w:val="true"/>
        </w:rPr>
        <w:t>הגיע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למקום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עבודתו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ודרש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סכום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כסף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עסקה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למכירת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מחפרון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("</w:t>
      </w:r>
      <w:r>
        <w:rPr>
          <w:rtl w:val="true"/>
        </w:rPr>
        <w:t>שופל</w:t>
      </w:r>
      <w:r>
        <w:rPr>
          <w:rtl w:val="true"/>
        </w:rPr>
        <w:t>").</w:t>
      </w:r>
    </w:p>
    <w:p>
      <w:pPr>
        <w:pStyle w:val="Ruller4"/>
        <w:ind w:end="0"/>
        <w:jc w:val="both"/>
        <w:rPr/>
      </w:pP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;Arial" w:cs="Arial TUR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התפתח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מילולי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במהלכו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למקום</w:t>
      </w:r>
      <w:r>
        <w:rPr>
          <w:rtl w:val="true"/>
        </w:rPr>
        <w:t xml:space="preserve">. </w:t>
      </w:r>
      <w:r>
        <w:rPr>
          <w:rtl w:val="true"/>
        </w:rPr>
        <w:t>בשלב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מסוים</w:t>
      </w:r>
      <w:r>
        <w:rPr>
          <w:rtl w:val="true"/>
        </w:rPr>
        <w:t xml:space="preserve">, </w:t>
      </w:r>
      <w:r>
        <w:rPr>
          <w:rtl w:val="true"/>
        </w:rPr>
        <w:t>סטר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בפניו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בתגובה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תרסיס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מדמיע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וכיוון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לעברו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אז</w:t>
      </w:r>
      <w:r>
        <w:rPr>
          <w:rtl w:val="true"/>
        </w:rPr>
        <w:t xml:space="preserve">, </w:t>
      </w:r>
      <w:r>
        <w:rPr>
          <w:rtl w:val="true"/>
        </w:rPr>
        <w:t>הרים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אבן</w:t>
      </w:r>
      <w:r>
        <w:rPr>
          <w:rtl w:val="true"/>
        </w:rPr>
        <w:t xml:space="preserve">, </w:t>
      </w:r>
      <w:r>
        <w:rPr>
          <w:rtl w:val="true"/>
        </w:rPr>
        <w:t>השליכה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בפניו</w:t>
      </w:r>
      <w:r>
        <w:rPr>
          <w:rtl w:val="true"/>
        </w:rPr>
        <w:t xml:space="preserve">.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נאנק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מכאבים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והתרחק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שהתיז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מדמיע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>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בבד</w:t>
      </w:r>
      <w:r>
        <w:rPr>
          <w:rtl w:val="true"/>
        </w:rPr>
        <w:t xml:space="preserve">, </w:t>
      </w:r>
      <w:r>
        <w:rPr>
          <w:rtl w:val="true"/>
        </w:rPr>
        <w:t>הגיעו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שזהותם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ידועה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הצטרפו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למערערים</w:t>
      </w:r>
      <w:r>
        <w:rPr>
          <w:rtl w:val="true"/>
        </w:rPr>
        <w:t xml:space="preserve">. </w:t>
      </w:r>
      <w:r>
        <w:rPr>
          <w:rtl w:val="true"/>
        </w:rPr>
        <w:t>הארבעה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שהשליכו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שפגעו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בראשו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ובאיברים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. </w:t>
      </w:r>
      <w:r>
        <w:rPr>
          <w:rtl w:val="true"/>
        </w:rPr>
        <w:t>הגז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המדמיע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נשמט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ואבן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שאחז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להרתיע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החבורה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הושלכה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הקרקע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>הארבעה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המשיכו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להתרחק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והזעיק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מכשיר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הטלפון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הנייד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שברשותו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 xml:space="preserve">: </w:t>
      </w:r>
      <w:r>
        <w:rPr>
          <w:rStyle w:val="Emphasis"/>
          <w:rtl w:val="true"/>
        </w:rPr>
        <w:t>א</w:t>
      </w:r>
      <w:r>
        <w:rPr>
          <w:rStyle w:val="Emphasis"/>
          <w:rtl w:val="true"/>
        </w:rPr>
        <w:t>'</w:t>
      </w:r>
      <w:r>
        <w:rPr>
          <w:rtl w:val="true"/>
        </w:rPr>
        <w:t xml:space="preserve">),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שיחלצו</w:t>
      </w:r>
      <w:r>
        <w:rPr>
          <w:rtl w:val="true"/>
        </w:rPr>
        <w:t xml:space="preserve">; </w:t>
      </w:r>
      <w:r>
        <w:rPr>
          <w:rtl w:val="true"/>
        </w:rPr>
        <w:t>ואחד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החבורה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להכותו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במוט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ברזל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ארצה</w:t>
      </w:r>
      <w:r>
        <w:rPr>
          <w:rtl w:val="true"/>
        </w:rPr>
        <w:t xml:space="preserve">, </w:t>
      </w:r>
      <w:r>
        <w:rPr>
          <w:rtl w:val="true"/>
        </w:rPr>
        <w:t>ובעודו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הקרקע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המשיכו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הארבעה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להכותו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במוט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הברזל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ולהשליך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אבנים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  <w:t>בהמשך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>
          <w:rtl w:val="true"/>
        </w:rPr>
        <w:t>למקום</w:t>
      </w:r>
      <w:r>
        <w:rPr>
          <w:rtl w:val="true"/>
        </w:rPr>
        <w:t xml:space="preserve">, </w:t>
      </w:r>
      <w:r>
        <w:rPr>
          <w:rtl w:val="true"/>
        </w:rPr>
        <w:t>ומשהבחין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בארבעה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ומשליכים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בגופו</w:t>
      </w:r>
      <w:r>
        <w:rPr>
          <w:rtl w:val="true"/>
        </w:rPr>
        <w:t xml:space="preserve">. </w:t>
      </w:r>
      <w:r>
        <w:rPr>
          <w:rtl w:val="true"/>
        </w:rPr>
        <w:t>בשלב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התקרב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והכה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פטיש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>תוקפיו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צעקותיו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כוונתו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להזעיק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>למתלונן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באפו</w:t>
      </w:r>
      <w:r>
        <w:rPr>
          <w:rtl w:val="true"/>
        </w:rPr>
        <w:t xml:space="preserve">, </w:t>
      </w:r>
      <w:r>
        <w:rPr>
          <w:rtl w:val="true"/>
        </w:rPr>
        <w:t>פציעות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וחתכים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בראשו</w:t>
      </w:r>
      <w:r>
        <w:rPr>
          <w:rtl w:val="true"/>
        </w:rPr>
        <w:t>.</w:t>
      </w:r>
    </w:p>
    <w:p>
      <w:pPr>
        <w:pStyle w:val="Heading1"/>
        <w:ind w:hanging="0" w:start="0" w:end="0"/>
        <w:jc w:val="start"/>
        <w:rPr/>
      </w:pPr>
      <w:r>
        <w:rPr>
          <w:rtl w:val="true"/>
        </w:rPr>
        <w:t>פסק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המחוזי</w:t>
      </w:r>
    </w:p>
    <w:p>
      <w:pPr>
        <w:pStyle w:val="ListParagraph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בית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הרשיע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חבלה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שהתבסס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בעיקרו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דבר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מהימנות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עדות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נתמכה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בגרסאותיהם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שלושה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עדים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שנכחו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בשלבים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שונים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; </w:t>
      </w:r>
      <w:r>
        <w:rPr>
          <w:rtl w:val="true"/>
        </w:rPr>
        <w:t>לעומת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התרשמותו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אי</w:t>
      </w:r>
      <w:r>
        <w:rPr>
          <w:rtl w:val="true"/>
        </w:rPr>
        <w:t>-</w:t>
      </w:r>
      <w:r>
        <w:rPr>
          <w:rtl w:val="true"/>
        </w:rPr>
        <w:t>מהימנות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גרסת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המערערים</w:t>
      </w:r>
      <w:r>
        <w:rPr>
          <w:rtl w:val="true"/>
        </w:rPr>
        <w:t>.</w:t>
      </w:r>
    </w:p>
    <w:p>
      <w:pPr>
        <w:pStyle w:val="ListParagraph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לצורך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במסכת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העובדתית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שהונחה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בפניו</w:t>
      </w:r>
      <w:r>
        <w:rPr>
          <w:rtl w:val="true"/>
        </w:rPr>
        <w:t xml:space="preserve">, </w:t>
      </w:r>
      <w:r>
        <w:rPr>
          <w:rtl w:val="true"/>
        </w:rPr>
        <w:t>חילק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המתוארים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לשניים</w:t>
      </w:r>
      <w:r>
        <w:rPr>
          <w:rtl w:val="true"/>
        </w:rPr>
        <w:t xml:space="preserve">. </w:t>
      </w:r>
      <w:r>
        <w:rPr>
          <w:rtl w:val="true"/>
        </w:rPr>
        <w:t>קרי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התרחש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להתזת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הגז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המדמיע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; </w:t>
      </w:r>
      <w:r>
        <w:rPr>
          <w:rtl w:val="true"/>
        </w:rPr>
        <w:t>ואת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התרחש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עת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הצטרפו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תוקפים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לתקיפת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>.</w:t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אשר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לשלב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באירועים</w:t>
      </w:r>
      <w:r>
        <w:rPr>
          <w:rtl w:val="true"/>
        </w:rPr>
        <w:t xml:space="preserve">, </w:t>
      </w:r>
      <w:r>
        <w:rPr>
          <w:rtl w:val="true"/>
        </w:rPr>
        <w:t>צוין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דבר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קיומן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שתי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מחלוקות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עובדתיות</w:t>
      </w:r>
      <w:r>
        <w:rPr>
          <w:rtl w:val="true"/>
        </w:rPr>
        <w:t xml:space="preserve">: </w:t>
      </w:r>
      <w:r>
        <w:rPr>
          <w:rtl w:val="true"/>
        </w:rPr>
        <w:t>האחת</w:t>
      </w:r>
      <w:r>
        <w:rPr>
          <w:rtl w:val="true"/>
        </w:rPr>
        <w:t xml:space="preserve">, </w:t>
      </w:r>
      <w:r>
        <w:rPr>
          <w:rtl w:val="true"/>
        </w:rPr>
        <w:t>הכחשת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בינו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היכרות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מוקדמת</w:t>
      </w:r>
      <w:r>
        <w:rPr>
          <w:rtl w:val="true"/>
        </w:rPr>
        <w:t xml:space="preserve">; </w:t>
      </w:r>
      <w:r>
        <w:rPr>
          <w:rtl w:val="true"/>
        </w:rPr>
        <w:t>והשנייה</w:t>
      </w:r>
      <w:r>
        <w:rPr>
          <w:rtl w:val="true"/>
        </w:rPr>
        <w:t xml:space="preserve">, </w:t>
      </w:r>
      <w:r>
        <w:rPr>
          <w:rtl w:val="true"/>
        </w:rPr>
        <w:t>טענת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סטר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בפניו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השליך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אבן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ראשו</w:t>
      </w:r>
      <w:r>
        <w:rPr>
          <w:rtl w:val="true"/>
        </w:rPr>
        <w:t>.</w:t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בהתייחס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לסוגיית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ההיכרות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המוקדמת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העיד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עקבי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וסדור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היכרות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בינו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קודם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לאירוע</w:t>
      </w:r>
      <w:r>
        <w:rPr>
          <w:rtl w:val="true"/>
        </w:rPr>
        <w:t xml:space="preserve">; </w:t>
      </w:r>
      <w:r>
        <w:rPr>
          <w:rtl w:val="true"/>
        </w:rPr>
        <w:t>בעוד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שגרסת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מבולבלת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עקבית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מהימנה</w:t>
      </w:r>
      <w:r>
        <w:rPr>
          <w:rtl w:val="true"/>
        </w:rPr>
        <w:t>" (</w:t>
      </w:r>
      <w:r>
        <w:rPr>
          <w:rtl w:val="true"/>
        </w:rPr>
        <w:t>פסקה</w:t>
      </w:r>
      <w:r>
        <w:rPr>
          <w:rFonts w:eastAsia="Garamond" w:cs="Garamond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צוין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שקיימת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היכרות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מוקדמת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; </w:t>
      </w:r>
      <w:r>
        <w:rPr>
          <w:rtl w:val="true"/>
        </w:rPr>
        <w:t>ומנגד</w:t>
      </w:r>
      <w:r>
        <w:rPr>
          <w:rtl w:val="true"/>
        </w:rPr>
        <w:t xml:space="preserve">, </w:t>
      </w:r>
      <w:r>
        <w:rPr>
          <w:rtl w:val="true"/>
        </w:rPr>
        <w:t>בהודעותיו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ובעדותו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סותרות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למידת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היכרותו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: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תלונה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עיר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מגוריו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הטלפון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שו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 xml:space="preserve">, </w:t>
      </w:r>
      <w:r>
        <w:rPr/>
        <w:t>54</w:t>
      </w:r>
      <w:r>
        <w:rPr>
          <w:rtl w:val="true"/>
        </w:rPr>
        <w:t>–</w:t>
      </w:r>
      <w:r>
        <w:rPr/>
        <w:t>55</w:t>
      </w:r>
      <w:r>
        <w:rPr>
          <w:rtl w:val="true"/>
        </w:rPr>
        <w:t xml:space="preserve">); </w:t>
      </w:r>
      <w:r>
        <w:rPr>
          <w:rtl w:val="true"/>
        </w:rPr>
        <w:t>בעדותו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פעם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ראשונה</w:t>
      </w:r>
      <w:r>
        <w:rPr>
          <w:rFonts w:eastAsia="Arial TUR;Arial" w:cs="Arial TUR;Arial"/>
          <w:rtl w:val="true"/>
        </w:rPr>
        <w:t xml:space="preserve"> </w:t>
      </w:r>
      <w:r>
        <w:rPr>
          <w:rStyle w:val="Emphasis"/>
          <w:rtl w:val="true"/>
        </w:rPr>
        <w:t>כמעט</w:t>
      </w:r>
      <w:r>
        <w:rPr>
          <w:rtl w:val="true"/>
        </w:rPr>
        <w:t xml:space="preserve">"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המלמד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103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; </w:t>
      </w:r>
      <w:r>
        <w:rPr>
          <w:rtl w:val="true"/>
        </w:rPr>
        <w:t>ההדגשה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הוספה</w:t>
      </w:r>
      <w:r>
        <w:rPr>
          <w:rtl w:val="true"/>
        </w:rPr>
        <w:t xml:space="preserve">); </w:t>
      </w:r>
      <w:r>
        <w:rPr>
          <w:rtl w:val="true"/>
        </w:rPr>
        <w:t>בחקירתו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הנגדית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שומע</w:t>
      </w:r>
      <w:r>
        <w:rPr>
          <w:rtl w:val="true"/>
        </w:rPr>
        <w:t>"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109</w:t>
      </w:r>
      <w:r>
        <w:rPr>
          <w:rtl w:val="true"/>
        </w:rPr>
        <w:t xml:space="preserve">); </w:t>
      </w:r>
      <w:r>
        <w:rPr>
          <w:rtl w:val="true"/>
        </w:rPr>
        <w:t>ובהמשך</w:t>
      </w:r>
      <w:r>
        <w:rPr>
          <w:rtl w:val="true"/>
        </w:rPr>
        <w:t xml:space="preserve">, </w:t>
      </w:r>
      <w:r>
        <w:rPr>
          <w:rtl w:val="true"/>
        </w:rPr>
        <w:t>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ייתכן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מוכר</w:t>
      </w:r>
      <w:r>
        <w:rPr>
          <w:rtl w:val="true"/>
        </w:rPr>
        <w:t xml:space="preserve">"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128</w:t>
      </w:r>
      <w:r>
        <w:rPr>
          <w:rFonts w:cs="FrankRuehl" w:ascii="FrankRuehl" w:hAnsi="FrankRuehl"/>
          <w:rtl w:val="true"/>
        </w:rPr>
        <w:t>–</w:t>
      </w:r>
      <w:r>
        <w:rPr/>
        <w:t>129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  <w:t>לנוכח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סתירות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בגרסת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וגרסתו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המהימנה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והעקבית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היכרות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מוקדמת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לאירוע</w:t>
      </w:r>
      <w:r>
        <w:rPr>
          <w:rtl w:val="true"/>
        </w:rPr>
        <w:t xml:space="preserve">, </w:t>
      </w:r>
      <w:r>
        <w:rPr>
          <w:rtl w:val="true"/>
        </w:rPr>
        <w:t>כנטען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>.</w:t>
      </w:r>
    </w:p>
    <w:p>
      <w:pPr>
        <w:pStyle w:val="ListParagraph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עוד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אכן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סטר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והשליך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אבן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ראשו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בטרם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הצטרפו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למעשים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תיאר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כמעט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זהה</w:t>
      </w:r>
      <w:r>
        <w:rPr>
          <w:rtl w:val="true"/>
        </w:rPr>
        <w:t xml:space="preserve">" </w:t>
      </w:r>
      <w:r>
        <w:rPr>
          <w:rtl w:val="true"/>
        </w:rPr>
        <w:t>בעדותו</w:t>
      </w:r>
      <w:r>
        <w:rPr>
          <w:rtl w:val="true"/>
        </w:rPr>
        <w:t xml:space="preserve">, </w:t>
      </w:r>
      <w:r>
        <w:rPr>
          <w:rtl w:val="true"/>
        </w:rPr>
        <w:t>בהודעתו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ובעימות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שנערך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עקבית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ואמינה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ונתמכה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נוספות</w:t>
      </w:r>
      <w:r>
        <w:rPr>
          <w:rtl w:val="true"/>
        </w:rPr>
        <w:t xml:space="preserve">"; </w:t>
      </w:r>
      <w:r>
        <w:rPr>
          <w:rtl w:val="true"/>
        </w:rPr>
        <w:t>ומנגד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"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בעדותו</w:t>
      </w:r>
      <w:r>
        <w:rPr>
          <w:rtl w:val="true"/>
        </w:rPr>
        <w:t xml:space="preserve">, </w:t>
      </w:r>
      <w:r>
        <w:rPr>
          <w:rtl w:val="true"/>
        </w:rPr>
        <w:t>הודעותיו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והעימות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בפרטים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רבים</w:t>
      </w:r>
      <w:r>
        <w:rPr>
          <w:rtl w:val="true"/>
        </w:rPr>
        <w:t xml:space="preserve">, </w:t>
      </w:r>
      <w:r>
        <w:rPr>
          <w:rtl w:val="true"/>
        </w:rPr>
        <w:t>ונראה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שנחשפו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בפניו</w:t>
      </w:r>
      <w:r>
        <w:rPr>
          <w:rtl w:val="true"/>
        </w:rPr>
        <w:t>" (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  <w:t>בהקשר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בהודעתו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התזת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המדמיע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לעברו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בעדותו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בתחילה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זוכר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; </w:t>
      </w:r>
      <w:r>
        <w:rPr>
          <w:rtl w:val="true"/>
        </w:rPr>
        <w:t>ובהמשך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הקודמת</w:t>
      </w:r>
      <w:r>
        <w:rPr>
          <w:rtl w:val="true"/>
        </w:rPr>
        <w:t xml:space="preserve">, </w:t>
      </w:r>
      <w:r>
        <w:rPr>
          <w:rtl w:val="true"/>
        </w:rPr>
        <w:t>באומרו</w:t>
      </w:r>
      <w:r>
        <w:rPr>
          <w:rtl w:val="true"/>
        </w:rPr>
        <w:t>:</w:t>
      </w:r>
    </w:p>
    <w:p>
      <w:pPr>
        <w:pStyle w:val="Quote"/>
        <w:ind w:end="1276"/>
        <w:jc w:val="both"/>
        <w:rPr/>
      </w:pPr>
      <w:r>
        <w:rPr>
          <w:rtl w:val="true"/>
        </w:rPr>
        <w:t>"</w:t>
      </w:r>
      <w:r>
        <w:rPr>
          <w:rtl w:val="true"/>
        </w:rPr>
        <w:t>אחרי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Style w:val="Emphasis"/>
          <w:rtl w:val="true"/>
        </w:rPr>
        <w:t>י</w:t>
      </w:r>
      <w:r>
        <w:rPr>
          <w:rStyle w:val="Emphasis"/>
          <w:rtl w:val="true"/>
        </w:rPr>
        <w:t xml:space="preserve">' </w:t>
      </w:r>
      <w:r>
        <w:rPr>
          <w:rStyle w:val="Emphasis"/>
          <w:rtl w:val="true"/>
        </w:rPr>
        <w:t>א</w:t>
      </w:r>
      <w:r>
        <w:rPr>
          <w:rStyle w:val="Emphasis"/>
          <w:rtl w:val="true"/>
        </w:rPr>
        <w:t>'</w:t>
      </w:r>
      <w:r>
        <w:rPr>
          <w:rtl w:val="true"/>
        </w:rPr>
        <w:t xml:space="preserve">] </w:t>
      </w:r>
      <w:r>
        <w:rPr>
          <w:rtl w:val="true"/>
        </w:rPr>
        <w:t>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אגרוף</w:t>
      </w:r>
      <w:r>
        <w:rPr>
          <w:rtl w:val="true"/>
        </w:rPr>
        <w:t xml:space="preserve">, </w:t>
      </w:r>
      <w:r>
        <w:rPr>
          <w:rtl w:val="true"/>
        </w:rPr>
        <w:t>באתי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לתפוס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משהו</w:t>
      </w:r>
      <w:r>
        <w:rPr>
          <w:rFonts w:eastAsia="Arial TUR;Arial" w:cs="Arial TUR;Arial"/>
          <w:rtl w:val="true"/>
        </w:rPr>
        <w:t xml:space="preserve"> </w:t>
      </w:r>
      <w:r>
        <w:rPr>
          <w:rStyle w:val="Emphasis"/>
          <w:rtl w:val="true"/>
        </w:rPr>
        <w:t>להחזיר</w:t>
      </w:r>
      <w:r>
        <w:rPr>
          <w:rStyle w:val="Emphasis"/>
          <w:rFonts w:eastAsia="Arial TUR;Arial" w:cs="Arial TUR;Arial"/>
          <w:rtl w:val="true"/>
        </w:rPr>
        <w:t xml:space="preserve"> </w:t>
      </w:r>
      <w:r>
        <w:rPr>
          <w:rStyle w:val="Emphasis"/>
          <w:rtl w:val="true"/>
        </w:rPr>
        <w:t>לו</w:t>
      </w:r>
      <w:r>
        <w:rPr>
          <w:rtl w:val="true"/>
        </w:rPr>
        <w:t>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105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; </w:t>
      </w:r>
      <w:r>
        <w:rPr>
          <w:rtl w:val="true"/>
        </w:rPr>
        <w:t>הדגשה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הוספה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  <w:t>נקבע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תומך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בגרסת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השליך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לראשו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להודעתו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מערער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, </w:t>
      </w:r>
      <w:r>
        <w:rPr>
          <w:rtl w:val="true"/>
        </w:rPr>
        <w:t>במסגרתה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שו</w:t>
      </w:r>
      <w:r>
        <w:rPr>
          <w:rtl w:val="true"/>
        </w:rPr>
        <w:t xml:space="preserve">' </w:t>
      </w:r>
      <w:r>
        <w:rPr/>
        <w:t>41</w:t>
      </w:r>
      <w:r>
        <w:rPr>
          <w:rtl w:val="true"/>
        </w:rPr>
        <w:t xml:space="preserve">), </w:t>
      </w:r>
      <w:r>
        <w:rPr>
          <w:rtl w:val="true"/>
        </w:rPr>
        <w:t>הרי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שבהודעתו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השנייה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ולאחר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החזיר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אגרוף</w:t>
      </w:r>
      <w:r>
        <w:rPr>
          <w:rtl w:val="true"/>
        </w:rPr>
        <w:t>" 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שו</w:t>
      </w:r>
      <w:r>
        <w:rPr>
          <w:rtl w:val="true"/>
        </w:rPr>
        <w:t xml:space="preserve">' </w:t>
      </w:r>
      <w:r>
        <w:rPr/>
        <w:t>16</w:t>
      </w:r>
      <w:r>
        <w:rPr>
          <w:rFonts w:cs="FrankRuehl" w:ascii="FrankRuehl" w:hAnsi="FrankRuehl"/>
          <w:rtl w:val="true"/>
        </w:rPr>
        <w:t>–</w:t>
      </w:r>
      <w:r>
        <w:rPr/>
        <w:t>17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  <w:t>תימוכין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לגרסת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שנערך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, </w:t>
      </w:r>
      <w:r>
        <w:rPr>
          <w:rtl w:val="true"/>
        </w:rPr>
        <w:t>במהלכו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מדמיע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tl w:val="true"/>
        </w:rPr>
        <w:t xml:space="preserve">, </w:t>
      </w:r>
      <w:r>
        <w:rPr>
          <w:rtl w:val="true"/>
        </w:rPr>
        <w:t>ברח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ומעד</w:t>
      </w:r>
      <w:r>
        <w:rPr>
          <w:rtl w:val="true"/>
        </w:rPr>
        <w:t xml:space="preserve">, </w:t>
      </w:r>
      <w:r>
        <w:rPr>
          <w:rtl w:val="true"/>
        </w:rPr>
        <w:t>וכתוצאה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ניגר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מראשו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הפגיעות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בראשו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הקרקפת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מתיישב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הסברו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שלפיו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הפגיעות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נגרמו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מנפילת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; </w:t>
      </w:r>
      <w:r>
        <w:rPr>
          <w:rtl w:val="true"/>
        </w:rPr>
        <w:t>ואולם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שהבחין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ניגר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מראשו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תומכת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בגרסה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הושלכה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לראשו</w:t>
      </w:r>
      <w:r>
        <w:rPr>
          <w:rtl w:val="true"/>
        </w:rPr>
        <w:t>.</w:t>
      </w:r>
    </w:p>
    <w:p>
      <w:pPr>
        <w:pStyle w:val="ListParagraph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באשר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לשלב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השני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קבע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הוכח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מעבר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לספק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סביר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שהמתלונן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הותקף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כפי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שמתואר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למעט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החומר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ממנו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עשוי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המוט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הוכה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וזהות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האדם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שהכה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בפטיש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בעדותו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שאירע</w:t>
      </w:r>
      <w:r>
        <w:rPr>
          <w:rtl w:val="true"/>
        </w:rPr>
        <w:t xml:space="preserve">;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תומכות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בגרסתו</w:t>
      </w:r>
      <w:r>
        <w:rPr>
          <w:rtl w:val="true"/>
        </w:rPr>
        <w:t xml:space="preserve">: </w:t>
      </w:r>
    </w:p>
    <w:p>
      <w:pPr>
        <w:pStyle w:val="Ruller4"/>
        <w:ind w:end="0"/>
        <w:jc w:val="both"/>
        <w:rPr/>
      </w:pPr>
      <w:r>
        <w:rPr>
          <w:rStyle w:val="Emphasis"/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הפגיעות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תועדו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בראשו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ובידיו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2</w:t>
      </w:r>
      <w:r>
        <w:rPr>
          <w:rtl w:val="true"/>
        </w:rPr>
        <w:t xml:space="preserve">) </w:t>
      </w:r>
      <w:r>
        <w:rPr>
          <w:rtl w:val="true"/>
        </w:rPr>
        <w:t>מתאים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מאבנים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ממוט</w:t>
      </w:r>
      <w:r>
        <w:rPr>
          <w:rtl w:val="true"/>
        </w:rPr>
        <w:t xml:space="preserve">",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מתאים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שקיבל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בפטיש</w:t>
      </w:r>
      <w:r>
        <w:rPr>
          <w:rtl w:val="true"/>
        </w:rPr>
        <w:t>".</w:t>
      </w:r>
    </w:p>
    <w:p>
      <w:pPr>
        <w:pStyle w:val="Ruller4"/>
        <w:ind w:end="0"/>
        <w:jc w:val="both"/>
        <w:rPr/>
      </w:pPr>
      <w:r>
        <w:rPr>
          <w:rStyle w:val="Emphasis"/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באירועים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מנסור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מתיישבת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היטב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  <w:t>צוין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אומנם</w:t>
      </w:r>
      <w:r>
        <w:rPr>
          <w:rtl w:val="true"/>
        </w:rPr>
        <w:t xml:space="preserve">, </w:t>
      </w:r>
      <w:r>
        <w:rPr>
          <w:rtl w:val="true"/>
        </w:rPr>
        <w:t>מנסור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מגרסה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בעדותו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; </w:t>
      </w:r>
      <w:r>
        <w:rPr>
          <w:rtl w:val="true"/>
        </w:rPr>
        <w:t>אולם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להעדיף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בהודעתו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הוראת</w:t>
      </w:r>
      <w:r>
        <w:rPr>
          <w:rFonts w:eastAsia="Arial TUR;Arial" w:cs="Arial TUR;Arial"/>
          <w:rtl w:val="true"/>
        </w:rPr>
        <w:t xml:space="preserve"> </w:t>
      </w:r>
      <w:hyperlink r:id="rId16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10</w:t>
        </w:r>
        <w:r>
          <w:rPr>
            <w:rStyle w:val="Hyperlink"/>
            <w:rtl w:val="true"/>
          </w:rPr>
          <w:t>א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hyperlink r:id="rId17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הראיות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],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softHyphen/>
        <w:t>–</w:t>
      </w:r>
      <w:r>
        <w:rPr/>
        <w:t>1971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Style w:val="Emphasis"/>
          <w:sz w:val="28"/>
          <w:sz w:val="28"/>
          <w:rtl w:val="true"/>
        </w:rPr>
        <w:t>פקודת</w:t>
      </w:r>
      <w:r>
        <w:rPr>
          <w:rStyle w:val="Emphasis"/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Style w:val="Emphasis"/>
          <w:sz w:val="28"/>
          <w:sz w:val="28"/>
          <w:rtl w:val="true"/>
        </w:rPr>
        <w:t>הראיות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השינוי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המהותי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שבגרסתו</w:t>
      </w:r>
      <w:r>
        <w:rPr>
          <w:rtl w:val="true"/>
        </w:rPr>
        <w:t xml:space="preserve">; </w:t>
      </w:r>
      <w:r>
        <w:rPr>
          <w:rtl w:val="true"/>
        </w:rPr>
        <w:t>התרשמות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מנסור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להרחיק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מהאירועים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מחשש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שיטענו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</w:t>
      </w:r>
      <w:r>
        <w:rPr>
          <w:rtl w:val="true"/>
        </w:rPr>
        <w:t xml:space="preserve">; </w:t>
      </w:r>
      <w:r>
        <w:rPr>
          <w:rtl w:val="true"/>
        </w:rPr>
        <w:t>פרטים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בהודעתו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התואמים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נוספות</w:t>
      </w:r>
      <w:r>
        <w:rPr>
          <w:rtl w:val="true"/>
        </w:rPr>
        <w:t xml:space="preserve">, </w:t>
      </w:r>
      <w:r>
        <w:rPr>
          <w:rtl w:val="true"/>
        </w:rPr>
        <w:t>ובהם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התייחסות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לדימום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מראש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; </w:t>
      </w:r>
      <w:r>
        <w:rPr>
          <w:rtl w:val="true"/>
        </w:rPr>
        <w:t>ואופן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הפרטים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בהודעתו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נראים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כהודעה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שנגבתה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לחץ</w:t>
      </w:r>
      <w:r>
        <w:rPr>
          <w:rtl w:val="true"/>
        </w:rPr>
        <w:t>".</w:t>
      </w:r>
    </w:p>
    <w:p>
      <w:pPr>
        <w:pStyle w:val="Ruller4"/>
        <w:ind w:end="0"/>
        <w:jc w:val="both"/>
        <w:rPr/>
      </w:pPr>
      <w:r>
        <w:rPr>
          <w:rStyle w:val="Emphasis"/>
          <w:rtl w:val="true"/>
        </w:rPr>
        <w:t>שלישית</w:t>
      </w:r>
      <w:r>
        <w:rPr>
          <w:rtl w:val="true"/>
        </w:rPr>
        <w:t xml:space="preserve">, </w:t>
      </w:r>
      <w:r>
        <w:rPr>
          <w:rtl w:val="true"/>
        </w:rPr>
        <w:t>התייחס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לעדותו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tl w:val="true"/>
        </w:rPr>
        <w:t xml:space="preserve">),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מהימנה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והתיישבה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העיד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 xml:space="preserve">'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הבחין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בתגרה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שבמהלכה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הושלכו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שנפצע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בראשו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>'</w:t>
      </w:r>
      <w:r>
        <w:rPr>
          <w:rtl w:val="true"/>
        </w:rPr>
        <w:t xml:space="preserve">, </w:t>
      </w:r>
      <w:r>
        <w:rPr>
          <w:rtl w:val="true"/>
        </w:rPr>
        <w:t>חברו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הגיע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והגן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בגופו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Style w:val="Emphasis"/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מהימנה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FrankRuehl" w:hAnsi="FrankRuehl"/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השליכו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עצמו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בגופו</w:t>
      </w:r>
      <w:r>
        <w:rPr>
          <w:rtl w:val="true"/>
        </w:rPr>
        <w:t xml:space="preserve">, </w:t>
      </w:r>
      <w:r>
        <w:rPr>
          <w:rtl w:val="true"/>
        </w:rPr>
        <w:t>בהתאם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לגרסת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>.</w:t>
      </w:r>
    </w:p>
    <w:p>
      <w:pPr>
        <w:pStyle w:val="ListParagraph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יחד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צוין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קיים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קושי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בעדות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לזיהוי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האדם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שהכה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במתלונן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פטיש</w:t>
      </w:r>
      <w:r>
        <w:rPr>
          <w:rtl w:val="true"/>
        </w:rPr>
        <w:t xml:space="preserve">, </w:t>
      </w:r>
      <w:r>
        <w:rPr>
          <w:rtl w:val="true"/>
        </w:rPr>
        <w:t>לנוכח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סתירות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לזהות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המכה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בעדותו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Garamond" w:cs="Garamond"/>
          <w:rtl w:val="true"/>
        </w:rPr>
        <w:t xml:space="preserve"> </w:t>
      </w:r>
      <w:r>
        <w:rPr/>
        <w:t>9.10.2016</w:t>
      </w:r>
      <w:r>
        <w:rPr>
          <w:rtl w:val="true"/>
        </w:rPr>
        <w:t xml:space="preserve">, </w:t>
      </w:r>
      <w:r>
        <w:rPr>
          <w:rtl w:val="true"/>
        </w:rPr>
        <w:t>ציין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שבעדותו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Garamond" w:cs="Garamond"/>
          <w:rtl w:val="true"/>
        </w:rPr>
        <w:t xml:space="preserve"> </w:t>
      </w:r>
      <w:r>
        <w:rPr/>
        <w:t>4.7.2017</w:t>
      </w:r>
      <w:r>
        <w:rPr>
          <w:rtl w:val="true"/>
        </w:rPr>
        <w:t xml:space="preserve">, </w:t>
      </w:r>
      <w:r>
        <w:rPr>
          <w:rtl w:val="true"/>
        </w:rPr>
        <w:t>שלל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  <w:t>נקבע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סתירה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פוגמת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במהימנות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בכללותה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לעורר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לזהות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בפטיש</w:t>
      </w:r>
      <w:r>
        <w:rPr>
          <w:rtl w:val="true"/>
        </w:rPr>
        <w:t xml:space="preserve">, </w:t>
      </w:r>
      <w:r>
        <w:rPr>
          <w:rtl w:val="true"/>
        </w:rPr>
        <w:t>ובכך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>בהקשר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אירועי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נכון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בעדותו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לזהות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תוקפו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בפטיש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התוקפים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שנטלו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באירוע</w:t>
      </w:r>
      <w:r>
        <w:rPr>
          <w:rtl w:val="true"/>
        </w:rPr>
        <w:t xml:space="preserve">, </w:t>
      </w:r>
      <w:r>
        <w:rPr>
          <w:rtl w:val="true"/>
        </w:rPr>
        <w:t>ומשכך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פוזיטיבית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בעניין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לנוכח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הגרסאות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במוט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ברזל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צינור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שחור</w:t>
      </w:r>
      <w:r>
        <w:rPr>
          <w:rtl w:val="true"/>
        </w:rPr>
        <w:t xml:space="preserve">", </w:t>
      </w:r>
      <w:r>
        <w:rPr>
          <w:rtl w:val="true"/>
        </w:rPr>
        <w:t>הניח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לטובת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בצינור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פלסטיק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ברזל</w:t>
      </w:r>
      <w:r>
        <w:rPr>
          <w:rtl w:val="true"/>
        </w:rPr>
        <w:t>.</w:t>
      </w:r>
    </w:p>
    <w:p>
      <w:pPr>
        <w:pStyle w:val="ListParagraph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קבע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הוכח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מעבר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לספק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סביר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התוקפים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לראותם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כמי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שביצעו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חדא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מעשי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התקיפה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Fonts w:eastAsia="Garamond" w:cs="Garamond"/>
          <w:rtl w:val="true"/>
        </w:rPr>
        <w:t xml:space="preserve"> </w:t>
      </w:r>
      <w:hyperlink r:id="rId18">
        <w:r>
          <w:rPr>
            <w:rStyle w:val="Hyperlink"/>
            <w:rtl w:val="true"/>
          </w:rPr>
          <w:t>בסעיף</w:t>
        </w:r>
        <w:r>
          <w:rPr>
            <w:rStyle w:val="Hyperlink"/>
            <w:rFonts w:eastAsia="Garamond" w:cs="Garamond"/>
            <w:rtl w:val="true"/>
          </w:rPr>
          <w:t xml:space="preserve"> </w:t>
        </w:r>
        <w:r>
          <w:rPr>
            <w:rStyle w:val="Hyperlink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Garamond" w:cs="Garamond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הורשעו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המאוחד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>.</w:t>
      </w:r>
    </w:p>
    <w:p>
      <w:pPr>
        <w:pStyle w:val="ListParagraph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בגזר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דינו</w:t>
      </w:r>
      <w:r>
        <w:rPr>
          <w:rtl w:val="true"/>
        </w:rPr>
        <w:t xml:space="preserve">, </w:t>
      </w:r>
      <w:r>
        <w:rPr>
          <w:rtl w:val="true"/>
        </w:rPr>
        <w:t>עמד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החמורה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שגרמו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ביטחון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ושלום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, </w:t>
      </w:r>
      <w:r>
        <w:rPr>
          <w:rtl w:val="true"/>
        </w:rPr>
        <w:t>ושלמות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גופו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וכבודו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האדם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  <w:t>משבחן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דומות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שהביאו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; </w:t>
      </w:r>
      <w:r>
        <w:rPr>
          <w:rtl w:val="true"/>
        </w:rPr>
        <w:t>ואילו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/>
        <w:t>10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ascii="FrankRuehl" w:hAnsi="FrankRuehl"/>
          <w:rtl w:val="true"/>
        </w:rPr>
        <w:t>ל</w:t>
      </w:r>
      <w:r>
        <w:rPr>
          <w:rtl w:val="true"/>
        </w:rPr>
        <w:t>-</w:t>
      </w:r>
      <w:r>
        <w:rPr/>
        <w:t>34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ההבדלים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במתחמי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נימק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באירוע</w:t>
      </w:r>
      <w:r>
        <w:rPr>
          <w:rtl w:val="true"/>
        </w:rPr>
        <w:t xml:space="preserve">, </w:t>
      </w:r>
      <w:r>
        <w:rPr>
          <w:rtl w:val="true"/>
        </w:rPr>
        <w:t>ואילו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הצטרף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>.</w:t>
      </w:r>
    </w:p>
    <w:p>
      <w:pPr>
        <w:pStyle w:val="ListParagraph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בטרם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עונשיהם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בתוך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מתחמי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התייחס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לתסקירי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שהוצגו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בפניו</w:t>
      </w:r>
      <w:r>
        <w:rPr>
          <w:rtl w:val="true"/>
        </w:rPr>
        <w:t xml:space="preserve">, </w:t>
      </w:r>
      <w:r>
        <w:rPr>
          <w:rtl w:val="true"/>
        </w:rPr>
        <w:t>בגדרם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הומלץ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תכנית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לצד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מותנה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ופיצוי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למתלונן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הימנעות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מהטלת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עונשי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המערערים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לאמץ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המלצה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מעין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משום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מתאימה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המקרה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ולנסיבותיהם</w:t>
      </w:r>
      <w:r>
        <w:rPr>
          <w:rtl w:val="true"/>
        </w:rPr>
        <w:t xml:space="preserve">"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המערערים</w:t>
      </w:r>
      <w:r>
        <w:rPr>
          <w:rtl w:val="true"/>
        </w:rPr>
        <w:t>.</w:t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בהתאם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בקביעת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שקל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לקולא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מצבו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המשפחתי</w:t>
      </w:r>
      <w:r>
        <w:rPr>
          <w:rtl w:val="true"/>
        </w:rPr>
        <w:t xml:space="preserve">, </w:t>
      </w:r>
      <w:r>
        <w:rPr>
          <w:rtl w:val="true"/>
        </w:rPr>
        <w:t>היעדר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עבר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פלילי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הערכת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יכולות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תפקודיות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טובות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וגזר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;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לבל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יעבור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פשע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למשך</w:t>
      </w:r>
      <w:r>
        <w:rPr>
          <w:rFonts w:eastAsia="Garamond" w:cs="Garamond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שחרורו</w:t>
      </w:r>
      <w:r>
        <w:rPr>
          <w:rtl w:val="true"/>
        </w:rPr>
        <w:t xml:space="preserve">; </w:t>
      </w:r>
      <w:r>
        <w:rPr>
          <w:rtl w:val="true"/>
        </w:rPr>
        <w:t>וחייבו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בתשלום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פיצוי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סך</w:t>
      </w:r>
      <w:r>
        <w:rPr>
          <w:rFonts w:eastAsia="Garamond" w:cs="Garamond"/>
          <w:rtl w:val="true"/>
        </w:rPr>
        <w:t xml:space="preserve"> </w:t>
      </w:r>
      <w:r>
        <w:rPr/>
        <w:t>15,000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>בהתייחס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המתקדם</w:t>
      </w:r>
      <w:r>
        <w:rPr>
          <w:rtl w:val="true"/>
        </w:rPr>
        <w:t xml:space="preserve">, </w:t>
      </w:r>
      <w:r>
        <w:rPr>
          <w:rtl w:val="true"/>
        </w:rPr>
        <w:t>היעדר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לחובתו</w:t>
      </w:r>
      <w:r>
        <w:rPr>
          <w:rtl w:val="true"/>
        </w:rPr>
        <w:t xml:space="preserve">, </w:t>
      </w:r>
      <w:r>
        <w:rPr>
          <w:rtl w:val="true"/>
        </w:rPr>
        <w:t>והתרשמות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פורצת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גבולות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ירוצו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;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יעבור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פשע</w:t>
      </w:r>
      <w:r>
        <w:rPr>
          <w:rtl w:val="true"/>
        </w:rPr>
        <w:t xml:space="preserve">" </w:t>
      </w:r>
      <w:r>
        <w:rPr>
          <w:rtl w:val="true"/>
        </w:rPr>
        <w:t>למשך</w:t>
      </w:r>
      <w:r>
        <w:rPr>
          <w:rFonts w:eastAsia="Arial TUR;Arial" w:cs="Arial TUR;Arial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; </w:t>
      </w:r>
      <w:r>
        <w:rPr>
          <w:rtl w:val="true"/>
        </w:rPr>
        <w:t>וחייבו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בתשלום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סך</w:t>
      </w:r>
      <w:r>
        <w:rPr>
          <w:rFonts w:eastAsia="Arial TUR;Arial" w:cs="Arial TUR;Arial"/>
          <w:rtl w:val="true"/>
        </w:rPr>
        <w:t xml:space="preserve"> </w:t>
      </w:r>
      <w:r>
        <w:rPr/>
        <w:t>12,500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>.</w:t>
      </w:r>
    </w:p>
    <w:p>
      <w:pPr>
        <w:pStyle w:val="Heading1"/>
        <w:ind w:hanging="0" w:start="0" w:end="0"/>
        <w:jc w:val="start"/>
        <w:rPr/>
      </w:pPr>
      <w:r>
        <w:rPr>
          <w:rtl w:val="true"/>
        </w:rPr>
        <w:t>טענות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בערעורים</w:t>
      </w:r>
    </w:p>
    <w:p>
      <w:pPr>
        <w:pStyle w:val="ListParagraph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שני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הערעורים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מופנים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>לטענת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tl w:val="true"/>
        </w:rPr>
        <w:t xml:space="preserve">, </w:t>
      </w:r>
      <w:r>
        <w:rPr>
          <w:rtl w:val="true"/>
        </w:rPr>
        <w:t>שגה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בקובעו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מהימנה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>בכלל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טוען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כהגדרתו</w:t>
      </w:r>
      <w:r>
        <w:rPr>
          <w:rtl w:val="true"/>
        </w:rPr>
        <w:t>, "</w:t>
      </w:r>
      <w:r>
        <w:rPr>
          <w:rtl w:val="true"/>
        </w:rPr>
        <w:t>רוויה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וסתירות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באירוע</w:t>
      </w:r>
      <w:r>
        <w:rPr>
          <w:rtl w:val="true"/>
        </w:rPr>
        <w:t xml:space="preserve">, </w:t>
      </w:r>
      <w:r>
        <w:rPr>
          <w:rtl w:val="true"/>
        </w:rPr>
        <w:t>שלבי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ומעשי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המעורבים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וזיהוי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שלהם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לשיבוש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ותיאום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גרסאות</w:t>
      </w:r>
      <w:r>
        <w:rPr>
          <w:rtl w:val="true"/>
        </w:rPr>
        <w:t xml:space="preserve">"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חברו</w:t>
      </w:r>
      <w:r>
        <w:rPr>
          <w:rtl w:val="true"/>
        </w:rPr>
        <w:t xml:space="preserve">, </w:t>
      </w:r>
      <w:r>
        <w:rPr>
          <w:rtl w:val="true"/>
        </w:rPr>
        <w:t>א</w:t>
      </w:r>
      <w:r>
        <w:rPr>
          <w:rtl w:val="true"/>
        </w:rPr>
        <w:t>'</w:t>
      </w:r>
      <w:r>
        <w:rPr>
          <w:rtl w:val="true"/>
        </w:rPr>
        <w:t xml:space="preserve">;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בדרישה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כספית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מפעילותו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השיטתית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לסחוט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שופלים</w:t>
      </w:r>
      <w:r>
        <w:rPr>
          <w:rtl w:val="true"/>
        </w:rPr>
        <w:t xml:space="preserve">'", </w:t>
      </w:r>
      <w:r>
        <w:rPr>
          <w:rtl w:val="true"/>
        </w:rPr>
        <w:t>כלשונו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מהימנות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לגרסתו</w:t>
      </w:r>
      <w:r>
        <w:rPr>
          <w:rtl w:val="true"/>
        </w:rPr>
        <w:t xml:space="preserve">;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היכרות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מוקדמת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;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להעדיף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מנסור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>.</w:t>
      </w:r>
    </w:p>
    <w:p>
      <w:pPr>
        <w:pStyle w:val="ListParagraph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נוסף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טוענים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משריסס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גז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מדמיע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לעברם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סביר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שהצליחו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להכותו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כפי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שתואר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וא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יכולים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לזהות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מעורבים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>.</w:t>
      </w:r>
    </w:p>
    <w:p>
      <w:pPr>
        <w:pStyle w:val="ListParagraph"/>
        <w:numPr>
          <w:ilvl w:val="0"/>
          <w:numId w:val="2"/>
        </w:numPr>
        <w:ind w:hanging="0" w:start="0" w:end="0"/>
        <w:jc w:val="both"/>
        <w:rPr>
          <w:spacing w:val="8"/>
        </w:rPr>
      </w:pPr>
      <w:r>
        <w:rPr>
          <w:spacing w:val="8"/>
          <w:rtl w:val="true"/>
        </w:rPr>
        <w:t>בהקשר</w:t>
      </w:r>
      <w:r>
        <w:rPr>
          <w:rFonts w:eastAsia="Garamond" w:cs="Garamond"/>
          <w:spacing w:val="8"/>
          <w:rtl w:val="true"/>
        </w:rPr>
        <w:t xml:space="preserve"> </w:t>
      </w:r>
      <w:r>
        <w:rPr>
          <w:spacing w:val="8"/>
          <w:rtl w:val="true"/>
        </w:rPr>
        <w:t>זה</w:t>
      </w:r>
      <w:r>
        <w:rPr>
          <w:spacing w:val="8"/>
          <w:rtl w:val="true"/>
        </w:rPr>
        <w:t xml:space="preserve">, </w:t>
      </w:r>
      <w:r>
        <w:rPr>
          <w:spacing w:val="8"/>
          <w:rtl w:val="true"/>
        </w:rPr>
        <w:t>המערער</w:t>
      </w:r>
      <w:r>
        <w:rPr>
          <w:rFonts w:eastAsia="Garamond" w:cs="Garamond"/>
          <w:spacing w:val="8"/>
          <w:rtl w:val="true"/>
        </w:rPr>
        <w:t xml:space="preserve"> </w:t>
      </w:r>
      <w:r>
        <w:rPr>
          <w:spacing w:val="8"/>
        </w:rPr>
        <w:t>2</w:t>
      </w:r>
      <w:r>
        <w:rPr>
          <w:spacing w:val="8"/>
          <w:rtl w:val="true"/>
        </w:rPr>
        <w:t xml:space="preserve"> </w:t>
      </w:r>
      <w:r>
        <w:rPr>
          <w:spacing w:val="8"/>
          <w:rtl w:val="true"/>
        </w:rPr>
        <w:t>מוסיף</w:t>
      </w:r>
      <w:r>
        <w:rPr>
          <w:rFonts w:eastAsia="Garamond" w:cs="Garamond"/>
          <w:spacing w:val="8"/>
          <w:rtl w:val="true"/>
        </w:rPr>
        <w:t xml:space="preserve"> </w:t>
      </w:r>
      <w:r>
        <w:rPr>
          <w:spacing w:val="8"/>
          <w:rtl w:val="true"/>
        </w:rPr>
        <w:t>וטוען</w:t>
      </w:r>
      <w:r>
        <w:rPr>
          <w:rFonts w:eastAsia="Garamond" w:cs="Garamond"/>
          <w:spacing w:val="8"/>
          <w:rtl w:val="true"/>
        </w:rPr>
        <w:t xml:space="preserve"> </w:t>
      </w:r>
      <w:r>
        <w:rPr>
          <w:spacing w:val="8"/>
          <w:rtl w:val="true"/>
        </w:rPr>
        <w:t>כי</w:t>
      </w:r>
      <w:r>
        <w:rPr>
          <w:rFonts w:eastAsia="Garamond" w:cs="Garamond"/>
          <w:spacing w:val="8"/>
          <w:rtl w:val="true"/>
        </w:rPr>
        <w:t xml:space="preserve"> </w:t>
      </w:r>
      <w:r>
        <w:rPr>
          <w:spacing w:val="8"/>
          <w:rtl w:val="true"/>
        </w:rPr>
        <w:t>ניסה</w:t>
      </w:r>
      <w:r>
        <w:rPr>
          <w:rFonts w:eastAsia="Garamond" w:cs="Garamond"/>
          <w:spacing w:val="8"/>
          <w:rtl w:val="true"/>
        </w:rPr>
        <w:t xml:space="preserve"> </w:t>
      </w:r>
      <w:r>
        <w:rPr>
          <w:spacing w:val="8"/>
          <w:rtl w:val="true"/>
        </w:rPr>
        <w:t>להפריד</w:t>
      </w:r>
      <w:r>
        <w:rPr>
          <w:rFonts w:eastAsia="Garamond" w:cs="Garamond"/>
          <w:spacing w:val="8"/>
          <w:rtl w:val="true"/>
        </w:rPr>
        <w:t xml:space="preserve"> </w:t>
      </w:r>
      <w:r>
        <w:rPr>
          <w:spacing w:val="8"/>
          <w:rtl w:val="true"/>
        </w:rPr>
        <w:t>בין</w:t>
      </w:r>
      <w:r>
        <w:rPr>
          <w:rFonts w:eastAsia="Garamond" w:cs="Garamond"/>
          <w:spacing w:val="8"/>
          <w:rtl w:val="true"/>
        </w:rPr>
        <w:t xml:space="preserve"> </w:t>
      </w:r>
      <w:r>
        <w:rPr>
          <w:spacing w:val="8"/>
          <w:rtl w:val="true"/>
        </w:rPr>
        <w:t>המערער</w:t>
      </w:r>
      <w:r>
        <w:rPr>
          <w:rFonts w:eastAsia="Garamond" w:cs="Garamond"/>
          <w:spacing w:val="8"/>
          <w:rtl w:val="true"/>
        </w:rPr>
        <w:t xml:space="preserve"> </w:t>
      </w:r>
      <w:r>
        <w:rPr>
          <w:spacing w:val="8"/>
        </w:rPr>
        <w:t>1</w:t>
      </w:r>
      <w:r>
        <w:rPr>
          <w:spacing w:val="8"/>
          <w:rtl w:val="true"/>
        </w:rPr>
        <w:t xml:space="preserve"> </w:t>
      </w:r>
      <w:r>
        <w:rPr>
          <w:spacing w:val="8"/>
          <w:rtl w:val="true"/>
        </w:rPr>
        <w:t>למתלונן</w:t>
      </w:r>
      <w:r>
        <w:rPr>
          <w:spacing w:val="8"/>
          <w:rtl w:val="true"/>
        </w:rPr>
        <w:t xml:space="preserve">, </w:t>
      </w:r>
      <w:r>
        <w:rPr>
          <w:spacing w:val="8"/>
          <w:rtl w:val="true"/>
        </w:rPr>
        <w:t>ולא</w:t>
      </w:r>
      <w:r>
        <w:rPr>
          <w:rFonts w:eastAsia="Garamond" w:cs="Garamond"/>
          <w:spacing w:val="8"/>
          <w:rtl w:val="true"/>
        </w:rPr>
        <w:t xml:space="preserve"> </w:t>
      </w:r>
      <w:r>
        <w:rPr>
          <w:spacing w:val="8"/>
          <w:rtl w:val="true"/>
        </w:rPr>
        <w:t>היה</w:t>
      </w:r>
      <w:r>
        <w:rPr>
          <w:rFonts w:eastAsia="Garamond" w:cs="Garamond"/>
          <w:spacing w:val="8"/>
          <w:rtl w:val="true"/>
        </w:rPr>
        <w:t xml:space="preserve"> </w:t>
      </w:r>
      <w:r>
        <w:rPr>
          <w:spacing w:val="8"/>
          <w:rtl w:val="true"/>
        </w:rPr>
        <w:t>מעורב</w:t>
      </w:r>
      <w:r>
        <w:rPr>
          <w:rFonts w:eastAsia="Garamond" w:cs="Garamond"/>
          <w:spacing w:val="8"/>
          <w:rtl w:val="true"/>
        </w:rPr>
        <w:t xml:space="preserve"> </w:t>
      </w:r>
      <w:r>
        <w:rPr>
          <w:spacing w:val="8"/>
          <w:rtl w:val="true"/>
        </w:rPr>
        <w:t>באירוע</w:t>
      </w:r>
      <w:r>
        <w:rPr>
          <w:rFonts w:eastAsia="Garamond" w:cs="Garamond"/>
          <w:spacing w:val="8"/>
          <w:rtl w:val="true"/>
        </w:rPr>
        <w:t xml:space="preserve"> </w:t>
      </w:r>
      <w:r>
        <w:rPr>
          <w:spacing w:val="8"/>
          <w:rtl w:val="true"/>
        </w:rPr>
        <w:t>האלים</w:t>
      </w:r>
      <w:r>
        <w:rPr>
          <w:rFonts w:eastAsia="Garamond" w:cs="Garamond"/>
          <w:spacing w:val="8"/>
          <w:rtl w:val="true"/>
        </w:rPr>
        <w:t xml:space="preserve"> </w:t>
      </w:r>
      <w:r>
        <w:rPr>
          <w:spacing w:val="8"/>
          <w:rtl w:val="true"/>
        </w:rPr>
        <w:t>שהתרחש</w:t>
      </w:r>
      <w:r>
        <w:rPr>
          <w:rFonts w:eastAsia="Garamond" w:cs="Garamond"/>
          <w:spacing w:val="8"/>
          <w:rtl w:val="true"/>
        </w:rPr>
        <w:t xml:space="preserve"> </w:t>
      </w:r>
      <w:r>
        <w:rPr>
          <w:spacing w:val="8"/>
          <w:rtl w:val="true"/>
        </w:rPr>
        <w:t>לאחר</w:t>
      </w:r>
      <w:r>
        <w:rPr>
          <w:rFonts w:eastAsia="Garamond" w:cs="Garamond"/>
          <w:spacing w:val="8"/>
          <w:rtl w:val="true"/>
        </w:rPr>
        <w:t xml:space="preserve"> </w:t>
      </w:r>
      <w:r>
        <w:rPr>
          <w:spacing w:val="8"/>
          <w:rtl w:val="true"/>
        </w:rPr>
        <w:t>מכן</w:t>
      </w:r>
      <w:r>
        <w:rPr>
          <w:spacing w:val="8"/>
          <w:rtl w:val="true"/>
        </w:rPr>
        <w:t xml:space="preserve">; </w:t>
      </w:r>
      <w:r>
        <w:rPr>
          <w:spacing w:val="8"/>
          <w:rtl w:val="true"/>
        </w:rPr>
        <w:t>כי</w:t>
      </w:r>
      <w:r>
        <w:rPr>
          <w:rFonts w:eastAsia="Garamond" w:cs="Garamond"/>
          <w:spacing w:val="8"/>
          <w:rtl w:val="true"/>
        </w:rPr>
        <w:t xml:space="preserve"> </w:t>
      </w:r>
      <w:r>
        <w:rPr>
          <w:spacing w:val="8"/>
          <w:rtl w:val="true"/>
        </w:rPr>
        <w:t>לא</w:t>
      </w:r>
      <w:r>
        <w:rPr>
          <w:rFonts w:eastAsia="Garamond" w:cs="Garamond"/>
          <w:spacing w:val="8"/>
          <w:rtl w:val="true"/>
        </w:rPr>
        <w:t xml:space="preserve"> </w:t>
      </w:r>
      <w:r>
        <w:rPr>
          <w:spacing w:val="8"/>
          <w:rtl w:val="true"/>
        </w:rPr>
        <w:t>ניתן</w:t>
      </w:r>
      <w:r>
        <w:rPr>
          <w:rFonts w:eastAsia="Garamond" w:cs="Garamond"/>
          <w:spacing w:val="8"/>
          <w:rtl w:val="true"/>
        </w:rPr>
        <w:t xml:space="preserve"> </w:t>
      </w:r>
      <w:r>
        <w:rPr>
          <w:spacing w:val="8"/>
          <w:rtl w:val="true"/>
        </w:rPr>
        <w:t>לייחס</w:t>
      </w:r>
      <w:r>
        <w:rPr>
          <w:rFonts w:eastAsia="Garamond" w:cs="Garamond"/>
          <w:spacing w:val="8"/>
          <w:rtl w:val="true"/>
        </w:rPr>
        <w:t xml:space="preserve"> </w:t>
      </w:r>
      <w:r>
        <w:rPr>
          <w:spacing w:val="8"/>
          <w:rtl w:val="true"/>
        </w:rPr>
        <w:t>לו</w:t>
      </w:r>
      <w:r>
        <w:rPr>
          <w:rFonts w:eastAsia="Garamond" w:cs="Garamond"/>
          <w:spacing w:val="8"/>
          <w:rtl w:val="true"/>
        </w:rPr>
        <w:t xml:space="preserve"> </w:t>
      </w:r>
      <w:r>
        <w:rPr>
          <w:spacing w:val="8"/>
          <w:rtl w:val="true"/>
        </w:rPr>
        <w:t>כוונה</w:t>
      </w:r>
      <w:r>
        <w:rPr>
          <w:rFonts w:eastAsia="Garamond" w:cs="Garamond"/>
          <w:spacing w:val="8"/>
          <w:rtl w:val="true"/>
        </w:rPr>
        <w:t xml:space="preserve"> </w:t>
      </w:r>
      <w:r>
        <w:rPr>
          <w:spacing w:val="8"/>
          <w:rtl w:val="true"/>
        </w:rPr>
        <w:t>מחמירה</w:t>
      </w:r>
      <w:r>
        <w:rPr>
          <w:rFonts w:eastAsia="Garamond" w:cs="Garamond"/>
          <w:spacing w:val="8"/>
          <w:rtl w:val="true"/>
        </w:rPr>
        <w:t xml:space="preserve"> </w:t>
      </w:r>
      <w:r>
        <w:rPr>
          <w:spacing w:val="8"/>
          <w:rtl w:val="true"/>
        </w:rPr>
        <w:t>של</w:t>
      </w:r>
      <w:r>
        <w:rPr>
          <w:rFonts w:eastAsia="Garamond" w:cs="Garamond"/>
          <w:spacing w:val="8"/>
          <w:rtl w:val="true"/>
        </w:rPr>
        <w:t xml:space="preserve"> </w:t>
      </w:r>
      <w:r>
        <w:rPr>
          <w:spacing w:val="8"/>
          <w:rtl w:val="true"/>
        </w:rPr>
        <w:t>הטלת</w:t>
      </w:r>
      <w:r>
        <w:rPr>
          <w:rFonts w:eastAsia="Garamond" w:cs="Garamond"/>
          <w:spacing w:val="8"/>
          <w:rtl w:val="true"/>
        </w:rPr>
        <w:t xml:space="preserve"> </w:t>
      </w:r>
      <w:r>
        <w:rPr>
          <w:spacing w:val="8"/>
          <w:rtl w:val="true"/>
        </w:rPr>
        <w:t>מום</w:t>
      </w:r>
      <w:r>
        <w:rPr>
          <w:rFonts w:eastAsia="Garamond" w:cs="Garamond"/>
          <w:spacing w:val="8"/>
          <w:rtl w:val="true"/>
        </w:rPr>
        <w:t xml:space="preserve"> </w:t>
      </w:r>
      <w:r>
        <w:rPr>
          <w:spacing w:val="8"/>
          <w:rtl w:val="true"/>
        </w:rPr>
        <w:t>במתלונן</w:t>
      </w:r>
      <w:r>
        <w:rPr>
          <w:spacing w:val="8"/>
          <w:rtl w:val="true"/>
        </w:rPr>
        <w:t xml:space="preserve">, </w:t>
      </w:r>
      <w:r>
        <w:rPr>
          <w:spacing w:val="8"/>
          <w:rtl w:val="true"/>
        </w:rPr>
        <w:t>לנוכח</w:t>
      </w:r>
      <w:r>
        <w:rPr>
          <w:rFonts w:eastAsia="Garamond" w:cs="Garamond"/>
          <w:spacing w:val="8"/>
          <w:rtl w:val="true"/>
        </w:rPr>
        <w:t xml:space="preserve"> </w:t>
      </w:r>
      <w:r>
        <w:rPr>
          <w:spacing w:val="8"/>
          <w:rtl w:val="true"/>
        </w:rPr>
        <w:t>מעורבותו</w:t>
      </w:r>
      <w:r>
        <w:rPr>
          <w:rFonts w:eastAsia="Garamond" w:cs="Garamond"/>
          <w:spacing w:val="8"/>
          <w:rtl w:val="true"/>
        </w:rPr>
        <w:t xml:space="preserve"> </w:t>
      </w:r>
      <w:r>
        <w:rPr>
          <w:spacing w:val="8"/>
          <w:rtl w:val="true"/>
        </w:rPr>
        <w:t>השולית</w:t>
      </w:r>
      <w:r>
        <w:rPr>
          <w:rFonts w:eastAsia="Garamond" w:cs="Garamond"/>
          <w:spacing w:val="8"/>
          <w:rtl w:val="true"/>
        </w:rPr>
        <w:t xml:space="preserve"> </w:t>
      </w:r>
      <w:r>
        <w:rPr>
          <w:spacing w:val="8"/>
          <w:rtl w:val="true"/>
        </w:rPr>
        <w:t>באירועים</w:t>
      </w:r>
      <w:r>
        <w:rPr>
          <w:spacing w:val="8"/>
          <w:rtl w:val="true"/>
        </w:rPr>
        <w:t xml:space="preserve">; </w:t>
      </w:r>
      <w:r>
        <w:rPr>
          <w:spacing w:val="8"/>
          <w:rtl w:val="true"/>
        </w:rPr>
        <w:t>וכי</w:t>
      </w:r>
      <w:r>
        <w:rPr>
          <w:rFonts w:eastAsia="Garamond" w:cs="Garamond"/>
          <w:spacing w:val="8"/>
          <w:rtl w:val="true"/>
        </w:rPr>
        <w:t xml:space="preserve"> </w:t>
      </w:r>
      <w:r>
        <w:rPr>
          <w:spacing w:val="8"/>
          <w:rtl w:val="true"/>
        </w:rPr>
        <w:t>משנקבע</w:t>
      </w:r>
      <w:r>
        <w:rPr>
          <w:rFonts w:eastAsia="Garamond" w:cs="Garamond"/>
          <w:spacing w:val="8"/>
          <w:rtl w:val="true"/>
        </w:rPr>
        <w:t xml:space="preserve"> </w:t>
      </w:r>
      <w:r>
        <w:rPr>
          <w:spacing w:val="8"/>
          <w:rtl w:val="true"/>
        </w:rPr>
        <w:t>שלא</w:t>
      </w:r>
      <w:r>
        <w:rPr>
          <w:rFonts w:eastAsia="Garamond" w:cs="Garamond"/>
          <w:spacing w:val="8"/>
          <w:rtl w:val="true"/>
        </w:rPr>
        <w:t xml:space="preserve"> </w:t>
      </w:r>
      <w:r>
        <w:rPr>
          <w:spacing w:val="8"/>
          <w:rtl w:val="true"/>
        </w:rPr>
        <w:t>ניתן</w:t>
      </w:r>
      <w:r>
        <w:rPr>
          <w:rFonts w:eastAsia="Garamond" w:cs="Garamond"/>
          <w:spacing w:val="8"/>
          <w:rtl w:val="true"/>
        </w:rPr>
        <w:t xml:space="preserve"> </w:t>
      </w:r>
      <w:r>
        <w:rPr>
          <w:spacing w:val="8"/>
          <w:rtl w:val="true"/>
        </w:rPr>
        <w:t>לזהותו</w:t>
      </w:r>
      <w:r>
        <w:rPr>
          <w:rFonts w:eastAsia="Garamond" w:cs="Garamond"/>
          <w:spacing w:val="8"/>
          <w:rtl w:val="true"/>
        </w:rPr>
        <w:t xml:space="preserve"> </w:t>
      </w:r>
      <w:r>
        <w:rPr>
          <w:spacing w:val="8"/>
          <w:rtl w:val="true"/>
        </w:rPr>
        <w:t>כאדם</w:t>
      </w:r>
      <w:r>
        <w:rPr>
          <w:rFonts w:eastAsia="Garamond" w:cs="Garamond"/>
          <w:spacing w:val="8"/>
          <w:rtl w:val="true"/>
        </w:rPr>
        <w:t xml:space="preserve"> </w:t>
      </w:r>
      <w:r>
        <w:rPr>
          <w:spacing w:val="8"/>
          <w:rtl w:val="true"/>
        </w:rPr>
        <w:t>שהכה</w:t>
      </w:r>
      <w:r>
        <w:rPr>
          <w:rFonts w:eastAsia="Garamond" w:cs="Garamond"/>
          <w:spacing w:val="8"/>
          <w:rtl w:val="true"/>
        </w:rPr>
        <w:t xml:space="preserve"> </w:t>
      </w:r>
      <w:r>
        <w:rPr>
          <w:spacing w:val="8"/>
          <w:rtl w:val="true"/>
        </w:rPr>
        <w:t>במתלונן</w:t>
      </w:r>
      <w:r>
        <w:rPr>
          <w:rFonts w:eastAsia="Garamond" w:cs="Garamond"/>
          <w:spacing w:val="8"/>
          <w:rtl w:val="true"/>
        </w:rPr>
        <w:t xml:space="preserve"> </w:t>
      </w:r>
      <w:r>
        <w:rPr>
          <w:spacing w:val="8"/>
          <w:rtl w:val="true"/>
        </w:rPr>
        <w:t>בפטיש</w:t>
      </w:r>
      <w:r>
        <w:rPr>
          <w:spacing w:val="8"/>
          <w:rtl w:val="true"/>
        </w:rPr>
        <w:t xml:space="preserve">, </w:t>
      </w:r>
      <w:r>
        <w:rPr>
          <w:spacing w:val="8"/>
          <w:rtl w:val="true"/>
        </w:rPr>
        <w:t>היה</w:t>
      </w:r>
      <w:r>
        <w:rPr>
          <w:rFonts w:eastAsia="Garamond" w:cs="Garamond"/>
          <w:spacing w:val="8"/>
          <w:rtl w:val="true"/>
        </w:rPr>
        <w:t xml:space="preserve"> </w:t>
      </w:r>
      <w:r>
        <w:rPr>
          <w:spacing w:val="8"/>
          <w:rtl w:val="true"/>
        </w:rPr>
        <w:t>על</w:t>
      </w:r>
      <w:r>
        <w:rPr>
          <w:rFonts w:eastAsia="Garamond" w:cs="Garamond"/>
          <w:spacing w:val="8"/>
          <w:rtl w:val="true"/>
        </w:rPr>
        <w:t xml:space="preserve"> </w:t>
      </w:r>
      <w:r>
        <w:rPr>
          <w:spacing w:val="8"/>
          <w:rtl w:val="true"/>
        </w:rPr>
        <w:t>בית</w:t>
      </w:r>
      <w:r>
        <w:rPr>
          <w:rFonts w:eastAsia="Garamond" w:cs="Garamond"/>
          <w:spacing w:val="8"/>
          <w:rtl w:val="true"/>
        </w:rPr>
        <w:t xml:space="preserve"> </w:t>
      </w:r>
      <w:r>
        <w:rPr>
          <w:spacing w:val="8"/>
          <w:rtl w:val="true"/>
        </w:rPr>
        <w:t>המשפט</w:t>
      </w:r>
      <w:r>
        <w:rPr>
          <w:rFonts w:eastAsia="Garamond" w:cs="Garamond"/>
          <w:spacing w:val="8"/>
          <w:rtl w:val="true"/>
        </w:rPr>
        <w:t xml:space="preserve"> </w:t>
      </w:r>
      <w:r>
        <w:rPr>
          <w:spacing w:val="8"/>
          <w:rtl w:val="true"/>
        </w:rPr>
        <w:t>המחוזי</w:t>
      </w:r>
      <w:r>
        <w:rPr>
          <w:rFonts w:eastAsia="Garamond" w:cs="Garamond"/>
          <w:spacing w:val="8"/>
          <w:rtl w:val="true"/>
        </w:rPr>
        <w:t xml:space="preserve"> </w:t>
      </w:r>
      <w:r>
        <w:rPr>
          <w:spacing w:val="8"/>
          <w:rtl w:val="true"/>
        </w:rPr>
        <w:t>לקבוע</w:t>
      </w:r>
      <w:r>
        <w:rPr>
          <w:rFonts w:eastAsia="Garamond" w:cs="Garamond"/>
          <w:spacing w:val="8"/>
          <w:rtl w:val="true"/>
        </w:rPr>
        <w:t xml:space="preserve"> </w:t>
      </w:r>
      <w:r>
        <w:rPr>
          <w:spacing w:val="8"/>
          <w:rtl w:val="true"/>
        </w:rPr>
        <w:t>כי</w:t>
      </w:r>
      <w:r>
        <w:rPr>
          <w:rFonts w:eastAsia="Garamond" w:cs="Garamond"/>
          <w:spacing w:val="8"/>
          <w:rtl w:val="true"/>
        </w:rPr>
        <w:t xml:space="preserve"> </w:t>
      </w:r>
      <w:r>
        <w:rPr>
          <w:spacing w:val="8"/>
          <w:rtl w:val="true"/>
        </w:rPr>
        <w:t>לא</w:t>
      </w:r>
      <w:r>
        <w:rPr>
          <w:rFonts w:eastAsia="Garamond" w:cs="Garamond"/>
          <w:spacing w:val="8"/>
          <w:rtl w:val="true"/>
        </w:rPr>
        <w:t xml:space="preserve"> </w:t>
      </w:r>
      <w:r>
        <w:rPr>
          <w:spacing w:val="8"/>
          <w:rtl w:val="true"/>
        </w:rPr>
        <w:t>ניתן</w:t>
      </w:r>
      <w:r>
        <w:rPr>
          <w:rFonts w:eastAsia="Garamond" w:cs="Garamond"/>
          <w:spacing w:val="8"/>
          <w:rtl w:val="true"/>
        </w:rPr>
        <w:t xml:space="preserve"> </w:t>
      </w:r>
      <w:r>
        <w:rPr>
          <w:spacing w:val="8"/>
          <w:rtl w:val="true"/>
        </w:rPr>
        <w:t>לייחס</w:t>
      </w:r>
      <w:r>
        <w:rPr>
          <w:rFonts w:eastAsia="Garamond" w:cs="Garamond"/>
          <w:spacing w:val="8"/>
          <w:rtl w:val="true"/>
        </w:rPr>
        <w:t xml:space="preserve"> </w:t>
      </w:r>
      <w:r>
        <w:rPr>
          <w:spacing w:val="8"/>
          <w:rtl w:val="true"/>
        </w:rPr>
        <w:t>לו</w:t>
      </w:r>
      <w:r>
        <w:rPr>
          <w:rFonts w:eastAsia="Garamond" w:cs="Garamond"/>
          <w:spacing w:val="8"/>
          <w:rtl w:val="true"/>
        </w:rPr>
        <w:t xml:space="preserve"> </w:t>
      </w:r>
      <w:r>
        <w:rPr>
          <w:spacing w:val="8"/>
          <w:rtl w:val="true"/>
        </w:rPr>
        <w:t>כל</w:t>
      </w:r>
      <w:r>
        <w:rPr>
          <w:rFonts w:eastAsia="Garamond" w:cs="Garamond"/>
          <w:spacing w:val="8"/>
          <w:rtl w:val="true"/>
        </w:rPr>
        <w:t xml:space="preserve"> </w:t>
      </w:r>
      <w:r>
        <w:rPr>
          <w:spacing w:val="8"/>
          <w:rtl w:val="true"/>
        </w:rPr>
        <w:t>מעורבות</w:t>
      </w:r>
      <w:r>
        <w:rPr>
          <w:rFonts w:eastAsia="Garamond" w:cs="Garamond"/>
          <w:spacing w:val="8"/>
          <w:rtl w:val="true"/>
        </w:rPr>
        <w:t xml:space="preserve"> </w:t>
      </w:r>
      <w:r>
        <w:rPr>
          <w:spacing w:val="8"/>
          <w:rtl w:val="true"/>
        </w:rPr>
        <w:t>באירוע</w:t>
      </w:r>
      <w:r>
        <w:rPr>
          <w:spacing w:val="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תקף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האחרים</w:t>
      </w:r>
      <w:r>
        <w:rPr>
          <w:rtl w:val="true"/>
        </w:rPr>
        <w:t xml:space="preserve">, </w:t>
      </w:r>
      <w:r>
        <w:rPr>
          <w:rtl w:val="true"/>
        </w:rPr>
        <w:t>שהרי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ספונטני</w:t>
      </w:r>
      <w:r>
        <w:rPr>
          <w:rtl w:val="true"/>
        </w:rPr>
        <w:t xml:space="preserve">" </w:t>
      </w:r>
      <w:r>
        <w:rPr>
          <w:rtl w:val="true"/>
        </w:rPr>
        <w:t>אליו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נקלע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כורחו</w:t>
      </w:r>
      <w:r>
        <w:rPr>
          <w:rtl w:val="true"/>
        </w:rPr>
        <w:t>.</w:t>
      </w:r>
    </w:p>
    <w:p>
      <w:pPr>
        <w:pStyle w:val="ListParagraph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נוסף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מלין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עונשו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שטוען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בתמצית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לאמץ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המלצת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ולהטיל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צו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חלף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שהושת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. </w:t>
      </w:r>
    </w:p>
    <w:p>
      <w:pPr>
        <w:pStyle w:val="ListParagraph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באת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כוח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סומכת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ידיה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והן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וסבורה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הערעורים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להידחות</w:t>
      </w:r>
      <w:r>
        <w:rPr>
          <w:rtl w:val="true"/>
        </w:rPr>
        <w:t>.</w:t>
      </w:r>
    </w:p>
    <w:p>
      <w:pPr>
        <w:pStyle w:val="Ruller4"/>
        <w:ind w:end="0"/>
        <w:jc w:val="both"/>
        <w:rPr>
          <w:spacing w:val="8"/>
        </w:rPr>
      </w:pPr>
      <w:r>
        <w:rPr>
          <w:spacing w:val="8"/>
          <w:rtl w:val="true"/>
        </w:rPr>
        <w:t>אשר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להכרעת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הדין</w:t>
      </w:r>
      <w:r>
        <w:rPr>
          <w:spacing w:val="8"/>
          <w:rtl w:val="true"/>
        </w:rPr>
        <w:t xml:space="preserve">, </w:t>
      </w:r>
      <w:r>
        <w:rPr>
          <w:spacing w:val="8"/>
          <w:rtl w:val="true"/>
        </w:rPr>
        <w:t>טוענת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באת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כוח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המשיבה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כי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עיקר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טענות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המערערים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מופנות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כלפי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קביעות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שבעובדה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ובמהימנות</w:t>
      </w:r>
      <w:r>
        <w:rPr>
          <w:spacing w:val="8"/>
          <w:rtl w:val="true"/>
        </w:rPr>
        <w:t xml:space="preserve">, </w:t>
      </w:r>
      <w:r>
        <w:rPr>
          <w:spacing w:val="8"/>
          <w:rtl w:val="true"/>
        </w:rPr>
        <w:t>אשר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אין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זה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מדרכה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של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ערכאת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הערעור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להתערב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בהן</w:t>
      </w:r>
      <w:r>
        <w:rPr>
          <w:spacing w:val="8"/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  <w:t>באת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מוסיפה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וטוענת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בהחלטת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להעדיף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מנסור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הגרסה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בעדותו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לחששותיו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tl w:val="true"/>
        </w:rPr>
        <w:t xml:space="preserve">, </w:t>
      </w:r>
      <w:r>
        <w:rPr>
          <w:rtl w:val="true"/>
        </w:rPr>
        <w:t>והתבטאויותיו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שלפיהן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להתעסק</w:t>
      </w:r>
      <w:r>
        <w:rPr>
          <w:rtl w:val="true"/>
        </w:rPr>
        <w:t xml:space="preserve">" </w:t>
      </w:r>
      <w:r>
        <w:rPr>
          <w:rtl w:val="true"/>
        </w:rPr>
        <w:t>עימם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ולנוכח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התאמת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הפרטים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מנסור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בהודעתו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בתיק</w:t>
      </w:r>
      <w:r>
        <w:rPr>
          <w:rtl w:val="true"/>
        </w:rPr>
        <w:t xml:space="preserve">, </w:t>
      </w:r>
      <w:r>
        <w:rPr>
          <w:rtl w:val="true"/>
        </w:rPr>
        <w:t>סבורה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להעדיף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>לבסוף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השתתפו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בתקיפה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סמך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השליכו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להרשיעם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חדא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>בהקשר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במפורש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מואשמים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אירועי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התקיפה</w:t>
      </w:r>
      <w:r>
        <w:rPr>
          <w:rtl w:val="true"/>
        </w:rPr>
        <w:t>.</w:t>
      </w:r>
    </w:p>
    <w:p>
      <w:pPr>
        <w:pStyle w:val="ListParagraph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אשר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לערעור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שנגזר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הולם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היתר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בשים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לב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שגרם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להסלמת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>.</w:t>
      </w:r>
    </w:p>
    <w:p>
      <w:pPr>
        <w:pStyle w:val="Heading1"/>
        <w:ind w:hanging="0" w:start="0" w:end="0"/>
        <w:jc w:val="start"/>
        <w:rPr/>
      </w:pPr>
      <w:r>
        <w:rPr>
          <w:rtl w:val="true"/>
        </w:rPr>
        <w:t>דיון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והכרעה</w:t>
      </w:r>
    </w:p>
    <w:p>
      <w:pPr>
        <w:pStyle w:val="ListParagraph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לאחר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שעיינתי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בנימוקי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הערעורים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ובעיקרי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מטעם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המשיבה</w:t>
      </w:r>
      <w:r>
        <w:rPr>
          <w:rtl w:val="true"/>
        </w:rPr>
        <w:t xml:space="preserve">, </w:t>
      </w:r>
      <w:r>
        <w:rPr>
          <w:rtl w:val="true"/>
        </w:rPr>
        <w:t>ושמעתי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טיעוני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בדיון</w:t>
      </w:r>
      <w:r>
        <w:rPr>
          <w:rtl w:val="true"/>
        </w:rPr>
        <w:t xml:space="preserve">, </w:t>
      </w:r>
      <w:r>
        <w:rPr>
          <w:rtl w:val="true"/>
        </w:rPr>
        <w:t>הגעתי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לכלל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מסקנה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הערעורים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להידחות</w:t>
      </w:r>
      <w:r>
        <w:rPr>
          <w:rtl w:val="true"/>
        </w:rPr>
        <w:t>.</w:t>
      </w:r>
    </w:p>
    <w:p>
      <w:pPr>
        <w:pStyle w:val="ListParagraph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בהתייחס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לערעורים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שאלו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מופנים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בעיקרו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דבר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ממצאי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עובדה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ומהימנות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שאין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מדרכו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בהרחבה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הטעמים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לקביעתו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מהימנה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שהדגיש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סדורה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ועקבית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בהודעותיו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בעדותו</w:t>
      </w:r>
      <w:r>
        <w:rPr>
          <w:rtl w:val="true"/>
        </w:rPr>
        <w:t xml:space="preserve">;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מתיישבת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עדויותיהם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האחרים</w:t>
      </w:r>
      <w:r>
        <w:rPr>
          <w:rtl w:val="true"/>
        </w:rPr>
        <w:t xml:space="preserve">, </w:t>
      </w:r>
      <w:r>
        <w:rPr>
          <w:rtl w:val="true"/>
        </w:rPr>
        <w:t>א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>
          <w:rtl w:val="true"/>
        </w:rPr>
        <w:t>ומ</w:t>
      </w:r>
      <w:r>
        <w:rPr>
          <w:rtl w:val="true"/>
        </w:rPr>
        <w:t xml:space="preserve">'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מנסור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שנמסרה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>
          <w:spacing w:val="6"/>
        </w:rPr>
      </w:pP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מנגד</w:t>
      </w:r>
      <w:r>
        <w:rPr>
          <w:spacing w:val="6"/>
          <w:rtl w:val="true"/>
        </w:rPr>
        <w:t xml:space="preserve">, </w:t>
      </w:r>
      <w:r>
        <w:rPr>
          <w:spacing w:val="6"/>
          <w:rtl w:val="true"/>
        </w:rPr>
        <w:t>המערערים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הציגו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גרסאות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סותרות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וחסרות</w:t>
      </w:r>
      <w:r>
        <w:rPr>
          <w:spacing w:val="6"/>
          <w:rtl w:val="true"/>
        </w:rPr>
        <w:t xml:space="preserve">, </w:t>
      </w:r>
      <w:r>
        <w:rPr>
          <w:spacing w:val="6"/>
          <w:rtl w:val="true"/>
        </w:rPr>
        <w:t>אשר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עוררו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קשיים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משמעותיים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ולא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נמצאו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מהימנות</w:t>
      </w:r>
      <w:r>
        <w:rPr>
          <w:spacing w:val="6"/>
          <w:rtl w:val="true"/>
        </w:rPr>
        <w:t xml:space="preserve">: </w:t>
      </w:r>
      <w:r>
        <w:rPr>
          <w:spacing w:val="6"/>
          <w:rtl w:val="true"/>
        </w:rPr>
        <w:t>המערער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</w:rPr>
        <w:t>1</w:t>
      </w:r>
      <w:r>
        <w:rPr>
          <w:spacing w:val="6"/>
          <w:rtl w:val="true"/>
        </w:rPr>
        <w:t xml:space="preserve"> </w:t>
      </w:r>
      <w:r>
        <w:rPr>
          <w:spacing w:val="6"/>
          <w:rtl w:val="true"/>
        </w:rPr>
        <w:t>לא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הציג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גרסה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עקבית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באשר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להיכרותו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המוקדמת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עם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המתלונן</w:t>
      </w:r>
      <w:r>
        <w:rPr>
          <w:spacing w:val="6"/>
          <w:rtl w:val="true"/>
        </w:rPr>
        <w:t xml:space="preserve">; </w:t>
      </w:r>
      <w:r>
        <w:rPr>
          <w:spacing w:val="6"/>
          <w:rtl w:val="true"/>
        </w:rPr>
        <w:t>הסברי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המערערים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לפציעות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המתלונן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בראשו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אינם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מתיישבים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עם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תיעוד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פציעותיו</w:t>
      </w:r>
      <w:r>
        <w:rPr>
          <w:spacing w:val="6"/>
          <w:rtl w:val="true"/>
        </w:rPr>
        <w:t xml:space="preserve">; </w:t>
      </w:r>
      <w:r>
        <w:rPr>
          <w:spacing w:val="6"/>
          <w:rtl w:val="true"/>
        </w:rPr>
        <w:t>המערערים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לא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הציגו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גרסה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עקבית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באשר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לשאלה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אם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המערער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</w:rPr>
        <w:t>1</w:t>
      </w:r>
      <w:r>
        <w:rPr>
          <w:spacing w:val="6"/>
          <w:rtl w:val="true"/>
        </w:rPr>
        <w:t xml:space="preserve"> </w:t>
      </w:r>
      <w:r>
        <w:rPr>
          <w:spacing w:val="6"/>
          <w:rtl w:val="true"/>
        </w:rPr>
        <w:t>הכה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את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המתלונן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במהלך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העימות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ביניהם</w:t>
      </w:r>
      <w:r>
        <w:rPr>
          <w:spacing w:val="6"/>
          <w:rtl w:val="true"/>
        </w:rPr>
        <w:t xml:space="preserve">; </w:t>
      </w:r>
      <w:r>
        <w:rPr>
          <w:spacing w:val="6"/>
          <w:rtl w:val="true"/>
        </w:rPr>
        <w:t>ואף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מדברי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המערער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</w:rPr>
        <w:t>1</w:t>
      </w:r>
      <w:r>
        <w:rPr>
          <w:spacing w:val="6"/>
          <w:rtl w:val="true"/>
        </w:rPr>
        <w:t xml:space="preserve"> </w:t>
      </w:r>
      <w:r>
        <w:rPr>
          <w:spacing w:val="6"/>
          <w:rtl w:val="true"/>
        </w:rPr>
        <w:t>עצמו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בעדותו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ניתן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ללמוד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כי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התכוון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להשליך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חפץ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לעבר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המתלונן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לאחר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שזה</w:t>
      </w:r>
      <w:r>
        <w:rPr>
          <w:spacing w:val="6"/>
          <w:rtl w:val="true"/>
        </w:rPr>
        <w:t xml:space="preserve">, </w:t>
      </w:r>
      <w:r>
        <w:rPr>
          <w:spacing w:val="6"/>
          <w:rtl w:val="true"/>
        </w:rPr>
        <w:t>לטענתו</w:t>
      </w:r>
      <w:r>
        <w:rPr>
          <w:spacing w:val="6"/>
          <w:rtl w:val="true"/>
        </w:rPr>
        <w:t xml:space="preserve">, </w:t>
      </w:r>
      <w:r>
        <w:rPr>
          <w:spacing w:val="6"/>
          <w:rtl w:val="true"/>
        </w:rPr>
        <w:t>הכה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אותו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(</w:t>
      </w:r>
      <w:r>
        <w:rPr>
          <w:spacing w:val="6"/>
          <w:rtl w:val="true"/>
        </w:rPr>
        <w:t>עמ</w:t>
      </w:r>
      <w:r>
        <w:rPr>
          <w:spacing w:val="6"/>
          <w:rtl w:val="true"/>
        </w:rPr>
        <w:t xml:space="preserve">' </w:t>
      </w:r>
      <w:r>
        <w:rPr>
          <w:spacing w:val="6"/>
        </w:rPr>
        <w:t>105</w:t>
      </w:r>
      <w:r>
        <w:rPr>
          <w:spacing w:val="6"/>
          <w:rtl w:val="true"/>
        </w:rPr>
        <w:t xml:space="preserve"> </w:t>
      </w:r>
      <w:r>
        <w:rPr>
          <w:spacing w:val="6"/>
          <w:rtl w:val="true"/>
        </w:rPr>
        <w:t>לפרוטוקול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הדיון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בבית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המשפט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המחוזי</w:t>
      </w:r>
      <w:r>
        <w:rPr>
          <w:spacing w:val="6"/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מצאתי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בקביעות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מהימנות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המבוססות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בעיקרן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התרשמותו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הבלתי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אמצעית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מהעדויות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שנשמעו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בפניו</w:t>
      </w:r>
      <w:r>
        <w:rPr>
          <w:rtl w:val="true"/>
        </w:rPr>
        <w:t>.</w:t>
      </w:r>
    </w:p>
    <w:p>
      <w:pPr>
        <w:pStyle w:val="ListParagraph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אף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בטענות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שלפיהן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גרסת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מנסור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שנמסרה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להועיל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להם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hyperlink r:id="rId20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10</w:t>
        </w:r>
        <w:r>
          <w:rPr>
            <w:rStyle w:val="Hyperlink"/>
            <w:rtl w:val="true"/>
          </w:rPr>
          <w:t>א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hyperlink r:id="rId21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הראיות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בתנאים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מסויימים</w:t>
      </w:r>
      <w:r>
        <w:rPr>
          <w:rtl w:val="true"/>
        </w:rPr>
        <w:t xml:space="preserve">, </w:t>
      </w:r>
      <w:r>
        <w:rPr>
          <w:rtl w:val="true"/>
        </w:rPr>
        <w:t>אמרת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תהא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כראיה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ובית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רשאי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להעדיף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העד</w:t>
      </w:r>
      <w:r>
        <w:rPr>
          <w:rtl w:val="true"/>
        </w:rPr>
        <w:t xml:space="preserve">, </w:t>
      </w:r>
      <w:r>
        <w:rPr>
          <w:rtl w:val="true"/>
        </w:rPr>
        <w:t>והכל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הענין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האמרה</w:t>
      </w:r>
      <w:r>
        <w:rPr>
          <w:rtl w:val="true"/>
        </w:rPr>
        <w:t xml:space="preserve">, </w:t>
      </w:r>
      <w:r>
        <w:rPr>
          <w:rtl w:val="true"/>
        </w:rPr>
        <w:t>הראיות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שהובאו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במשפט</w:t>
      </w:r>
      <w:r>
        <w:rPr>
          <w:rtl w:val="true"/>
        </w:rPr>
        <w:t xml:space="preserve">, </w:t>
      </w:r>
      <w:r>
        <w:rPr>
          <w:rtl w:val="true"/>
        </w:rPr>
        <w:t>התנהגות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ואותות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שנתגלו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והטעמים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יירשמו</w:t>
      </w:r>
      <w:r>
        <w:rPr>
          <w:rtl w:val="true"/>
        </w:rPr>
        <w:t>" (</w:t>
      </w:r>
      <w:hyperlink r:id="rId22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10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לפקודת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הראיות</w:t>
      </w:r>
      <w:r>
        <w:rPr>
          <w:rtl w:val="true"/>
        </w:rPr>
        <w:t>)</w:t>
      </w:r>
      <w:r>
        <w:rPr>
          <w:rtl w:val="true"/>
        </w:rPr>
        <w:t>.</w:t>
      </w:r>
      <w:r>
        <w:rPr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נימק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היטב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החלטתו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להעדיף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הגרסה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מנסור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ניסיונו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להרחיק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מהאירוע</w:t>
      </w:r>
      <w:r>
        <w:rPr>
          <w:rtl w:val="true"/>
        </w:rPr>
        <w:t xml:space="preserve">, </w:t>
      </w:r>
      <w:r>
        <w:rPr>
          <w:rtl w:val="true"/>
        </w:rPr>
        <w:t>והן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התאמת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שנמסרה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בתיק</w:t>
      </w:r>
      <w:r>
        <w:rPr>
          <w:rtl w:val="true"/>
        </w:rPr>
        <w:t xml:space="preserve">. </w:t>
      </w:r>
      <w:r>
        <w:rPr>
          <w:rtl w:val="true"/>
        </w:rPr>
        <w:t>בהחלטה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הנסמכת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התרשמותו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בתיק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מצאתי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להתערב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>מכל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, </w:t>
      </w:r>
      <w:r>
        <w:rPr>
          <w:rtl w:val="true"/>
        </w:rPr>
        <w:t>בעדותו</w:t>
      </w:r>
      <w:r>
        <w:rPr>
          <w:rtl w:val="true"/>
        </w:rPr>
        <w:t xml:space="preserve">, </w:t>
      </w:r>
      <w:r>
        <w:rPr>
          <w:rtl w:val="true"/>
        </w:rPr>
        <w:t>מנסור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תמך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בגרסת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מהגרסה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והעיד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;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בגרסת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מעורבים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בתקיפה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להיזקק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לגרסתו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מנסור</w:t>
      </w:r>
      <w:r>
        <w:rPr>
          <w:rtl w:val="true"/>
        </w:rPr>
        <w:t>.</w:t>
      </w:r>
      <w:r>
        <w:rPr>
          <w:rtl w:val="true"/>
        </w:rPr>
        <w:t xml:space="preserve"> </w:t>
      </w:r>
    </w:p>
    <w:p>
      <w:pPr>
        <w:pStyle w:val="ListParagraph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זאת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ממש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בטענה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שלפיה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לייחס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למערערים</w:t>
      </w:r>
      <w:r>
        <w:rPr>
          <w:rtl w:val="true"/>
        </w:rPr>
        <w:t xml:space="preserve">, </w:t>
      </w:r>
      <w:r>
        <w:rPr>
          <w:rtl w:val="true"/>
        </w:rPr>
        <w:t>ולמערער</w:t>
      </w:r>
      <w:r>
        <w:rPr>
          <w:rFonts w:eastAsia="Garamond" w:cs="Garamond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בפרט</w:t>
      </w:r>
      <w:r>
        <w:rPr>
          <w:rtl w:val="true"/>
        </w:rPr>
        <w:t xml:space="preserve">, </w:t>
      </w:r>
      <w:r>
        <w:rPr>
          <w:rtl w:val="true"/>
        </w:rPr>
        <w:t>אחריות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מעשי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התקיפה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כולם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כמבצעים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בצוותא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שהדגשתי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>, "</w:t>
      </w:r>
      <w:r>
        <w:rPr>
          <w:rtl w:val="true"/>
        </w:rPr>
        <w:t>משנכנס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למעגל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המבצעים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בצוותא</w:t>
      </w:r>
      <w:r>
        <w:rPr>
          <w:rtl w:val="true"/>
        </w:rPr>
        <w:t xml:space="preserve">, </w:t>
      </w:r>
      <w:r>
        <w:rPr>
          <w:rtl w:val="true"/>
        </w:rPr>
        <w:t>למידת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והיקפה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השפעה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הפלילית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המתקיימת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העניין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עשויה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השפעה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בסוגיות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לענישה</w:t>
      </w:r>
      <w:r>
        <w:rPr>
          <w:rtl w:val="true"/>
        </w:rPr>
        <w:t>" (</w:t>
      </w:r>
      <w:hyperlink r:id="rId2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2648/18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Times New Roman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לחוות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/>
        <w:t>19.3.2020</w:t>
      </w:r>
      <w:r>
        <w:rPr>
          <w:rtl w:val="true"/>
        </w:rPr>
        <w:t>)).</w:t>
      </w:r>
    </w:p>
    <w:p>
      <w:pPr>
        <w:pStyle w:val="Ruller4"/>
        <w:ind w:end="0"/>
        <w:jc w:val="both"/>
        <w:rPr/>
      </w:pP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ניכר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מהימנה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במעשים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להתזת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המדמיע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>:</w:t>
      </w:r>
    </w:p>
    <w:p>
      <w:pPr>
        <w:pStyle w:val="Quote"/>
        <w:ind w:end="1276"/>
        <w:jc w:val="both"/>
        <w:rPr/>
      </w:pPr>
      <w:r>
        <w:rPr>
          <w:rtl w:val="true"/>
        </w:rPr>
        <w:t>"[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tl w:val="true"/>
        </w:rPr>
        <w:t xml:space="preserve">] </w:t>
      </w:r>
      <w:r>
        <w:rPr>
          <w:rtl w:val="true"/>
        </w:rPr>
        <w:t>דחף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מאיימת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... </w:t>
      </w:r>
      <w:r>
        <w:rPr>
          <w:rtl w:val="true"/>
        </w:rPr>
        <w:t>הדוד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tl w:val="true"/>
        </w:rPr>
        <w:t xml:space="preserve">]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מאיימת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להפריד</w:t>
      </w:r>
      <w:r>
        <w:rPr>
          <w:rtl w:val="true"/>
        </w:rPr>
        <w:t xml:space="preserve">. ... </w:t>
      </w:r>
      <w:r>
        <w:rPr>
          <w:rtl w:val="true"/>
        </w:rPr>
        <w:t>החזקתי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מדמיע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קרוב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ליד</w:t>
      </w:r>
      <w:r>
        <w:rPr>
          <w:rtl w:val="true"/>
        </w:rPr>
        <w:t>, [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tl w:val="true"/>
        </w:rPr>
        <w:t xml:space="preserve">] </w:t>
      </w:r>
      <w:r>
        <w:rPr>
          <w:rtl w:val="true"/>
        </w:rPr>
        <w:t>רץ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וזרק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...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שיעצור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האבן</w:t>
      </w:r>
      <w:r>
        <w:rPr>
          <w:rtl w:val="true"/>
        </w:rPr>
        <w:t xml:space="preserve">, </w:t>
      </w:r>
      <w:r>
        <w:rPr>
          <w:rtl w:val="true"/>
        </w:rPr>
        <w:t>האבן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בראש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והתחלתי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לרסס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הכיוונים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וריססתי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... 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התחילו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לחפש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ולזרוק</w:t>
      </w:r>
      <w:r>
        <w:rPr>
          <w:rtl w:val="true"/>
        </w:rPr>
        <w:t xml:space="preserve">. ... </w:t>
      </w:r>
      <w:r>
        <w:rPr>
          <w:rtl w:val="true"/>
        </w:rPr>
        <w:t>נאשם</w:t>
      </w:r>
      <w:r>
        <w:rPr>
          <w:rFonts w:eastAsia="Arial TUR;Arial" w:cs="Arial TUR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[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tl w:val="true"/>
        </w:rPr>
        <w:t xml:space="preserve">] </w:t>
      </w:r>
      <w:r>
        <w:rPr>
          <w:rtl w:val="true"/>
        </w:rPr>
        <w:t>ונאשם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[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tl w:val="true"/>
        </w:rPr>
        <w:t xml:space="preserve">] ... </w:t>
      </w:r>
      <w:r>
        <w:rPr>
          <w:rtl w:val="true"/>
        </w:rPr>
        <w:t>התחילו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לזרוק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אבנים</w:t>
      </w:r>
      <w:r>
        <w:rPr>
          <w:rtl w:val="true"/>
        </w:rPr>
        <w:t xml:space="preserve">, </w:t>
      </w:r>
      <w:r>
        <w:rPr>
          <w:rtl w:val="true"/>
        </w:rPr>
        <w:t>התרחקתי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זורקים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להתחמק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מהאבנים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שלהם</w:t>
      </w:r>
      <w:r>
        <w:rPr>
          <w:rtl w:val="true"/>
        </w:rPr>
        <w:t xml:space="preserve">, </w:t>
      </w:r>
      <w:r>
        <w:rPr>
          <w:rtl w:val="true"/>
        </w:rPr>
        <w:t>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מהאבנים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</w:t>
      </w:r>
      <w:r>
        <w:rPr>
          <w:rtl w:val="true"/>
        </w:rPr>
        <w:t xml:space="preserve">. ... </w:t>
      </w:r>
      <w:r>
        <w:rPr>
          <w:rtl w:val="true"/>
        </w:rPr>
        <w:t>התקשרתי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>'</w:t>
      </w:r>
      <w:r>
        <w:rPr>
          <w:rtl w:val="true"/>
        </w:rPr>
        <w:t xml:space="preserve"> ... </w:t>
      </w:r>
      <w:r>
        <w:rPr>
          <w:rtl w:val="true"/>
        </w:rPr>
        <w:t>וכשאני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ומחכה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>
          <w:rtl w:val="true"/>
        </w:rPr>
        <w:t>מגיעה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...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מתחמק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מהאבנים</w:t>
      </w:r>
      <w:r>
        <w:rPr>
          <w:rtl w:val="true"/>
        </w:rPr>
        <w:t xml:space="preserve">,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מהאנשים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השופלים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הצלחתי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לזהות</w:t>
      </w:r>
      <w:r>
        <w:rPr>
          <w:rtl w:val="true"/>
        </w:rPr>
        <w:t xml:space="preserve">, </w:t>
      </w:r>
      <w:r>
        <w:rPr>
          <w:rtl w:val="true"/>
        </w:rPr>
        <w:t>החזיק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והתחיל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לנסות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... </w:t>
      </w:r>
      <w:r>
        <w:rPr>
          <w:rtl w:val="true"/>
        </w:rPr>
        <w:t>כשהם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מתקדמים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tl w:val="true"/>
        </w:rPr>
        <w:t xml:space="preserve">] </w:t>
      </w:r>
      <w:r>
        <w:rPr>
          <w:rtl w:val="true"/>
        </w:rPr>
        <w:t>זורק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[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tl w:val="true"/>
        </w:rPr>
        <w:t xml:space="preserve">] </w:t>
      </w:r>
      <w:r>
        <w:rPr>
          <w:rtl w:val="true"/>
        </w:rPr>
        <w:t>זורק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אבנים</w:t>
      </w:r>
      <w:r>
        <w:rPr>
          <w:rtl w:val="true"/>
        </w:rPr>
        <w:t>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43</w:t>
      </w:r>
      <w:r>
        <w:rPr>
          <w:rtl w:val="true"/>
        </w:rPr>
        <w:t>–</w:t>
      </w:r>
      <w:r>
        <w:rPr/>
        <w:t>46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  <w:t>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ברגימת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באבנים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שרוי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הקרקע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לחבלות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FrankRuehl" w:hAnsi="FrankRuehl"/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ובכללן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וחתכים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בראשו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FrankRuehl" w:hAnsi="FrankRuehl"/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יסודות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החבלה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לשניהם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hyperlink r:id="rId2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10423/07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סיטרין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;Times New Roman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10</w:t>
      </w:r>
      <w:r>
        <w:rPr>
          <w:rtl w:val="true"/>
        </w:rPr>
        <w:t xml:space="preserve"> (</w:t>
      </w:r>
      <w:r>
        <w:rPr/>
        <w:t>11.6.2008</w:t>
      </w:r>
      <w:r>
        <w:rPr>
          <w:rtl w:val="true"/>
        </w:rPr>
        <w:t>)).</w:t>
      </w:r>
    </w:p>
    <w:p>
      <w:pPr>
        <w:pStyle w:val="Ruller4"/>
        <w:ind w:end="0"/>
        <w:jc w:val="both"/>
        <w:rPr/>
      </w:pP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משתקפו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והשליכו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אבנים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המשיכו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החבורה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בצינור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שנכנסו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למעגל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המבצעים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כולו</w:t>
      </w:r>
      <w:r>
        <w:rPr>
          <w:rtl w:val="true"/>
        </w:rPr>
        <w:t xml:space="preserve">. </w:t>
      </w:r>
      <w:r>
        <w:rPr>
          <w:rtl w:val="true"/>
        </w:rPr>
        <w:t>לעניין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לזיהוי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מהתוקפים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מהפעולות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באירוע</w:t>
      </w:r>
      <w:r>
        <w:rPr>
          <w:rtl w:val="true"/>
        </w:rPr>
        <w:t xml:space="preserve">, </w:t>
      </w:r>
      <w:r>
        <w:rPr>
          <w:rtl w:val="true"/>
        </w:rPr>
        <w:t>שהרי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נושאים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משותפת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למשל</w:t>
      </w:r>
      <w:r>
        <w:rPr>
          <w:rFonts w:eastAsia="Arial TUR;Arial" w:cs="Arial TUR;Arial"/>
          <w:rtl w:val="true"/>
        </w:rPr>
        <w:t xml:space="preserve"> </w:t>
      </w:r>
      <w:hyperlink r:id="rId2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2854/18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Times New Roman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82</w:t>
      </w:r>
      <w:r>
        <w:rPr>
          <w:rtl w:val="true"/>
        </w:rPr>
        <w:t xml:space="preserve"> (</w:t>
      </w:r>
      <w:r>
        <w:rPr/>
        <w:t>27.8.2019</w:t>
      </w:r>
      <w:r>
        <w:rPr>
          <w:rtl w:val="true"/>
        </w:rPr>
        <w:t>);</w:t>
      </w:r>
      <w:r>
        <w:rPr>
          <w:rtl w:val="true"/>
        </w:rPr>
        <w:t xml:space="preserve"> </w:t>
      </w:r>
      <w:hyperlink r:id="rId2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11426/03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חואמדה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Times New Roman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16</w:t>
      </w:r>
      <w:r>
        <w:rPr>
          <w:rtl w:val="true"/>
        </w:rPr>
        <w:t xml:space="preserve"> (</w:t>
      </w:r>
      <w:r>
        <w:rPr/>
        <w:t>31.12.2008</w:t>
      </w:r>
      <w:r>
        <w:rPr>
          <w:rtl w:val="true"/>
        </w:rPr>
        <w:t>)).</w:t>
      </w:r>
    </w:p>
    <w:p>
      <w:pPr>
        <w:pStyle w:val="ListParagraph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אשר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סבור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הערעורים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להידחות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וכך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אציע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לחבריי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לעשות</w:t>
      </w:r>
      <w:r>
        <w:rPr>
          <w:rtl w:val="true"/>
        </w:rPr>
        <w:t>.</w:t>
      </w:r>
    </w:p>
    <w:p>
      <w:pPr>
        <w:pStyle w:val="ListParagraph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בהתייחס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לערעורו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דינו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מצאתי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בטענותיו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הצדקה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וזאת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חרף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המלצת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להרחיב</w:t>
      </w:r>
      <w:r>
        <w:rPr>
          <w:rtl w:val="true"/>
        </w:rPr>
        <w:t xml:space="preserve">. </w:t>
      </w:r>
      <w:r>
        <w:rPr>
          <w:rtl w:val="true"/>
        </w:rPr>
        <w:t>השיג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התדרדר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עקוב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מדם</w:t>
      </w:r>
      <w:r>
        <w:rPr>
          <w:rtl w:val="true"/>
        </w:rPr>
        <w:t xml:space="preserve">, </w:t>
      </w:r>
      <w:r>
        <w:rPr>
          <w:rtl w:val="true"/>
        </w:rPr>
        <w:t>במהלכו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נרגם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באבנים</w:t>
      </w:r>
      <w:r>
        <w:rPr>
          <w:rtl w:val="true"/>
        </w:rPr>
        <w:t xml:space="preserve">, </w:t>
      </w:r>
      <w:r>
        <w:rPr>
          <w:rtl w:val="true"/>
        </w:rPr>
        <w:t>והוכה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בצינור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ובפטיש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ארבעה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המערערים</w:t>
      </w:r>
      <w:r>
        <w:rPr>
          <w:rtl w:val="true"/>
        </w:rPr>
        <w:t xml:space="preserve">. </w:t>
      </w:r>
      <w:r>
        <w:rPr>
          <w:rtl w:val="true"/>
        </w:rPr>
        <w:t>מתיאורו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התוקפים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ומשליכים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לעברו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בעיניים</w:t>
      </w:r>
      <w:r>
        <w:rPr>
          <w:rtl w:val="true"/>
        </w:rPr>
        <w:t xml:space="preserve">", </w:t>
      </w:r>
      <w:r>
        <w:rPr>
          <w:rtl w:val="true"/>
        </w:rPr>
        <w:t>כלשונו</w:t>
      </w:r>
      <w:r>
        <w:rPr>
          <w:rtl w:val="true"/>
        </w:rPr>
        <w:t xml:space="preserve">, </w:t>
      </w:r>
      <w:r>
        <w:rPr>
          <w:rtl w:val="true"/>
        </w:rPr>
        <w:t>מצטיירת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תמונה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ברוטאלית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וחסרת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רחמים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חריג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אלמלא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תושיית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שהגן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בגופו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והבריח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והתוקפים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באזהרותיו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בכוונתו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להזעיק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משטרה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להוקיע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לחזון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נפרץ</w:t>
      </w:r>
      <w:r>
        <w:rPr>
          <w:rtl w:val="true"/>
        </w:rPr>
        <w:t xml:space="preserve">, </w:t>
      </w:r>
      <w:r>
        <w:rPr>
          <w:rtl w:val="true"/>
        </w:rPr>
        <w:t>ולקבוע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תרתיע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עבריינים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פוטנציאליי</w:t>
      </w:r>
      <w:r>
        <w:rPr>
          <w:rtl w:val="true"/>
        </w:rPr>
        <w:t>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מליטול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לידיהם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ולנקוט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ליישוב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סכסוכיהם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>בהתאם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לדידי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ועיקר</w:t>
      </w:r>
      <w:r>
        <w:rPr>
          <w:rtl w:val="true"/>
        </w:rPr>
        <w:t xml:space="preserve">, </w:t>
      </w:r>
      <w:r>
        <w:rPr>
          <w:rtl w:val="true"/>
        </w:rPr>
        <w:t>וודאי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>.</w:t>
      </w:r>
    </w:p>
    <w:p>
      <w:pPr>
        <w:pStyle w:val="ListParagraph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סוף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אציע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לחבריי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לדחות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ערעורו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חלקיו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ערעורו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יתייצב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שאת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23.8.2020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השעה</w:t>
      </w:r>
      <w:r>
        <w:rPr>
          <w:rFonts w:eastAsia="Arial TUR;Arial" w:cs="Arial TUR;Arial"/>
          <w:rtl w:val="true"/>
        </w:rPr>
        <w:t xml:space="preserve"> </w:t>
      </w:r>
      <w:r>
        <w:rPr/>
        <w:t>10:00</w:t>
      </w:r>
      <w:r>
        <w:rPr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סוהר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דקל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הסוהר</w:t>
      </w:r>
      <w:r>
        <w:rPr>
          <w:rtl w:val="true"/>
        </w:rPr>
        <w:t xml:space="preserve">, </w:t>
      </w:r>
      <w:r>
        <w:rPr>
          <w:rtl w:val="true"/>
        </w:rPr>
        <w:t>כשברשותו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תעודת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דרכון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הכניסה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למאסר</w:t>
      </w:r>
      <w:r>
        <w:rPr>
          <w:rtl w:val="true"/>
        </w:rPr>
        <w:t xml:space="preserve">, </w:t>
      </w:r>
      <w:r>
        <w:rPr>
          <w:rtl w:val="true"/>
        </w:rPr>
        <w:t>כולל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מוקדם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אבחון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הסוהר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טלפונים</w:t>
      </w:r>
      <w:r>
        <w:rPr>
          <w:rtl w:val="true"/>
        </w:rPr>
        <w:t xml:space="preserve">: </w:t>
      </w:r>
      <w:r>
        <w:rPr/>
        <w:t>08-9787377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 </w:t>
      </w:r>
      <w:r>
        <w:rPr/>
        <w:t>08-9787336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יתייצב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23</w:t>
      </w:r>
      <w:r>
        <w:rPr/>
        <w:t>.</w:t>
      </w:r>
      <w:r>
        <w:rPr/>
        <w:t>8</w:t>
      </w:r>
      <w:r>
        <w:rPr/>
        <w:t>.20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בשעה</w:t>
      </w:r>
      <w:r>
        <w:rPr>
          <w:rFonts w:eastAsia="Arial TUR;Arial" w:cs="Arial TUR;Arial"/>
          <w:rtl w:val="true"/>
        </w:rPr>
        <w:t xml:space="preserve"> </w:t>
      </w:r>
      <w:r>
        <w:rPr/>
        <w:t>10</w:t>
      </w:r>
      <w:r>
        <w:rPr/>
        <w:t>:00</w:t>
      </w:r>
      <w:r>
        <w:rPr>
          <w:rtl w:val="true"/>
        </w:rPr>
        <w:t xml:space="preserve"> </w:t>
      </w:r>
      <w:r>
        <w:rPr>
          <w:rtl w:val="true"/>
        </w:rPr>
        <w:t>במשרדי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במפקדת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מחוז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הסוהר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כשברשותו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תעודת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קליטה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והצבה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end"/>
        <w:rPr/>
      </w:pP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"/>
        <w:ind w:hanging="0"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הנדל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"/>
        <w:ind w:hanging="0"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 xml:space="preserve">. </w:t>
      </w:r>
    </w:p>
    <w:p>
      <w:pPr>
        <w:pStyle w:val="Ruller4"/>
        <w:ind w:end="0"/>
        <w:jc w:val="end"/>
        <w:rPr/>
      </w:pP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"/>
        <w:ind w:hanging="0" w:end="0"/>
        <w:jc w:val="both"/>
        <w:rPr>
          <w:rFonts w:ascii="Century" w:hAnsi="Century" w:cs="Miriam"/>
          <w:b/>
          <w:spacing w:val="0"/>
          <w:szCs w:val="24"/>
          <w:u w:val="single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ד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מינץ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"/>
        <w:ind w:hanging="0"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 xml:space="preserve">. </w:t>
      </w:r>
    </w:p>
    <w:p>
      <w:pPr>
        <w:pStyle w:val="Ruller4"/>
        <w:ind w:end="0"/>
        <w:jc w:val="end"/>
        <w:rPr/>
      </w:pP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הוחלט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אלרון</w:t>
      </w:r>
      <w:r>
        <w:rPr>
          <w:rtl w:val="true"/>
        </w:rPr>
        <w:t xml:space="preserve">. </w:t>
      </w:r>
    </w:p>
    <w:p>
      <w:pPr>
        <w:pStyle w:val="Ruller4"/>
        <w:ind w:hanging="0" w:end="0"/>
        <w:jc w:val="both"/>
        <w:rPr/>
      </w:pPr>
      <w:bookmarkStart w:id="16" w:name="Nitan"/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ט</w:t>
      </w:r>
      <w:r>
        <w:rPr>
          <w:rtl w:val="true"/>
        </w:rPr>
        <w:t xml:space="preserve">' </w:t>
      </w:r>
      <w:r>
        <w:rPr>
          <w:rtl w:val="true"/>
        </w:rPr>
        <w:t>באב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</w:t>
      </w:r>
      <w:r>
        <w:rPr>
          <w:rtl w:val="true"/>
        </w:rPr>
        <w:t>"</w:t>
      </w:r>
      <w:r>
        <w:rPr>
          <w:rtl w:val="true"/>
        </w:rPr>
        <w:t>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30.7.2020</w:t>
      </w:r>
      <w:r>
        <w:rPr>
          <w:rtl w:val="true"/>
        </w:rPr>
        <w:t xml:space="preserve">). </w:t>
      </w:r>
      <w:bookmarkEnd w:id="16"/>
    </w:p>
    <w:p>
      <w:pPr>
        <w:pStyle w:val="Ruller4"/>
        <w:ind w:hanging="0" w:end="0"/>
        <w:jc w:val="both"/>
        <w:rPr/>
      </w:pP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ab/>
        <w:tab/>
        <w:tab/>
        <w:tab/>
      </w: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ab/>
        <w:tab/>
        <w:tab/>
        <w:tab/>
      </w: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19044540</w:t>
      </w:r>
      <w:r>
        <w:rPr>
          <w:sz w:val="16"/>
          <w:rtl w:val="true"/>
        </w:rPr>
        <w:t>_</w:t>
      </w:r>
      <w:r>
        <w:rPr>
          <w:sz w:val="16"/>
        </w:rPr>
        <w:t>J08.docx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עע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27">
        <w:r>
          <w:rPr>
            <w:rStyle w:val="Hyperlink"/>
            <w:sz w:val="16"/>
          </w:rPr>
          <w:t>http://supreme.court.gov.i</w:t>
        </w:r>
      </w:hyperlink>
      <w:r>
        <w:rPr>
          <w:sz w:val="16"/>
        </w:rPr>
        <w:t>l</w:t>
      </w:r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  <w:szCs w:val="22"/>
        </w:rPr>
      </w:pPr>
      <w:r>
        <w:rPr>
          <w:rFonts w:cs="David;Times New Roman" w:ascii="David;Times New Roman" w:hAnsi="David;Times New Roman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  <w:szCs w:val="22"/>
        </w:rPr>
      </w:pPr>
      <w:r>
        <w:rPr>
          <w:rFonts w:ascii="David;Times New Roman" w:hAnsi="David;Times New Roman"/>
          <w:color w:val="000000"/>
          <w:szCs w:val="22"/>
          <w:rtl w:val="true"/>
        </w:rPr>
        <w:t>נ</w:t>
      </w:r>
      <w:r>
        <w:rPr>
          <w:rFonts w:cs="David;Times New Roman" w:ascii="David;Times New Roman" w:hAnsi="David;Times New Roman"/>
          <w:color w:val="000000"/>
          <w:szCs w:val="22"/>
          <w:rtl w:val="true"/>
        </w:rPr>
        <w:t xml:space="preserve">' </w:t>
      </w:r>
      <w:r>
        <w:rPr>
          <w:rFonts w:ascii="David;Times New Roman" w:hAnsi="David;Times New Roman"/>
          <w:color w:val="000000"/>
          <w:szCs w:val="22"/>
          <w:rtl w:val="true"/>
        </w:rPr>
        <w:t xml:space="preserve">הנדל </w:t>
      </w:r>
      <w:r>
        <w:rPr>
          <w:rFonts w:cs="David;Times New Roman" w:ascii="David;Times New Roman" w:hAnsi="David;Times New Roman"/>
          <w:color w:val="000000"/>
          <w:szCs w:val="22"/>
        </w:rPr>
        <w:t>54678313-4454/19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28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29"/>
      <w:footerReference w:type="default" r:id="rId30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entury">
    <w:charset w:val="00" w:characterSet="windows-1252"/>
    <w:family w:val="roman"/>
    <w:pitch w:val="variable"/>
  </w:font>
  <w:font w:name="Tahoma"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Garamond">
    <w:charset w:val="00" w:characterSet="windows-1252"/>
    <w:family w:val="roman"/>
    <w:pitch w:val="variable"/>
  </w:font>
  <w:font w:name="David">
    <w:altName w:val="Times New Roman"/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17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;Times New Roman" w:hAnsi="David;Times New Roman" w:cs="David;Times New Roman"/>
        <w:color w:val="000000"/>
        <w:sz w:val="22"/>
        <w:szCs w:val="22"/>
      </w:rPr>
    </w:pP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 xml:space="preserve">עפ </w:t>
    </w:r>
    <w:r>
      <w:rPr>
        <w:rFonts w:cs="David;Times New Roman" w:ascii="David;Times New Roman" w:hAnsi="David;Times New Roman"/>
        <w:color w:val="000000"/>
        <w:sz w:val="22"/>
        <w:szCs w:val="22"/>
      </w:rPr>
      <w:t>4454/19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פלוני נ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'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>
        <w:lang w:val="en-US" w:bidi="he-I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;Times New Roman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lineRule="auto" w:line="360" w:before="480" w:after="360"/>
      <w:outlineLvl w:val="0"/>
    </w:pPr>
    <w:rPr>
      <w:rFonts w:ascii="Century" w:hAnsi="Century" w:cs="Miriam"/>
      <w:b/>
      <w:sz w:val="22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lang w:val="en-US" w:bidi="he-I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;Times New Roman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;Times New Roman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;Times New Roman"/>
    </w:rPr>
  </w:style>
  <w:style w:type="character" w:styleId="CharChar1">
    <w:name w:val=" Char Char1"/>
    <w:qFormat/>
    <w:rPr>
      <w:rFonts w:cs="David;Times New Roman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character" w:styleId="CharChar3">
    <w:name w:val=" Char Char3"/>
    <w:qFormat/>
    <w:rPr>
      <w:rFonts w:ascii="Century" w:hAnsi="Century" w:cs="Miriam"/>
      <w:b/>
      <w:sz w:val="22"/>
      <w:szCs w:val="24"/>
    </w:rPr>
  </w:style>
  <w:style w:type="character" w:styleId="Emphasis">
    <w:name w:val="Emphasis"/>
    <w:qFormat/>
    <w:rPr>
      <w:rFonts w:ascii="Century" w:hAnsi="Century" w:cs="Miriam"/>
      <w:b/>
      <w:spacing w:val="0"/>
      <w:szCs w:val="24"/>
    </w:rPr>
  </w:style>
  <w:style w:type="character" w:styleId="QuoteChar">
    <w:name w:val="Quote Char"/>
    <w:qFormat/>
    <w:rPr>
      <w:rFonts w:ascii="Arial TUR;Arial" w:hAnsi="Arial TUR;Arial" w:cs="FrankRuehl"/>
      <w:spacing w:val="10"/>
      <w:sz w:val="22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">
    <w:name w:val="Ruller4"/>
    <w:basedOn w:val="Normal"/>
    <w:qFormat/>
    <w:pPr>
      <w:spacing w:lineRule="auto" w:line="360" w:before="0" w:after="420"/>
      <w:ind w:firstLine="799" w:start="0" w:end="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/>
    <w:rPr>
      <w:rFonts w:cs="David;Times New Roman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1">
    <w:name w:val="Ruller 4 ממוספר"/>
    <w:basedOn w:val="Normal"/>
    <w:next w:val="Normal"/>
    <w:qFormat/>
    <w:pPr>
      <w:numPr>
        <w:ilvl w:val="0"/>
        <w:numId w:val="2"/>
      </w:numPr>
      <w:spacing w:lineRule="auto" w:line="360" w:before="0" w:after="420"/>
      <w:jc w:val="both"/>
    </w:pPr>
    <w:rPr>
      <w:rFonts w:ascii="Garamond" w:hAnsi="Garamond" w:cs="FrankRuehl"/>
      <w:spacing w:val="10"/>
      <w:sz w:val="28"/>
      <w:szCs w:val="28"/>
    </w:rPr>
  </w:style>
  <w:style w:type="paragraph" w:styleId="Quote">
    <w:name w:val="Quote"/>
    <w:basedOn w:val="Normal"/>
    <w:next w:val="Normal"/>
    <w:qFormat/>
    <w:pPr>
      <w:spacing w:before="0" w:after="420"/>
      <w:ind w:hanging="0" w:start="1644" w:end="1276"/>
      <w:contextualSpacing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ListParagraph">
    <w:name w:val="List Paragraph"/>
    <w:basedOn w:val="Ruller41"/>
    <w:qFormat/>
    <w:pPr/>
    <w:rPr/>
  </w:style>
  <w:style w:type="paragraph" w:styleId="Style13">
    <w:name w:val="ללא מרווח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;Times New Roman"/>
      <w:color w:val="auto"/>
      <w:sz w:val="20"/>
      <w:szCs w:val="24"/>
      <w:lang w:val="en-US" w:bidi="he-IL" w:eastAsia="zh-C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13108256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29" TargetMode="External"/><Relationship Id="rId5" Type="http://schemas.openxmlformats.org/officeDocument/2006/relationships/hyperlink" Target="http://www.nevo.co.il/law/70301/329.a.1" TargetMode="External"/><Relationship Id="rId6" Type="http://schemas.openxmlformats.org/officeDocument/2006/relationships/hyperlink" Target="http://www.nevo.co.il/law/98569" TargetMode="External"/><Relationship Id="rId7" Type="http://schemas.openxmlformats.org/officeDocument/2006/relationships/hyperlink" Target="http://www.nevo.co.il/law/98569/10a" TargetMode="External"/><Relationship Id="rId8" Type="http://schemas.openxmlformats.org/officeDocument/2006/relationships/hyperlink" Target="http://www.nevo.co.il/law/98569/10a.c" TargetMode="External"/><Relationship Id="rId9" Type="http://schemas.openxmlformats.org/officeDocument/2006/relationships/hyperlink" Target="http://www.nevo.co.il/case/25845393" TargetMode="External"/><Relationship Id="rId10" Type="http://schemas.openxmlformats.org/officeDocument/2006/relationships/hyperlink" Target="http://www.nevo.co.il/case/25824995" TargetMode="External"/><Relationship Id="rId11" Type="http://schemas.openxmlformats.org/officeDocument/2006/relationships/hyperlink" Target="http://www.nevo.co.il/law/98569/10a" TargetMode="External"/><Relationship Id="rId12" Type="http://schemas.openxmlformats.org/officeDocument/2006/relationships/hyperlink" Target="http://www.nevo.co.il/law/98569" TargetMode="External"/><Relationship Id="rId13" Type="http://schemas.openxmlformats.org/officeDocument/2006/relationships/hyperlink" Target="http://www.nevo.co.il/case/13108256" TargetMode="External"/><Relationship Id="rId14" Type="http://schemas.openxmlformats.org/officeDocument/2006/relationships/hyperlink" Target="http://www.nevo.co.il/law/70301/329.a.1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law/98569/10a" TargetMode="External"/><Relationship Id="rId17" Type="http://schemas.openxmlformats.org/officeDocument/2006/relationships/hyperlink" Target="http://www.nevo.co.il/law/98569" TargetMode="External"/><Relationship Id="rId18" Type="http://schemas.openxmlformats.org/officeDocument/2006/relationships/hyperlink" Target="http://www.nevo.co.il/law/70301/29" TargetMode="External"/><Relationship Id="rId19" Type="http://schemas.openxmlformats.org/officeDocument/2006/relationships/hyperlink" Target="http://www.nevo.co.il/law/70301" TargetMode="External"/><Relationship Id="rId20" Type="http://schemas.openxmlformats.org/officeDocument/2006/relationships/hyperlink" Target="http://www.nevo.co.il/law/98569/10a" TargetMode="External"/><Relationship Id="rId21" Type="http://schemas.openxmlformats.org/officeDocument/2006/relationships/hyperlink" Target="http://www.nevo.co.il/law/98569" TargetMode="External"/><Relationship Id="rId22" Type="http://schemas.openxmlformats.org/officeDocument/2006/relationships/hyperlink" Target="http://www.nevo.co.il/law/98569/10a.c" TargetMode="External"/><Relationship Id="rId23" Type="http://schemas.openxmlformats.org/officeDocument/2006/relationships/hyperlink" Target="http://www.nevo.co.il/case/23831736" TargetMode="External"/><Relationship Id="rId24" Type="http://schemas.openxmlformats.org/officeDocument/2006/relationships/hyperlink" Target="http://www.nevo.co.il/case/6169945" TargetMode="External"/><Relationship Id="rId25" Type="http://schemas.openxmlformats.org/officeDocument/2006/relationships/hyperlink" Target="http://www.nevo.co.il/case/23855492" TargetMode="External"/><Relationship Id="rId26" Type="http://schemas.openxmlformats.org/officeDocument/2006/relationships/hyperlink" Target="http://www.nevo.co.il/case/5691529" TargetMode="External"/><Relationship Id="rId27" Type="http://schemas.openxmlformats.org/officeDocument/2006/relationships/hyperlink" Target="http://supreme.court.gov.il/" TargetMode="External"/><Relationship Id="rId28" Type="http://schemas.openxmlformats.org/officeDocument/2006/relationships/hyperlink" Target="http://www.nevo.co.il/advertisements/nevo-100.doc" TargetMode="External"/><Relationship Id="rId29" Type="http://schemas.openxmlformats.org/officeDocument/2006/relationships/header" Target="header1.xml"/><Relationship Id="rId30" Type="http://schemas.openxmlformats.org/officeDocument/2006/relationships/footer" Target="footer1.xml"/><Relationship Id="rId31" Type="http://schemas.openxmlformats.org/officeDocument/2006/relationships/numbering" Target="numbering.xml"/><Relationship Id="rId32" Type="http://schemas.openxmlformats.org/officeDocument/2006/relationships/fontTable" Target="fontTable.xml"/><Relationship Id="rId33" Type="http://schemas.openxmlformats.org/officeDocument/2006/relationships/settings" Target="settings.xml"/><Relationship Id="rId34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2020-08-02T07:27:00Z</dcterms:created>
  <dc:creator>h4</dc:creator>
  <dc:description/>
  <cp:keywords/>
  <dc:language>en-IL</dc:language>
  <cp:lastModifiedBy>orly</cp:lastModifiedBy>
  <cp:lastPrinted>2020-07-30T09:22:00Z</cp:lastPrinted>
  <dcterms:modified xsi:type="dcterms:W3CDTF">2020-08-02T07:27:00Z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פלוני;פלוני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13108256:2;23831736;6169945;23855492;5691529</vt:lpwstr>
  </property>
  <property fmtid="{D5CDD505-2E9C-101B-9397-08002B2CF9AE}" pid="9" name="CITY">
    <vt:lpwstr/>
  </property>
  <property fmtid="{D5CDD505-2E9C-101B-9397-08002B2CF9AE}" pid="10" name="DATE">
    <vt:lpwstr>20200730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נ' הנדל;ד' מינץ;י' אלרון</vt:lpwstr>
  </property>
  <property fmtid="{D5CDD505-2E9C-101B-9397-08002B2CF9AE}" pid="14" name="LAWLISTTMP1">
    <vt:lpwstr>70301/329.a.1;029</vt:lpwstr>
  </property>
  <property fmtid="{D5CDD505-2E9C-101B-9397-08002B2CF9AE}" pid="15" name="LAWLISTTMP2">
    <vt:lpwstr>98569/010a:2;010a.c</vt:lpwstr>
  </property>
  <property fmtid="{D5CDD505-2E9C-101B-9397-08002B2CF9AE}" pid="16" name="LAWYER">
    <vt:lpwstr>מריה ציבלין;לין יוסי;רמי שלבי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METAKZER">
    <vt:lpwstr>נעה</vt:lpwstr>
  </property>
  <property fmtid="{D5CDD505-2E9C-101B-9397-08002B2CF9AE}" pid="23" name="NEWPARTA">
    <vt:lpwstr/>
  </property>
  <property fmtid="{D5CDD505-2E9C-101B-9397-08002B2CF9AE}" pid="24" name="NEWPARTB">
    <vt:lpwstr/>
  </property>
  <property fmtid="{D5CDD505-2E9C-101B-9397-08002B2CF9AE}" pid="25" name="NEWPARTC">
    <vt:lpwstr/>
  </property>
  <property fmtid="{D5CDD505-2E9C-101B-9397-08002B2CF9AE}" pid="26" name="NEWPROC">
    <vt:lpwstr/>
  </property>
  <property fmtid="{D5CDD505-2E9C-101B-9397-08002B2CF9AE}" pid="27" name="NOSE11">
    <vt:lpwstr>עונשין</vt:lpwstr>
  </property>
  <property fmtid="{D5CDD505-2E9C-101B-9397-08002B2CF9AE}" pid="28" name="NOSE110">
    <vt:lpwstr/>
  </property>
  <property fmtid="{D5CDD505-2E9C-101B-9397-08002B2CF9AE}" pid="29" name="NOSE12">
    <vt:lpwstr>עונשין</vt:lpwstr>
  </property>
  <property fmtid="{D5CDD505-2E9C-101B-9397-08002B2CF9AE}" pid="30" name="NOSE13">
    <vt:lpwstr>ראיות</vt:lpwstr>
  </property>
  <property fmtid="{D5CDD505-2E9C-101B-9397-08002B2CF9AE}" pid="31" name="NOSE14">
    <vt:lpwstr>עונשין</vt:lpwstr>
  </property>
  <property fmtid="{D5CDD505-2E9C-101B-9397-08002B2CF9AE}" pid="32" name="NOSE15">
    <vt:lpwstr/>
  </property>
  <property fmtid="{D5CDD505-2E9C-101B-9397-08002B2CF9AE}" pid="33" name="NOSE16">
    <vt:lpwstr/>
  </property>
  <property fmtid="{D5CDD505-2E9C-101B-9397-08002B2CF9AE}" pid="34" name="NOSE17">
    <vt:lpwstr/>
  </property>
  <property fmtid="{D5CDD505-2E9C-101B-9397-08002B2CF9AE}" pid="35" name="NOSE18">
    <vt:lpwstr/>
  </property>
  <property fmtid="{D5CDD505-2E9C-101B-9397-08002B2CF9AE}" pid="36" name="NOSE19">
    <vt:lpwstr/>
  </property>
  <property fmtid="{D5CDD505-2E9C-101B-9397-08002B2CF9AE}" pid="37" name="NOSE1ID">
    <vt:lpwstr>77;77;89;77</vt:lpwstr>
  </property>
  <property fmtid="{D5CDD505-2E9C-101B-9397-08002B2CF9AE}" pid="38" name="NOSE21">
    <vt:lpwstr>עבירות</vt:lpwstr>
  </property>
  <property fmtid="{D5CDD505-2E9C-101B-9397-08002B2CF9AE}" pid="39" name="NOSE210">
    <vt:lpwstr/>
  </property>
  <property fmtid="{D5CDD505-2E9C-101B-9397-08002B2CF9AE}" pid="40" name="NOSE22">
    <vt:lpwstr>שותפים לעבירה</vt:lpwstr>
  </property>
  <property fmtid="{D5CDD505-2E9C-101B-9397-08002B2CF9AE}" pid="41" name="NOSE23">
    <vt:lpwstr>הודעה</vt:lpwstr>
  </property>
  <property fmtid="{D5CDD505-2E9C-101B-9397-08002B2CF9AE}" pid="42" name="NOSE24">
    <vt:lpwstr>ענישה</vt:lpwstr>
  </property>
  <property fmtid="{D5CDD505-2E9C-101B-9397-08002B2CF9AE}" pid="43" name="NOSE25">
    <vt:lpwstr/>
  </property>
  <property fmtid="{D5CDD505-2E9C-101B-9397-08002B2CF9AE}" pid="44" name="NOSE26">
    <vt:lpwstr/>
  </property>
  <property fmtid="{D5CDD505-2E9C-101B-9397-08002B2CF9AE}" pid="45" name="NOSE27">
    <vt:lpwstr/>
  </property>
  <property fmtid="{D5CDD505-2E9C-101B-9397-08002B2CF9AE}" pid="46" name="NOSE28">
    <vt:lpwstr/>
  </property>
  <property fmtid="{D5CDD505-2E9C-101B-9397-08002B2CF9AE}" pid="47" name="NOSE29">
    <vt:lpwstr/>
  </property>
  <property fmtid="{D5CDD505-2E9C-101B-9397-08002B2CF9AE}" pid="48" name="NOSE2ID">
    <vt:lpwstr>1443;1451;1623;1446</vt:lpwstr>
  </property>
  <property fmtid="{D5CDD505-2E9C-101B-9397-08002B2CF9AE}" pid="49" name="NOSE31">
    <vt:lpwstr>חבלה בכוונה מחמירה</vt:lpwstr>
  </property>
  <property fmtid="{D5CDD505-2E9C-101B-9397-08002B2CF9AE}" pid="50" name="NOSE310">
    <vt:lpwstr/>
  </property>
  <property fmtid="{D5CDD505-2E9C-101B-9397-08002B2CF9AE}" pid="51" name="NOSE32">
    <vt:lpwstr>מבצע בצוותא</vt:lpwstr>
  </property>
  <property fmtid="{D5CDD505-2E9C-101B-9397-08002B2CF9AE}" pid="52" name="NOSE33">
    <vt:lpwstr>מחוץ לכותלי בית-המשפט</vt:lpwstr>
  </property>
  <property fmtid="{D5CDD505-2E9C-101B-9397-08002B2CF9AE}" pid="53" name="NOSE34">
    <vt:lpwstr>מדיניות ענישה: עבירות אלימות</vt:lpwstr>
  </property>
  <property fmtid="{D5CDD505-2E9C-101B-9397-08002B2CF9AE}" pid="54" name="NOSE35">
    <vt:lpwstr/>
  </property>
  <property fmtid="{D5CDD505-2E9C-101B-9397-08002B2CF9AE}" pid="55" name="NOSE36">
    <vt:lpwstr/>
  </property>
  <property fmtid="{D5CDD505-2E9C-101B-9397-08002B2CF9AE}" pid="56" name="NOSE37">
    <vt:lpwstr/>
  </property>
  <property fmtid="{D5CDD505-2E9C-101B-9397-08002B2CF9AE}" pid="57" name="NOSE38">
    <vt:lpwstr/>
  </property>
  <property fmtid="{D5CDD505-2E9C-101B-9397-08002B2CF9AE}" pid="58" name="NOSE39">
    <vt:lpwstr/>
  </property>
  <property fmtid="{D5CDD505-2E9C-101B-9397-08002B2CF9AE}" pid="59" name="NOSE3ID">
    <vt:lpwstr>8830;9034;10088;8984</vt:lpwstr>
  </property>
  <property fmtid="{D5CDD505-2E9C-101B-9397-08002B2CF9AE}" pid="60" name="PADIDATE">
    <vt:lpwstr>20200802</vt:lpwstr>
  </property>
  <property fmtid="{D5CDD505-2E9C-101B-9397-08002B2CF9AE}" pid="61" name="PADIMAIL">
    <vt:lpwstr>YES</vt:lpwstr>
  </property>
  <property fmtid="{D5CDD505-2E9C-101B-9397-08002B2CF9AE}" pid="62" name="PAGE">
    <vt:lpwstr/>
  </property>
  <property fmtid="{D5CDD505-2E9C-101B-9397-08002B2CF9AE}" pid="63" name="PART">
    <vt:lpwstr/>
  </property>
  <property fmtid="{D5CDD505-2E9C-101B-9397-08002B2CF9AE}" pid="64" name="PROCESS">
    <vt:lpwstr>עפ;עפ</vt:lpwstr>
  </property>
  <property fmtid="{D5CDD505-2E9C-101B-9397-08002B2CF9AE}" pid="65" name="PROCNUM">
    <vt:lpwstr>4454;4606</vt:lpwstr>
  </property>
  <property fmtid="{D5CDD505-2E9C-101B-9397-08002B2CF9AE}" pid="66" name="PROCYEAR">
    <vt:lpwstr>19;19</vt:lpwstr>
  </property>
  <property fmtid="{D5CDD505-2E9C-101B-9397-08002B2CF9AE}" pid="67" name="PSAKDIN">
    <vt:lpwstr>פסק-דין</vt:lpwstr>
  </property>
  <property fmtid="{D5CDD505-2E9C-101B-9397-08002B2CF9AE}" pid="68" name="TYPE">
    <vt:lpwstr>1</vt:lpwstr>
  </property>
  <property fmtid="{D5CDD505-2E9C-101B-9397-08002B2CF9AE}" pid="69" name="TYPE_ABS_DATE">
    <vt:lpwstr>410120200730</vt:lpwstr>
  </property>
  <property fmtid="{D5CDD505-2E9C-101B-9397-08002B2CF9AE}" pid="70" name="TYPE_N_DATE">
    <vt:lpwstr>41020200730</vt:lpwstr>
  </property>
  <property fmtid="{D5CDD505-2E9C-101B-9397-08002B2CF9AE}" pid="71" name="VOLUME">
    <vt:lpwstr/>
  </property>
  <property fmtid="{D5CDD505-2E9C-101B-9397-08002B2CF9AE}" pid="72" name="WORDNUMPAGES">
    <vt:lpwstr>16</vt:lpwstr>
  </property>
</Properties>
</file>