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sz w:val="22"/>
                <w:sz w:val="22"/>
                <w:szCs w:val="30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30"/>
                <w:rtl w:val="true"/>
              </w:rPr>
              <w:t xml:space="preserve"> </w:t>
            </w:r>
            <w:r>
              <w:rPr>
                <w:sz w:val="22"/>
                <w:sz w:val="22"/>
                <w:szCs w:val="30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30"/>
                <w:rtl w:val="true"/>
              </w:rPr>
              <w:t xml:space="preserve"> </w:t>
            </w:r>
            <w:r>
              <w:rPr>
                <w:sz w:val="22"/>
                <w:sz w:val="22"/>
                <w:szCs w:val="30"/>
                <w:rtl w:val="true"/>
              </w:rPr>
              <w:t>העליון</w:t>
            </w:r>
            <w:r>
              <w:rPr>
                <w:rFonts w:cs="Times New Roman"/>
                <w:sz w:val="22"/>
                <w:sz w:val="22"/>
                <w:szCs w:val="30"/>
                <w:rtl w:val="true"/>
              </w:rPr>
              <w:t xml:space="preserve"> </w:t>
            </w:r>
            <w:r>
              <w:rPr>
                <w:sz w:val="22"/>
                <w:sz w:val="22"/>
                <w:szCs w:val="30"/>
                <w:rtl w:val="true"/>
              </w:rPr>
              <w:t>בשבתו</w:t>
            </w:r>
            <w:r>
              <w:rPr>
                <w:rFonts w:cs="Times New Roman"/>
                <w:sz w:val="22"/>
                <w:sz w:val="22"/>
                <w:szCs w:val="30"/>
                <w:rtl w:val="true"/>
              </w:rPr>
              <w:t xml:space="preserve"> </w:t>
            </w:r>
            <w:r>
              <w:rPr>
                <w:sz w:val="22"/>
                <w:sz w:val="22"/>
                <w:szCs w:val="30"/>
                <w:rtl w:val="true"/>
              </w:rPr>
              <w:t>כבית</w:t>
            </w:r>
            <w:r>
              <w:rPr>
                <w:rFonts w:cs="Times New Roman"/>
                <w:sz w:val="22"/>
                <w:sz w:val="22"/>
                <w:szCs w:val="30"/>
                <w:rtl w:val="true"/>
              </w:rPr>
              <w:t xml:space="preserve"> </w:t>
            </w:r>
            <w:r>
              <w:rPr>
                <w:sz w:val="22"/>
                <w:sz w:val="22"/>
                <w:szCs w:val="30"/>
                <w:rtl w:val="true"/>
              </w:rPr>
              <w:t>משפט</w:t>
            </w:r>
            <w:r>
              <w:rPr>
                <w:rFonts w:cs="Times New Roman"/>
                <w:sz w:val="22"/>
                <w:sz w:val="22"/>
                <w:szCs w:val="30"/>
                <w:rtl w:val="true"/>
              </w:rPr>
              <w:t xml:space="preserve"> </w:t>
            </w:r>
            <w:r>
              <w:rPr>
                <w:sz w:val="22"/>
                <w:sz w:val="22"/>
                <w:szCs w:val="30"/>
                <w:rtl w:val="true"/>
              </w:rPr>
              <w:t>לערעורים</w:t>
            </w:r>
            <w:r>
              <w:rPr>
                <w:rFonts w:cs="Times New Roman"/>
                <w:sz w:val="22"/>
                <w:sz w:val="22"/>
                <w:szCs w:val="30"/>
                <w:rtl w:val="true"/>
              </w:rPr>
              <w:t xml:space="preserve"> </w:t>
            </w:r>
            <w:r>
              <w:rPr>
                <w:sz w:val="22"/>
                <w:sz w:val="22"/>
                <w:szCs w:val="30"/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4466/12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spacing w:lineRule="auto" w:line="36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16.5.12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7679-08-11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וינברג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נוטוביץ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xDate"/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bookmarkEnd w:id="5"/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28.11.2013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רז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6" w:name="FirstLawyer"/>
            <w:bookmarkEnd w:id="6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חנאווי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העונש שהושת על המערער בגין ביצוע עבירות מין 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 סטיה מרף הענישה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ונוכח האיזון הראוי שנערך בגזר הדין בין השיקולים לחומרה ולקולה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לפיצוי הכספי למתלוננת נפסק כי הנו סביר ומידתי בהינתן הנזק החמור שנגרם 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נוכח אי צירוף המתלוננת להליך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לדחות את הטענה ביחס לפיצוי על הסף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פיצויים והוצאות – פיצויים לקורבן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עונש –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בעבירה של אינוס קטינה 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מעשים מגונים במשפחה בקטינה מתחת לגיל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מגונים במשפחה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גזר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27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ופיצוי למתלוננת בסך </w:t>
      </w:r>
      <w:r>
        <w:rPr>
          <w:rFonts w:cs="Times New Roman" w:ascii="Times New Roman" w:hAnsi="Times New Roman"/>
          <w:spacing w:val="0"/>
          <w:sz w:val="24"/>
          <w:szCs w:val="26"/>
        </w:rPr>
        <w:t>70,000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הערעור שנסב אודות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ובראן ובהסכמת השופטים רובינשטיין ושהם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נקודת המוצא בערעור ראשון על גזר דין היא כי ערכאת הערעור תתערב בחומרת העונש שהטילה הערכאה הדיונית רק במקרים שבהם ניכרת סטייה של ממש ממדיניות הענישה הראויה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תתערב בגזר הדין מקום שהאיזון בין חומרת העבירות כשלעצמן ובנסיבות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 מול שיקולים פרטניים שעניינם העבריין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מחייבים גזירת עונש קל או חמור יותר מזה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ציין כי במקרה דנן הודאת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מצבו הנפשי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והעובדה שלא מדובר באינוס באמצעות החדרת איבר מין נדונו במפורש בגזר הדין כנסיבות 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החומרה בעבירות בהן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לקבל את הטענה כי לא ניתן לנסיבות אלה משקל מספק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על המערער אינו חורג ממתחם הענישה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המערער נגזר עונש מאסר ארוך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במקרה חמור במיוחד המחייב ענישה משמעותית וקשה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המקרה מצדיקות כי העונש שירצה המערער יהיה מצוי ברף העליון של מתחם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ניצל את בתו לסיפוק צרכיו המיניים במשך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 הביאו אותה לנסות ולשים קץ לחייה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היתה מרותקת למיטתה נוכח אשפוזה בבית חולים פסיכיאטרי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 למנוע ממנה להזיק 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המשיך לבצע בה את זממו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במעשים חמורים ונוראיים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בגינם אין מנוס מלמצות את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ולחומרה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כל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שנגזר על המערער אינו סוטה מרף הענישה הראוי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וגזר הדין איזן כראוי בין השיקולים לחומרה ולקולה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דחה את טענות המערער בנוגע לפיצוי לטובת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פסק כי ערכאת הערעור תתערב בגובה פיצוי שהושת על נאשם במקרים קיצוניים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ואך ורק כאשר גובהו חורג בצורה משמעותית ממדיניות הפיצוי שנקבעה בפסיקה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מטעם נסיבות כלכליות חריגות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מדובר בפיצוי סביר ומידתי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הנזק החמור שנגרם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 לא צורפה כמשיבה לערעור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דין טענה זו להידחות על הסף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12" w:name="LawTable"/>
      <w:bookmarkStart w:id="13" w:name="LawTable"/>
      <w:bookmarkEnd w:id="13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7" w:name="Writer_Name"/>
      <w:bookmarkEnd w:id="17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8" w:name="Start_Write"/>
      <w:bookmarkStart w:id="19" w:name="Start_Write"/>
      <w:bookmarkEnd w:id="19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לורך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דותן</w:t>
      </w:r>
      <w:r>
        <w:rPr>
          <w:rFonts w:ascii="Times New Roman" w:hAnsi="Times New Roman" w:cs="Times New Roman"/>
          <w:rtl w:val="true"/>
        </w:rPr>
        <w:t xml:space="preserve"> ו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וינברג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נוטוביץ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תפ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/>
        <w:t>7679-08-11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16.5.2012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והליכים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11.1.2012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לאחר הודאתו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);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hyperlink r:id="rId1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על פי 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הוא אביה של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ילידת שנת </w:t>
      </w:r>
      <w:r>
        <w:rPr>
          <w:rFonts w:cs="Times New Roman" w:ascii="Times New Roman" w:hAnsi="Times New Roman"/>
        </w:rPr>
        <w:t>1994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 התגורר בעיר אלעד יחד עם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אשתו ובנו עד לשנת </w:t>
      </w:r>
      <w:r>
        <w:rPr>
          <w:rFonts w:cs="Times New Roman" w:ascii="Times New Roman" w:hAnsi="Times New Roman"/>
        </w:rPr>
        <w:t>2005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בשנת </w:t>
      </w:r>
      <w:r>
        <w:rPr>
          <w:rFonts w:cs="Times New Roman" w:ascii="Times New Roman" w:hAnsi="Times New Roman"/>
        </w:rPr>
        <w:t>1999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כאשר היתה המתלוננת בת 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לקח אותה המערער לחדר השינה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וכאשר תריסי החדר מוגפים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הוריד את חצאיתה ותחתוניה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השכיב אותה על מיטתו והתפשט אף הוא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מכן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הורה המערער למתלוננת לגעת באיבר מינו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ונגע בגופה ובאיבר מינה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בשנת </w:t>
      </w:r>
      <w:r>
        <w:rPr>
          <w:rFonts w:cs="Times New Roman" w:ascii="Times New Roman" w:hAnsi="Times New Roman"/>
        </w:rPr>
        <w:t>2001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כאשר היתה המתלוננת כבת </w:t>
      </w:r>
      <w:r>
        <w:rPr>
          <w:rFonts w:cs="Times New Roman" w:ascii="Times New Roman" w:hAnsi="Times New Roman"/>
        </w:rPr>
        <w:t>8-7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צעקה עליה אימה והעירה לה על אופן לבושה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וביקשה מהמערער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לך ותסביר לה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אז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לקח המערער את המתלוננת לחדר האמבטיה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הוריד את תחתוניה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נגע באיבר מינה והחדיר אליו שתי אצבעות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1999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- </w:t>
      </w:r>
      <w:r>
        <w:rPr>
          <w:rFonts w:cs="Miriam" w:ascii="Times New Roman" w:hAnsi="Times New Roman"/>
          <w:spacing w:val="0"/>
          <w:sz w:val="28"/>
          <w:szCs w:val="24"/>
        </w:rPr>
        <w:t>2005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כאשר הייתה המתלוננת כבת </w:t>
      </w:r>
      <w:r>
        <w:rPr>
          <w:rFonts w:cs="Times New Roman" w:ascii="Times New Roman" w:hAnsi="Times New Roman"/>
        </w:rPr>
        <w:t>10-5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היה המערער לעיתים תכופות מפשיט את המתלוננת לגמרי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ונוגע עם ידו באיבר מינה ומחדיר לתוכו את אצבעותיו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באותן שנים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נהג לבקש מהמתלוננת לגעת באיבר מינו ולעסותו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והמתלוננת עשתה כדבריו כשהיא עוצמת עיניים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שכב על המתלוננת כשהיא שוכבת על גבה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והתחכך עם גופו באיבר מינה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במהלך השנים </w:t>
      </w:r>
      <w:r>
        <w:rPr>
          <w:rFonts w:cs="Times New Roman" w:ascii="Times New Roman" w:hAnsi="Times New Roman"/>
        </w:rPr>
        <w:t>2005-2004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ביקר את המתלוננת בפנימייה בבני ברק בה שהתה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ישב עימה על ספסל בגינה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ונגע בחזה ובאיבר מינה על גבי בגדיה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מכן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אמר לה</w:t>
      </w:r>
      <w:r>
        <w:rPr>
          <w:rFonts w:cs="Times New Roman" w:ascii="Times New Roman" w:hAnsi="Times New Roman"/>
          <w:rtl w:val="true"/>
        </w:rPr>
        <w:t>: "</w:t>
      </w:r>
      <w:r>
        <w:rPr>
          <w:rFonts w:ascii="Times New Roman" w:hAnsi="Times New Roman" w:cs="Times New Roman"/>
          <w:rtl w:val="true"/>
        </w:rPr>
        <w:t>זה לא בסדר מה שאנחנו עושים וזה כתוב בתורה שאסור ובואי נפסיק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לאחר מכן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חדל ממעשיו למשך שבועיים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אולם לאחר מכן חזר לעשותם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2005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ואמה של המתלוננת נפרדו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אונו</w:t>
      </w:r>
      <w:r>
        <w:rPr>
          <w:rtl w:val="true"/>
        </w:rPr>
        <w:t xml:space="preserve">. </w:t>
      </w:r>
      <w:r>
        <w:rPr>
          <w:rtl w:val="true"/>
        </w:rPr>
        <w:t>מרגע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נותק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2006</w:t>
      </w:r>
      <w:r>
        <w:rPr>
          <w:rtl w:val="true"/>
        </w:rPr>
        <w:t xml:space="preserve">,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בשבועיים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2011-2006</w:t>
      </w:r>
      <w:r>
        <w:rPr>
          <w:rtl w:val="true"/>
        </w:rPr>
        <w:t xml:space="preserve">, 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לחולצתה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לקחָה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לחדרו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מביקורים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והבטיח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בחודש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דצמבר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2010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התאשפזה המתלוננת בבית חולים פסיכיאטרי עקב ניסיונות התאבדות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מאז ועד היום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למעט תקופה של שנה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היא מאושפזת שם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במהלך אשפוזה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ועד למעצרו באמצע שנת </w:t>
      </w:r>
      <w:r>
        <w:rPr>
          <w:rFonts w:cs="Times New Roman" w:ascii="Times New Roman" w:hAnsi="Times New Roman"/>
        </w:rPr>
        <w:t>2011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היה המערער מגיע לבקרה בבית החולים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במהלך חלק מתקופה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המתלוננת היתה קשורה למיטה בידיה ורגליה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מחשש שתפגע בעצמה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כאשר הגיע המערער לביקור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בהיותה במצב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היה מנצל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נוגע בחזה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מחבק אותה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מנשק אותה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ומלטף אותה בלחייה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המתלוננת בתגובה ניסתה למשוך בשיניה את השמיכה כלפי מעלה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כדי למנוע ממנו מלעשות את שעשה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במהלך תקופה זו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המתלוננת סיפרה למערער כי הוצע לה לקבל טיפול בבית חולים אחר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מחשש כי תספר את שעולל 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אמר לה ש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עליה לסלוח ולשכוח מהעבר ולפתוח חיים חדשים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 xml:space="preserve">וכן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שתזהר בטעות שלא לסבך מישהו כי הציוֹניִם מחמירים במשפט ואין להם משפט צדק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ועל כל דבר יכולים הם לזרוק בן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אדם לכלא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במהלך כל התקופה המפורטת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הזהיר המערער את המתלוננת שלא לספר לאיש על מעשיו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עקב ניסיונות התאבדות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בסכיזופרניה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פרנואידית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בסכיזופרניה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פרנואידית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העדכנית</w:t>
      </w:r>
      <w:r>
        <w:rPr>
          <w:rtl w:val="true"/>
        </w:rPr>
        <w:t xml:space="preserve">,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;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>; "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פסיכוטיים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; </w:t>
      </w:r>
      <w:r>
        <w:rPr>
          <w:rtl w:val="true"/>
        </w:rPr>
        <w:t>והיעדר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שלדידו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</w:t>
      </w:r>
      <w:r>
        <w:rPr>
          <w:rtl w:val="true"/>
        </w:rPr>
        <w:t>הודאתו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; </w:t>
      </w:r>
      <w:r>
        <w:rPr>
          <w:rtl w:val="true"/>
        </w:rPr>
        <w:t>והמחלה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בתשלומו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start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נספחיה</w:t>
      </w:r>
      <w:r>
        <w:rPr>
          <w:rtl w:val="true"/>
        </w:rPr>
        <w:t xml:space="preserve">, </w:t>
      </w:r>
      <w:r>
        <w:rPr>
          <w:rtl w:val="true"/>
        </w:rPr>
        <w:t>ושמענו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>, "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...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 xml:space="preserve">, </w:t>
      </w:r>
      <w:r>
        <w:rPr>
          <w:rtl w:val="true"/>
        </w:rPr>
        <w:t>ומאפשר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),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" 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6347/12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13.5.2013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מרצון</w:t>
      </w:r>
      <w:r>
        <w:rPr>
          <w:rtl w:val="true"/>
        </w:rPr>
        <w:t xml:space="preserve">.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tl w:val="true"/>
        </w:rPr>
        <w:t>מצאנו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1090/02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9.10.2002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נגזר בגין עבירות חמורות יותר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אינוס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מעשי סדום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בעילה ומעשים מגונים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אולם בנסיבות קלות יותר מהמקרה שלפנינו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העבירות בוצעו במשך שש שנים ונשקלו לקולה נסיבותיו האישיות הקשות של הנאשם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 xml:space="preserve">עונש מאסר בפועל של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5691/06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3.2.2009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התקבל ערעור של נאשם והופחת עונשו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בגין עבירות של אינוס קטינה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מעשים מגונים בקטינה בת משפחה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מעשים מגונים בפני קטינה ואיומים כלפי שתי בנותיו במשך שמונה שנים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1155/04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24.5.2006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10545/05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/>
        <w:t>11.7.2006</w:t>
      </w:r>
      <w:r>
        <w:rPr>
          <w:rtl w:val="true"/>
        </w:rPr>
        <w:t xml:space="preserve">);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ממסקנתנו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5691/06</w:t>
        </w:r>
      </w:hyperlink>
      <w:r>
        <w:rPr>
          <w:rtl w:val="true"/>
        </w:rPr>
        <w:t xml:space="preserve"> </w:t>
      </w:r>
      <w:r>
        <w:rPr>
          <w:rtl w:val="true"/>
        </w:rPr>
        <w:t>שהוזכר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בנותיו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6.5.2010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שם הותיר על כנו בית משפט זה גזר דין של עשר שנות מאסר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גם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>-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,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).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מרותקת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למיטתה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זממו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מחשבותיו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ונוראיים</w:t>
      </w:r>
      <w:r>
        <w:rPr>
          <w:rtl w:val="true"/>
        </w:rPr>
        <w:t xml:space="preserve">,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מרושעת</w:t>
      </w:r>
      <w:r>
        <w:rPr>
          <w:rtl w:val="true"/>
        </w:rPr>
        <w:t xml:space="preserve">,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 xml:space="preserve">, </w:t>
      </w:r>
      <w:r>
        <w:rPr>
          <w:rtl w:val="true"/>
        </w:rPr>
        <w:t>עשק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גזל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נעוריה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ורמיסת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 xml:space="preserve">.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, </w:t>
      </w:r>
      <w:r>
        <w:rPr>
          <w:rtl w:val="true"/>
        </w:rPr>
        <w:t>בשר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מבשרו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ותאוותו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רוחו</w:t>
      </w:r>
      <w:r>
        <w:rPr>
          <w:rtl w:val="true"/>
        </w:rPr>
        <w:t xml:space="preserve">,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נשמה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לרבים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701/06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4.7.2007</w:t>
      </w:r>
      <w:r>
        <w:rPr>
          <w:rFonts w:cs="Times New Roman" w:ascii="Times New Roman" w:hAnsi="Times New Roman"/>
          <w:rtl w:val="true"/>
        </w:rPr>
        <w:t>)).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ולקולה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5761/05</w:t>
        </w:r>
      </w:hyperlink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דלאוי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24.7.2006</w:t>
      </w:r>
      <w:r>
        <w:rPr>
          <w:rtl w:val="true"/>
        </w:rPr>
        <w:t xml:space="preserve">); 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10213/05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26.6.2006</w:t>
      </w:r>
      <w:r>
        <w:rPr>
          <w:rtl w:val="true"/>
        </w:rPr>
        <w:t xml:space="preserve">)).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ומידתי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2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29414-04-11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21.4.2013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1028/03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</w:rPr>
        <w:t>19.1.2004</w:t>
      </w:r>
      <w:r>
        <w:rPr>
          <w:rFonts w:cs="Times New Roman" w:ascii="Times New Roman" w:hAnsi="Times New Roman"/>
          <w:rtl w:val="true"/>
        </w:rPr>
        <w:t xml:space="preserve">); </w:t>
      </w:r>
      <w:hyperlink r:id="rId28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8203/11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9.9.2012</w:t>
      </w:r>
      <w:r>
        <w:rPr>
          <w:rFonts w:cs="Times New Roman" w:ascii="Times New Roman" w:hAnsi="Times New Roman"/>
          <w:rtl w:val="true"/>
        </w:rPr>
        <w:t xml:space="preserve">)).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3079/11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11.9.2012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4641/12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20.11.2013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8.1.2014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  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20" w:name="FileName"/>
      <w:r>
        <w:rPr>
          <w:sz w:val="16"/>
        </w:rPr>
        <w:t>12044660</w:t>
      </w:r>
      <w:r>
        <w:rPr>
          <w:sz w:val="16"/>
          <w:rtl w:val="true"/>
        </w:rPr>
        <w:t>_</w:t>
      </w:r>
      <w:r>
        <w:rPr>
          <w:sz w:val="16"/>
        </w:rPr>
        <w:t>H01.doc</w:t>
      </w:r>
      <w:r>
        <w:rPr>
          <w:sz w:val="16"/>
          <w:rtl w:val="true"/>
        </w:rPr>
        <w:t xml:space="preserve">   </w:t>
      </w:r>
      <w:bookmarkEnd w:id="20"/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רובינשטיין </w:t>
      </w:r>
      <w:r>
        <w:rPr>
          <w:rFonts w:cs="David" w:ascii="David" w:hAnsi="David"/>
          <w:color w:val="000000"/>
          <w:szCs w:val="22"/>
        </w:rPr>
        <w:t>54678313-4466/12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4466/12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851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 w:color="000000"/>
        <w:b w:val="false"/>
        <w:kern w:val="0"/>
        <w:szCs w:val="28"/>
        <w:iCs w:val="false"/>
        <w:bCs w:val="false"/>
        <w:w w:val="100"/>
        <w:vanish w:val="false"/>
        <w:rFonts w:ascii="Times New Roman" w:hAnsi="Times New Roman" w:cs="FrankRuehl"/>
        <w:color w:val="000000"/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 w:color="000000"/>
      <w:vertAlign w:val="baseline"/>
      <w:lang w:bidi="he-IL"/>
    </w:rPr>
  </w:style>
  <w:style w:type="character" w:styleId="WW8Num1z1">
    <w:name w:val="WW8Num1z1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Ruller5">
    <w:name w:val="Ruller5 תו"/>
    <w:basedOn w:val="DefaultParagraphFont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44" TargetMode="External"/><Relationship Id="rId4" Type="http://schemas.openxmlformats.org/officeDocument/2006/relationships/hyperlink" Target="http://www.nevo.co.il/law/70301/345.a.3" TargetMode="External"/><Relationship Id="rId5" Type="http://schemas.openxmlformats.org/officeDocument/2006/relationships/hyperlink" Target="http://www.nevo.co.il/law/70301/348.a" TargetMode="External"/><Relationship Id="rId6" Type="http://schemas.openxmlformats.org/officeDocument/2006/relationships/hyperlink" Target="http://www.nevo.co.il/law/70301/351.a" TargetMode="External"/><Relationship Id="rId7" Type="http://schemas.openxmlformats.org/officeDocument/2006/relationships/hyperlink" Target="http://www.nevo.co.il/law/70301/351.c.1" TargetMode="External"/><Relationship Id="rId8" Type="http://schemas.openxmlformats.org/officeDocument/2006/relationships/hyperlink" Target="http://www.nevo.co.il/law/70301/351.c.3" TargetMode="External"/><Relationship Id="rId9" Type="http://schemas.openxmlformats.org/officeDocument/2006/relationships/hyperlink" Target="http://www.nevo.co.il/law/70301/351.a" TargetMode="External"/><Relationship Id="rId10" Type="http://schemas.openxmlformats.org/officeDocument/2006/relationships/hyperlink" Target="http://www.nevo.co.il/law/70301/345.a.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51.c.1" TargetMode="External"/><Relationship Id="rId13" Type="http://schemas.openxmlformats.org/officeDocument/2006/relationships/hyperlink" Target="http://www.nevo.co.il/law/70301/348.a" TargetMode="External"/><Relationship Id="rId14" Type="http://schemas.openxmlformats.org/officeDocument/2006/relationships/hyperlink" Target="http://www.nevo.co.il/law/70301/351.c.3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inks/psika/?link=&#1506;&#1508;%206347/12" TargetMode="External"/><Relationship Id="rId17" Type="http://schemas.openxmlformats.org/officeDocument/2006/relationships/hyperlink" Target="http://www.nevo.co.il/links/psika/?link=&#1514;&#1508;&#1495;%201090/02" TargetMode="External"/><Relationship Id="rId18" Type="http://schemas.openxmlformats.org/officeDocument/2006/relationships/hyperlink" Target="http://www.nevo.co.il/links/psika/?link=&#1506;&#1508;%205691/06" TargetMode="External"/><Relationship Id="rId19" Type="http://schemas.openxmlformats.org/officeDocument/2006/relationships/hyperlink" Target="http://www.nevo.co.il/links/psika/?link=&#1514;&#1508;&#1495;%201155/04" TargetMode="External"/><Relationship Id="rId20" Type="http://schemas.openxmlformats.org/officeDocument/2006/relationships/hyperlink" Target="http://www.nevo.co.il/links/psika/?link=&#1506;&#1508;%2010545/05" TargetMode="External"/><Relationship Id="rId21" Type="http://schemas.openxmlformats.org/officeDocument/2006/relationships/hyperlink" Target="http://www.nevo.co.il/links/psika/?link=&#1506;&#1508;%205691/06" TargetMode="External"/><Relationship Id="rId22" Type="http://schemas.openxmlformats.org/officeDocument/2006/relationships/hyperlink" Target="http://www.nevo.co.il/links/psika/?link=&#1506;&#1508;%20150/09" TargetMode="External"/><Relationship Id="rId23" Type="http://schemas.openxmlformats.org/officeDocument/2006/relationships/hyperlink" Target="http://www.nevo.co.il/links/psika/?link=&#1506;&#1508;%20701/06" TargetMode="External"/><Relationship Id="rId24" Type="http://schemas.openxmlformats.org/officeDocument/2006/relationships/hyperlink" Target="http://www.nevo.co.il/links/psika/?link=%F2%F4%205761/05" TargetMode="External"/><Relationship Id="rId25" Type="http://schemas.openxmlformats.org/officeDocument/2006/relationships/hyperlink" Target="http://www.nevo.co.il/links/psika/?link=%F2%F4%2010213/05" TargetMode="External"/><Relationship Id="rId26" Type="http://schemas.openxmlformats.org/officeDocument/2006/relationships/hyperlink" Target="http://www.nevo.co.il/links/psika/?NEWPROC=&#1514;&#1508;&#1495;&amp;NEWPARTA=29414&amp;NEWPARTB=04&amp;NEWPARTC=11" TargetMode="External"/><Relationship Id="rId27" Type="http://schemas.openxmlformats.org/officeDocument/2006/relationships/hyperlink" Target="http://www.nevo.co.il/links/psika/?link=&#1514;&#1508;&#1495;%201028/03" TargetMode="External"/><Relationship Id="rId28" Type="http://schemas.openxmlformats.org/officeDocument/2006/relationships/hyperlink" Target="http://www.nevo.co.il/links/psika/?link=&#1506;&#1508;%208203/11" TargetMode="External"/><Relationship Id="rId29" Type="http://schemas.openxmlformats.org/officeDocument/2006/relationships/hyperlink" Target="http://www.nevo.co.il/links/psika/?link=&#1506;&#1508;%203079/11" TargetMode="External"/><Relationship Id="rId30" Type="http://schemas.openxmlformats.org/officeDocument/2006/relationships/hyperlink" Target="http://www.nevo.co.il/links/psika/?link=&#1506;&#1508;%204641/12" TargetMode="External"/><Relationship Id="rId31" Type="http://schemas.openxmlformats.org/officeDocument/2006/relationships/hyperlink" Target="http://www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12044660.H01.doc</Template>
  <TotalTime>6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2014-01-09T13:18:00Z</dcterms:created>
  <dc:creator> </dc:creator>
  <dc:description/>
  <cp:keywords/>
  <dc:language>en-IL</dc:language>
  <cp:lastModifiedBy>orly</cp:lastModifiedBy>
  <cp:lastPrinted>2014-01-06T16:45:00Z</cp:lastPrinted>
  <dcterms:modified xsi:type="dcterms:W3CDTF">2014-01-09T13:34:00Z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/>
  </property>
  <property fmtid="{D5CDD505-2E9C-101B-9397-08002B2CF9AE}" pid="9" name="DATE">
    <vt:lpwstr>20140108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א' רובינשטיין;ס' ג'ובראן;א' שהם</vt:lpwstr>
  </property>
  <property fmtid="{D5CDD505-2E9C-101B-9397-08002B2CF9AE}" pid="13" name="LAWLISTTMP1">
    <vt:lpwstr>70301/351.a;345.a.3;351.c.1;348.a;351.c.3;244</vt:lpwstr>
  </property>
  <property fmtid="{D5CDD505-2E9C-101B-9397-08002B2CF9AE}" pid="14" name="LAWYER">
    <vt:lpwstr>נעימה חנאווי;צחי רז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פאני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>עונשין</vt:lpwstr>
  </property>
  <property fmtid="{D5CDD505-2E9C-101B-9397-08002B2CF9AE}" pid="30" name="NOSE15">
    <vt:lpwstr>עונשין</vt:lpwstr>
  </property>
  <property fmtid="{D5CDD505-2E9C-101B-9397-08002B2CF9AE}" pid="31" name="NOSE16">
    <vt:lpwstr>עונשין</vt:lpwstr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77;77;77;77;77;77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>ענישה</vt:lpwstr>
  </property>
  <property fmtid="{D5CDD505-2E9C-101B-9397-08002B2CF9AE}" pid="41" name="NOSE25">
    <vt:lpwstr>פיצויים והוצאות</vt:lpwstr>
  </property>
  <property fmtid="{D5CDD505-2E9C-101B-9397-08002B2CF9AE}" pid="42" name="NOSE26">
    <vt:lpwstr>עונש</vt:lpwstr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1446;1446;1446;1446;1447;15425</vt:lpwstr>
  </property>
  <property fmtid="{D5CDD505-2E9C-101B-9397-08002B2CF9AE}" pid="47" name="NOSE31">
    <vt:lpwstr>מדיניות ענישה: עבירות מין</vt:lpwstr>
  </property>
  <property fmtid="{D5CDD505-2E9C-101B-9397-08002B2CF9AE}" pid="48" name="NOSE310">
    <vt:lpwstr/>
  </property>
  <property fmtid="{D5CDD505-2E9C-101B-9397-08002B2CF9AE}" pid="49" name="NOSE32">
    <vt:lpwstr>מדיניות ענישה: התערבות ערכאת ערעור</vt:lpwstr>
  </property>
  <property fmtid="{D5CDD505-2E9C-101B-9397-08002B2CF9AE}" pid="50" name="NOSE33">
    <vt:lpwstr>מדיניות ענישה: שיקולים לחומרה</vt:lpwstr>
  </property>
  <property fmtid="{D5CDD505-2E9C-101B-9397-08002B2CF9AE}" pid="51" name="NOSE34">
    <vt:lpwstr>דרכי ענישה: פיצויים</vt:lpwstr>
  </property>
  <property fmtid="{D5CDD505-2E9C-101B-9397-08002B2CF9AE}" pid="52" name="NOSE35">
    <vt:lpwstr>פיצויים לקורבן</vt:lpwstr>
  </property>
  <property fmtid="{D5CDD505-2E9C-101B-9397-08002B2CF9AE}" pid="53" name="NOSE36">
    <vt:lpwstr>ערעור</vt:lpwstr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8988;8982;8995;8968;9013;15426</vt:lpwstr>
  </property>
  <property fmtid="{D5CDD505-2E9C-101B-9397-08002B2CF9AE}" pid="58" name="PADIDATE">
    <vt:lpwstr>20140109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4466</vt:lpwstr>
  </property>
  <property fmtid="{D5CDD505-2E9C-101B-9397-08002B2CF9AE}" pid="64" name="PROCYEAR">
    <vt:lpwstr>12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410120140108</vt:lpwstr>
  </property>
  <property fmtid="{D5CDD505-2E9C-101B-9397-08002B2CF9AE}" pid="68" name="TYPE_N_DATE">
    <vt:lpwstr>41020140108</vt:lpwstr>
  </property>
  <property fmtid="{D5CDD505-2E9C-101B-9397-08002B2CF9AE}" pid="69" name="VOLUME">
    <vt:lpwstr/>
  </property>
  <property fmtid="{D5CDD505-2E9C-101B-9397-08002B2CF9AE}" pid="70" name="WORDNUMPAGES">
    <vt:lpwstr>8</vt:lpwstr>
  </property>
</Properties>
</file>