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4490/23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הדין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שניתנ</w:t>
            </w: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לוי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קוטון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באומגרט</w:t>
            </w:r>
            <w:r>
              <w:rPr>
                <w:sz w:val="24"/>
                <w:szCs w:val="24"/>
                <w:rtl w:val="true"/>
              </w:rPr>
              <w:t xml:space="preserve">)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11.9.2022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4.5.2023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19436-04-21</w:t>
            </w:r>
          </w:p>
        </w:tc>
      </w:tr>
    </w:tbl>
    <w:p>
      <w:pPr>
        <w:pStyle w:val="BodyRuller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18.4.2024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BodyRuller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עאמר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BodyRuller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גורני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בשם שירות המבחן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טלי סמואל</w:t>
            </w:r>
          </w:p>
        </w:tc>
      </w:tr>
    </w:tbl>
    <w:p>
      <w:pPr>
        <w:pStyle w:val="BodyRuller1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בשם נפגע העבירה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ע</w:t>
            </w:r>
            <w:r>
              <w:rPr>
                <w:rFonts w:ascii="David" w:hAnsi="David"/>
                <w:rtl w:val="true"/>
              </w:rPr>
              <w:t>ו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>ד מונא אבואליונס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inks_Start"/>
      <w:bookmarkEnd w:id="5"/>
      <w:r>
        <w:rPr>
          <w:rFonts w:ascii="FrankRuehl" w:hAnsi="FrankRuehl" w:cs="FrankRuehl"/>
          <w:sz w:val="24"/>
          <w:sz w:val="24"/>
          <w:rtl w:val="true"/>
        </w:rPr>
        <w:t>ספרות</w:t>
      </w:r>
      <w:r>
        <w:rPr>
          <w:rFonts w:cs="FrankRuehl" w:ascii="FrankRuehl" w:hAnsi="FrankRuehl"/>
          <w:sz w:val="24"/>
          <w:rtl w:val="true"/>
        </w:rPr>
        <w:t>: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יניב ואקי  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u w:val="none"/>
            <w:rtl w:val="true"/>
          </w:rPr>
          <w:t xml:space="preserve">דיני ראיות 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Style w:val="Hyperlink"/>
        </w:rPr>
      </w:pPr>
      <w:hyperlink r:id="rId3">
        <w:r>
          <w:rPr>
            <w:rtl w:val="true"/>
          </w:rPr>
        </w:r>
      </w:hyperlink>
      <w:bookmarkStart w:id="6" w:name="LawTable"/>
      <w:bookmarkStart w:id="7" w:name="Links_End"/>
      <w:bookmarkStart w:id="8" w:name="LawTable"/>
      <w:bookmarkStart w:id="9" w:name="Links_End"/>
      <w:bookmarkEnd w:id="8"/>
      <w:bookmarkEnd w:id="9"/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192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345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347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348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לתיקון דיני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הגנת ילדים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תשט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1955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11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175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sz w:val="24"/>
            <w:u w:val="none"/>
          </w:rPr>
          <w:t>184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1971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sz w:val="24"/>
            <w:u w:val="none"/>
          </w:rPr>
          <w:t>12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10" w:name="LawTable_End"/>
      <w:bookmarkStart w:id="11" w:name="LawTable_End"/>
      <w:bookmarkEnd w:id="11"/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12" w:name="ABSTRACT_START"/>
      <w:bookmarkEnd w:id="12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במוקד הערעור עומדות טענות המערער בקשר לסיפור ההודאה שנטען כי נשמעה מפיו שלא בפני איש מרות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חקירתו האחרונה במשטרה ולאחר ששוחרר ממעצר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הכרעת הדין מתבססת בעיקר על עדות הקורבן לפני חוקרת הילדים שמתקיימת לגביה דרישת הסיוע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הערכת מהימנות הנוגעת לא רק לחוקרת הילדים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אלא גם לעדויותיהם של עדים 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דהיינו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הרשעת המערער התבססה כדבעי גם ללא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סיפור ההודאה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למעלה מן הצורך יובהר כי לגופו של עניין אין ממש בטענות המערער בקשר לאופן בו בחן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את סיפור ההודאה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והמערער לא ביסס כל טענה ממשית לפגיעה בזכותו להליך הוגן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עדים – עדות קטין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עדים – חוקר נוער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סיוע – עדות קטין לפני חוקר נוער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סיוע – שקרי הנאשם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הודאה – מחוץ לכותלי 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בעבירה על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פי עובדות שלא נטענו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עדים – חקירה בידי בית המשפט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בממצאים עובדתיים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מין במשפחה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קטינים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הכרעת דינו ועל גזר דינו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במסגרתם הורשע המערער בביצוע עבירות מין כלפי בן דודו הקטין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'"),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זוכה מביצוע עבירות מין כלפי בן דוד קטין נוסף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'")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ונגזרו עליו </w:t>
      </w:r>
      <w:r>
        <w:rPr>
          <w:rFonts w:cs="Times New Roman" w:ascii="Times New Roman" w:hAnsi="Times New Roman"/>
          <w:spacing w:val="0"/>
          <w:sz w:val="24"/>
          <w:szCs w:val="26"/>
        </w:rPr>
        <w:t>36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 מאסר בפועל ועונשים נלווים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עיקר חיציו מפנה המערער לראשית הודאה שנטען כי נשמעה מפיו שלא בפני איש מרות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חקירתו האחרונה במשטרה ולאחר ששוחרר ממעצר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דחה את הערעור על הכרעת הדין וקיבל חלקית את הערעור על 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זו דרכה של ערכאת הערעור להתערב בממצאי עובדה וקביעות מהימנות שקבעה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כלל זה שריר וקיים גם במקרים של עבירות מין 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ובעבירות מין במשפחה הנעשות מטבע הדברים בחדרי חדרים הנסתרים מן העין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בפרט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 כי בפסיקה נשמעו עמדות שונות ביחס לאופן יישומו של הכלל האמור כשמדובר בבחינת מהימנותו של מתלונן בעבירות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המתלונן הוא קטין והעדתו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נאסרה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חוקר 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 המתלונן אינה נשמעת בביהמ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אלא מתועדת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החוקר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במצבים מסוג זה כלל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ההתערבות אינו בעל אותה עוצמה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שכן בכל הנוגע לקביעות מהימנות המבוססות על צפייה בתיעוד חקירת חוקר הילדים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לערכאה הדיונית אין יתרון מובנה על פני ערכאת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זו חזות הכל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ההכרעה בטענות שמעלה נאשם כלפי קביעות העובדה וממצאי המהימנות של הערכאה הדיונית נעשית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 מארג הראיות בכללותו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ובתוך כך על בסיס התרשמותו הישירה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מעדויות נוספות שבראשן עדותו של חוקר הילדים עצמו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עדות הנאשם ועדותם של גורמים נוספים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אף אם כוחו של כלל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ההתערבות נחלש בכל הנוגע לעדות מתלונן קטין שנאסרה עדותו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ליתר הראיות והעדויות כלל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ההתערבות ממשיך לחול במלוא תוקפו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מצא כי עדותו של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 שתועדה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חוקרת הילדים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אופיינה בספונטניות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עקביות וקוהרנטיות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הדגים ותיאר באופן שאינו עולה בקנה אחד עם הטענה כי מדובר בתולדה של דמיון או כתוצאה מזיהום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מסקנות אלו מקובלות 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העליון לחלוטין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מהימנותו של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נבחנה גם בראי עדותה של חוקרת הילדים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עמד על מקצועיותה כפי שהשתקפה מחקירתה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הוראת </w:t>
      </w:r>
      <w:hyperlink r:id="rId18">
        <w:r>
          <w:rPr>
            <w:rStyle w:val="Hyperlink"/>
            <w:rFonts w:ascii="Times New Roman" w:hAnsi="Times New Roman" w:cs="Times New Roman"/>
            <w:color w:val="000000"/>
            <w:spacing w:val="0"/>
            <w:sz w:val="24"/>
            <w:sz w:val="24"/>
            <w:szCs w:val="26"/>
            <w:u w:val="non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 w:val="24"/>
            <w:szCs w:val="26"/>
            <w:u w:val="none"/>
          </w:rPr>
          <w:t>9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9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חוק לתיקון דיני הראיות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הגנת ילדים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עדותו של חוקר הילדים בדבר התרשמותו מעדות הקטין לפניו הינה ראיה קבילה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והיא אף משמשת כלי עזר משמעותי בגיבוש המסקנה בדבר מהימנות עדותו של הקטין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נפל כל פגם באופן שבו בחן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את עדותה של חוקרת הילדים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 שבו קיבל כממצא את מהימנותה וכפועל יוצא מכך את קביעתה בדבר מהימנות הדברים שמסר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ובקביעתו כי ממכלול העדויות עלה שעדותו של 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מהימנה וניתן לבסס עליה ממצאים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לפי </w:t>
      </w:r>
      <w:hyperlink r:id="rId20">
        <w:r>
          <w:rPr>
            <w:rStyle w:val="Hyperlink"/>
            <w:rFonts w:ascii="Times New Roman" w:hAnsi="Times New Roman" w:cs="Times New Roman"/>
            <w:color w:val="000000"/>
            <w:spacing w:val="0"/>
            <w:sz w:val="24"/>
            <w:sz w:val="24"/>
            <w:szCs w:val="26"/>
            <w:u w:val="non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 w:val="24"/>
            <w:szCs w:val="26"/>
            <w:u w:val="none"/>
          </w:rPr>
          <w:t>11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לחוק הגנת ילדים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לצורך הרשעה על סמך עדות קטין שנאסרה העדתו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נדרשת תוספת ראייתית מסוג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ראיית הסיוע להגיע ממקור נפרד ועצמאי ביחס לעדות הטעונה סיוע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עליה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לסבך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הנאשם בביצוע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במובן זה שהיא אינה מתיישבת עם גרסתו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והיא צריכה להתייחס לנקודה ממשית השנויה במחלוקת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נקבע כי קיים קשר הדוק בין משקלה של ראיית הסיוע לבין משקל העדות הטעונה סיוע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היינו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שניתן לעדות העיקרית משקל גבוה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ניתן להסתפק בראיית סיוע שמשקלה מועט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וככל שהכחשת הנאשם את המעשים כללית וגורפת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היקף ראיית הסיוע הדרושה יהיה מצומצם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לטיב ראיית הסיוע נפסק כי סיוע יכול לבוא מתוך שקרי הנאשם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מקום בו השקרים ברורים וחד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משמעיים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מתייחסים לעניין מהותי ולא שולי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מוכחים באמצעות עדויות עצמאיות ולא מתוך העדות הטעונה סיוע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קשורים לעבירה שעליה נסוב המשפט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ונאמרו בכוונה להטעות את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גם נקבע כי כאשר עד שעדותו טעונה סיוע יודע פרטים מיוחדים מסבכים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אותם היה יכול לקלוט רק בנסיבות המוצגות על ידו והמערער מכחיש נסיבות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עשויה ידיעת פרטים אלו כשלעצמה לשמש סיוע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גרסת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כבלתי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מהימנה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לעומת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גרסתו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מהימנה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לאירוע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הסדום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מושא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מכחיש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המיוחסים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בראיית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יחסי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מצוות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המחוקק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כמפורט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שמשקלן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משמעותי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בשקרי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דרישת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היותר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בסתירות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שאינם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מהותיים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סיוע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לעדותו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קורבן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לבוא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התנהגותו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ומצבו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שהתגלה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בעקבות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אליה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מכאן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', </w:t>
      </w:r>
      <w:r>
        <w:rPr>
          <w:rFonts w:ascii="Times New Roman" w:hAnsi="Times New Roman" w:cs="Times New Roman"/>
          <w:spacing w:val="0"/>
          <w:szCs w:val="26"/>
          <w:rtl w:val="true"/>
        </w:rPr>
        <w:t>שנמצאה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מהימנה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הנפשי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חשיפת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והתנהגותו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לראיית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הסיוע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הנוספת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להניח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פרטים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מיוחדים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מוכמנים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לרוב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מתייחסת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לקיומו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נתון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אובייקטיבי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המתיישב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גרסת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ומוכחש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תיאורו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יציאת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הזרע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פרט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מיוחד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שממלא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דרישת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הסיוע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כשלעצמו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מילוי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דרישת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הסיוע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בטענותיו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הנוספות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לקביעות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זיהום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שנפסק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שמתקיימת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חקירה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פוטנציאל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זיהומי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ודאי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בשיחה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שבמסגרתה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מבוגר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מעודד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הילד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לחשוף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הוצגו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התנהגות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חריגה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>' (</w:t>
      </w:r>
      <w:r>
        <w:rPr>
          <w:rFonts w:ascii="Times New Roman" w:hAnsi="Times New Roman" w:cs="Times New Roman"/>
          <w:spacing w:val="0"/>
          <w:szCs w:val="26"/>
          <w:rtl w:val="true"/>
        </w:rPr>
        <w:t>שעשויה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לטענתו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להסביר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תיאור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מייחס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להשפיע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במאום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המכלול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הראייתי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שפורט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שביצע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במוקד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עומדות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טענות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לסיפור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ההודאה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קבילותו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ומשקלו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לזכור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הכרעת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מתבססת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בעיקר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עדותו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לפני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חוקרת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הילדים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שמתקיימת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לגביה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דרישת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הסיוע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הערכת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מהימנות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הנוגעת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הילדים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לעדויותיהם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עדים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נוספים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אביו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ודודותיו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להלן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למעלה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הצורך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שכן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התבססה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כדבעי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סיפור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ההודאה</w:t>
      </w:r>
      <w:r>
        <w:rPr>
          <w:rFonts w:cs="Times New Roman" w:ascii="Times New Roman" w:hAnsi="Times New Roman"/>
          <w:spacing w:val="0"/>
          <w:szCs w:val="26"/>
          <w:rtl w:val="true"/>
        </w:rPr>
        <w:t>".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הדגש המוסב על טענות המערער בקשר לסיפור ההודאה אינו הולם כלל את משקלה של ראיה זו בהכרעת דינו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לגביה נקבע כי משקלה הפנימי איננו מירבי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בכך די כדי לסתום את הגולל על טענת המערער כי ראיה זו שימשה כנדבך מרכזי עליו ביסס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 את נימוקיו העיקריים לקביעה כי המערער אחראי למעשים המיוחסים ביחס לב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'. </w:t>
      </w:r>
      <w:r>
        <w:rPr>
          <w:rFonts w:ascii="Times New Roman" w:hAnsi="Times New Roman" w:cs="Times New Roman"/>
          <w:spacing w:val="0"/>
          <w:szCs w:val="26"/>
          <w:rtl w:val="true"/>
        </w:rPr>
        <w:t>מכל מקום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לגופו של עניין אין ממש בטענות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כחריג לכלל לפיו הרשעת נאשם מוגבלת לעובדות ולאישומים שנכללו בכתב 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המחוקק הכיר באפשרות כי יחולו התפתחויות בהליך באופן בו יידרש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לעובדות שלא פורטו בכתב האישום אך הוכחו במהלך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ואף ירשיע בעקבות זאת בעבירה שהאשמה בה נתגלתה מן העובדות שהוכחו לפניו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אם ניתנה לנאשם הזדמנות סבירה להתגונן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hyperlink r:id="rId21"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</w:rPr>
          <w:t>184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חסד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Cs w:val="26"/>
          <w:rtl w:val="true"/>
        </w:rPr>
        <w:t>אכן השימוש בסמכות זו צריך להיעשות בזהירות ובצמצום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אך הרשות נתונה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בכפוף לבחינה אם ניתנה לנאשם הזדמנות סבירה להתגונן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בפן הדיוני ובפן המהותי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הוראת </w:t>
      </w:r>
      <w:hyperlink r:id="rId23"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 xml:space="preserve">סעיף </w:t>
        </w:r>
      </w:hyperlink>
      <w:r>
        <w:rPr>
          <w:rFonts w:cs="Times New Roman" w:ascii="Times New Roman" w:hAnsi="Times New Roman"/>
          <w:spacing w:val="0"/>
          <w:szCs w:val="26"/>
        </w:rPr>
        <w:t>184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מאפשרת הרשעה גם במצב בו התגלו והוכחו עובדות שלא עברו סינון ובדיקה בדרך של חקירה משטרתית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די אפוא בכך כדי לדחות את מרבית טענות המערער בקשר לאופן בו בחן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את סיפור ההודאה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המתמקדות בטענה שלא היה כל מקום להידרש לעובדות שנתגלו ולוּ בשל כך שלא בוצעה לגביהן השלמת חקירה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יוער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הרשיע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פורטה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מוגבל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להתבטאויות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שהתגלו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מתוך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העדויות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המלמדות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הודאה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שנמסרה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אמנם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עקרון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להרשיע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ניתנת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הזדמנות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להתגונן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יחול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ההרשעה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הואשם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מלכתחילה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בכתב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עניין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המתעורר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הפלילי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וסופו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להוביל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למסקנה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בקביעת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ממצא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עובדתי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בנושא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פורט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בכתב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ניתנה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לנאשם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הזדמנות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להתגונן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נבחנת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לטיב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הקביעה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העומדת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הפרק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בראי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דבר בטענות המערער המצדיק התערבות באופן שבו בחן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את סיפור ההודאה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לא ביסס כל טענה ממשית לפגיעה בזכותו להליך הוגן ולא ניתן לומר כי לא ניתנה למערער הזדמנות סבירה להתגונן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יצוין כי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נדרש לעובדות שנתגלו לפניו בנוגע לסיפור ההודאה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לאחר שבחן את קבילותה של האמרה בהתאם להוראת </w:t>
      </w:r>
      <w:hyperlink r:id="rId24"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</w:rPr>
          <w:t>12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פקודת הראיות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ונתן לה משקל מתאים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יישום מבחני הפסיקה שנקבעו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במקרה שבו מתן הודאת החוץ מוכחש 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י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טען אמנם כי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נכנס לנעלי התביעה כשהוא מחליף את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תפקידו של החוקר המשטרתי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בחוקרו את אבי המערער חקירה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ארוכה ומקיפה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החורגת מגדר תפקידו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אך לא נמצא ממש בטענה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hyperlink r:id="rId26">
        <w:r>
          <w:rPr>
            <w:rStyle w:val="Hyperlink"/>
            <w:rFonts w:ascii="Times New Roman" w:hAnsi="Times New Roman" w:cs="Times New Roman"/>
            <w:color w:val="000000"/>
            <w:spacing w:val="0"/>
            <w:szCs w:val="26"/>
            <w:u w:val="non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00"/>
            <w:spacing w:val="0"/>
            <w:szCs w:val="26"/>
            <w:u w:val="none"/>
          </w:rPr>
          <w:t>175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חסד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פ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מגדיר את סמכות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הדן בהליך פלילי להציג שאלות לעדים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 לו לביהמ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ליטול לעצמו את מלאכתם של בעלי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תפקידו של השופט מתמצה בצפייה סבילה במתרחש לפניו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עליו לשמור על קיומו של הליך הוגן ויעיל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אם נדרש הוא לשאלות הבהרה – על מנת שיוכל להגיע לחקר האמת – רשאי הוא להפנות שאלותיו לעדים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מידת ההתערבות הנדרשת או כמות השאלות הדרושה אינה ניתנת או צריכה הגדרה מראש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נגזרת ממורכבותו וייחודיותו של כל תיק ותיק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כי מעורבות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בחקירת אבי המערער חרגה באופן המצדיק 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לסיכום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הכרעת דינו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אינה מגלה כל עילה להתערבות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לגזר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צורך להכביר במילים על החומרה היתרה הגלומה בעבירות מין ועל ההשלכות המשמעותיות שעבירות מסוג זה טומנות בחובן על הקורבן ומשפחתו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אלה מגלמות לא רק פגיעה פיזית אלא גם פגיעה נפשית קשה בקורבן המותירה צלקות עמוקות ומצריכה הליכי שיקום ארוכים ומורכבים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 העבירות אף מתעצמת במקרים בהם הן נעשות בתוך המשפחה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ומטבען כרוכות בניצול פערי כוחות וקרבה בין הפוגע לנפגע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בהיותו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שביצע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בהיותו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בגיר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הטיפולי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נועד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להיטיב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הקטין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מבצע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לאפשר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השתלבותו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בחברה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ולמנוע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נוספות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הכרח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לעמוד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טיב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השיקומי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והפוטנציאל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להשתלבות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טיפולי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בהתייחס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ליתר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נתוניו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האישיים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כגון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גילו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פלילי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ובהתייחס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למוטיבציה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שהביע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לשיקום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ולטיפול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לאינדיקציות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לשינוי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התנהגותו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לשאלה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והפגין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אמפתיה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נפגע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סיפור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ההודאה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מלמד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הביע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חרטה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מסוימת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בפני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דודותיו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סיפר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קרבן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דומים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שנעשו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בעבר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מלאה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וביקש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להתנער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מהודאה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וזאת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ככל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להבין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אזהרתו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אביו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– </w:t>
      </w:r>
      <w:r>
        <w:rPr>
          <w:rFonts w:ascii="Times New Roman" w:hAnsi="Times New Roman" w:cs="Times New Roman"/>
          <w:spacing w:val="0"/>
          <w:szCs w:val="26"/>
          <w:rtl w:val="true"/>
        </w:rPr>
        <w:t>ברי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יכול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להיחשב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כמי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שנטל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הביע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אמפתיה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הקורבן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ורצון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לקבל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מענה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טיפולי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ולתקן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המעוות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לצד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התמונה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המורכבת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שנחשפה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מצדיקה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הקלה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מסוימת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בעונשו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צעיר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בתחילת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דרכו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אנוס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תחת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מוצא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אביו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להתעלם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מניסיונותיו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להשתלב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בשוק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התעסוקה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ובמציאות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חיים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נורמטיבית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לתארם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כניסיון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לעלות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דרך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הישר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יתקבל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חלקית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שבו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יושתו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Times New Roman" w:ascii="Times New Roman" w:hAnsi="Times New Roman"/>
          <w:spacing w:val="0"/>
          <w:szCs w:val="26"/>
        </w:rPr>
        <w:t>30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13" w:name="ABSTRACT_END"/>
      <w:bookmarkStart w:id="14" w:name="ABSTRACT_END"/>
      <w:bookmarkEnd w:id="14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5" w:name="PsakDin"/>
            <w:bookmarkStart w:id="16" w:name="BeginProtocol"/>
            <w:bookmarkStart w:id="17" w:name="secretary"/>
            <w:bookmarkEnd w:id="15"/>
            <w:bookmarkEnd w:id="16"/>
            <w:bookmarkEnd w:id="17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8" w:name="Writer_Name"/>
      <w:bookmarkEnd w:id="18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מינץ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9" w:name="Start_Write"/>
      <w:bookmarkStart w:id="20" w:name="Start_Write"/>
      <w:bookmarkEnd w:id="20"/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11.9.2022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4.5.2023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לוי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קוטון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באומגרט</w:t>
      </w:r>
      <w:r>
        <w:rPr>
          <w:rtl w:val="true"/>
        </w:rPr>
        <w:t xml:space="preserve">) </w:t>
      </w: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19436-04-21</w:t>
        </w:r>
      </w:hyperlink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כתב האישום שהוגש נגד המערער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12.9.2004</w:t>
      </w:r>
      <w:r>
        <w:rPr>
          <w:rtl w:val="true"/>
        </w:rPr>
        <w:t xml:space="preserve">, </w:t>
      </w:r>
      <w:r>
        <w:rPr>
          <w:rtl w:val="true"/>
        </w:rPr>
        <w:t>כלל שני אישומים</w:t>
      </w:r>
      <w:r>
        <w:rPr>
          <w:rtl w:val="true"/>
        </w:rPr>
        <w:t xml:space="preserve">. </w:t>
      </w:r>
      <w:r>
        <w:rPr>
          <w:rtl w:val="true"/>
        </w:rPr>
        <w:t xml:space="preserve">באישום הראשון יוחסו לו עבירות של מעשים מגונים לפי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tl w:val="true"/>
        </w:rPr>
        <w:t xml:space="preserve">) </w:t>
      </w:r>
      <w:r>
        <w:rPr>
          <w:rtl w:val="true"/>
        </w:rPr>
        <w:t xml:space="preserve">בנסיבות </w:t>
      </w:r>
      <w:hyperlink r:id="rId31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2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ואיומים לפי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לפי האמור באישום זה</w:t>
      </w:r>
      <w:r>
        <w:rPr>
          <w:rtl w:val="true"/>
        </w:rPr>
        <w:t xml:space="preserve">, </w:t>
      </w:r>
      <w:r>
        <w:rPr>
          <w:rtl w:val="true"/>
        </w:rPr>
        <w:t xml:space="preserve">במהלך תקופה שבין חודש אפריל </w:t>
      </w:r>
      <w:r>
        <w:rPr/>
        <w:t>2018</w:t>
      </w:r>
      <w:r>
        <w:rPr>
          <w:rtl w:val="true"/>
        </w:rPr>
        <w:t xml:space="preserve"> </w:t>
      </w:r>
      <w:r>
        <w:rPr>
          <w:rtl w:val="true"/>
        </w:rPr>
        <w:t xml:space="preserve">לבין חודש יוני </w:t>
      </w:r>
      <w:r>
        <w:rPr/>
        <w:t>2019</w:t>
      </w:r>
      <w:r>
        <w:rPr>
          <w:rtl w:val="true"/>
        </w:rPr>
        <w:t xml:space="preserve">, </w:t>
      </w:r>
      <w:r>
        <w:rPr>
          <w:rtl w:val="true"/>
        </w:rPr>
        <w:t>כאשר לן המערער בבית דודתו</w:t>
      </w:r>
      <w:r>
        <w:rPr>
          <w:rtl w:val="true"/>
        </w:rPr>
        <w:t xml:space="preserve">, </w:t>
      </w:r>
      <w:r>
        <w:rPr>
          <w:rtl w:val="true"/>
        </w:rPr>
        <w:t>ביצע בבנה א</w:t>
      </w:r>
      <w:r>
        <w:rPr>
          <w:rtl w:val="true"/>
        </w:rPr>
        <w:t xml:space="preserve">' </w:t>
      </w:r>
      <w:r>
        <w:rPr>
          <w:rtl w:val="true"/>
        </w:rPr>
        <w:t xml:space="preserve">כאשר היה כבן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מעשים מגונים בכך שנהג להשכיבו על בטנו</w:t>
      </w:r>
      <w:r>
        <w:rPr>
          <w:rtl w:val="true"/>
        </w:rPr>
        <w:t xml:space="preserve">, </w:t>
      </w:r>
      <w:r>
        <w:rPr>
          <w:rtl w:val="true"/>
        </w:rPr>
        <w:t>להפשיל את מכנסיו ולחשוף את ישבנו</w:t>
      </w:r>
      <w:r>
        <w:rPr>
          <w:rtl w:val="true"/>
        </w:rPr>
        <w:t xml:space="preserve">. </w:t>
      </w:r>
      <w:r>
        <w:rPr>
          <w:rtl w:val="true"/>
        </w:rPr>
        <w:t>המערער היה גם מחכך את איבר מינו על ישבנו של א</w:t>
      </w:r>
      <w:r>
        <w:rPr>
          <w:rtl w:val="true"/>
        </w:rPr>
        <w:t xml:space="preserve">', </w:t>
      </w:r>
      <w:r>
        <w:rPr>
          <w:rtl w:val="true"/>
        </w:rPr>
        <w:t>ומנשקו על פיו</w:t>
      </w:r>
      <w:r>
        <w:rPr>
          <w:rtl w:val="true"/>
        </w:rPr>
        <w:t xml:space="preserve">. </w:t>
      </w:r>
      <w:r>
        <w:rPr>
          <w:rtl w:val="true"/>
        </w:rPr>
        <w:t>המעשים האמורים בוצעו תוך שהמערער גרם לא</w:t>
      </w:r>
      <w:r>
        <w:rPr>
          <w:rtl w:val="true"/>
        </w:rPr>
        <w:t xml:space="preserve">' </w:t>
      </w:r>
      <w:r>
        <w:rPr>
          <w:rtl w:val="true"/>
        </w:rPr>
        <w:t>כאב ובשעה שהוא בוכה</w:t>
      </w:r>
      <w:r>
        <w:rPr>
          <w:rtl w:val="true"/>
        </w:rPr>
        <w:t xml:space="preserve">, </w:t>
      </w:r>
      <w:r>
        <w:rPr>
          <w:rtl w:val="true"/>
        </w:rPr>
        <w:t>וכן איים על א</w:t>
      </w:r>
      <w:r>
        <w:rPr>
          <w:rtl w:val="true"/>
        </w:rPr>
        <w:t xml:space="preserve">' </w:t>
      </w:r>
      <w:r>
        <w:rPr>
          <w:rtl w:val="true"/>
        </w:rPr>
        <w:t>שעליו לשתוק שאלמלא כן אמו תגיע ותכה אותו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באישום השני יוחסו למערער עבירות של מעשה סדום לפי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בנסיבות </w:t>
      </w:r>
      <w:hyperlink r:id="rId35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6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 xml:space="preserve">מעשה מגונה בנסיבות מחמירות לפי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בנסיבות </w:t>
      </w:r>
      <w:hyperlink r:id="rId38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9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ואיומים לפי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על פי האמור באישום זה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6.10.2019</w:t>
      </w:r>
      <w:r>
        <w:rPr>
          <w:rtl w:val="true"/>
        </w:rPr>
        <w:t xml:space="preserve"> </w:t>
      </w:r>
      <w:r>
        <w:rPr>
          <w:rtl w:val="true"/>
        </w:rPr>
        <w:t>נעתר המערער לבקשת אמו של ב</w:t>
      </w:r>
      <w:r>
        <w:rPr>
          <w:rtl w:val="true"/>
        </w:rPr>
        <w:t xml:space="preserve">' </w:t>
      </w:r>
      <w:r>
        <w:rPr>
          <w:rtl w:val="true"/>
        </w:rPr>
        <w:t xml:space="preserve">אשר היה באותה עת בן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 ועשרה חודשים</w:t>
      </w:r>
      <w:r>
        <w:rPr>
          <w:rtl w:val="true"/>
        </w:rPr>
        <w:t xml:space="preserve">, </w:t>
      </w:r>
      <w:r>
        <w:rPr>
          <w:rtl w:val="true"/>
        </w:rPr>
        <w:t>לשמור עליו בביתו</w:t>
      </w:r>
      <w:r>
        <w:rPr>
          <w:rtl w:val="true"/>
        </w:rPr>
        <w:t xml:space="preserve">. </w:t>
      </w:r>
      <w:r>
        <w:rPr>
          <w:rtl w:val="true"/>
        </w:rPr>
        <w:t>כאשר שהו השניים ביחידות בחדר</w:t>
      </w:r>
      <w:r>
        <w:rPr>
          <w:rtl w:val="true"/>
        </w:rPr>
        <w:t xml:space="preserve">, </w:t>
      </w:r>
      <w:r>
        <w:rPr>
          <w:rtl w:val="true"/>
        </w:rPr>
        <w:t>המערער הורה לב</w:t>
      </w:r>
      <w:r>
        <w:rPr>
          <w:rtl w:val="true"/>
        </w:rPr>
        <w:t xml:space="preserve">' </w:t>
      </w:r>
      <w:r>
        <w:rPr>
          <w:rtl w:val="true"/>
        </w:rPr>
        <w:t>להוריד את מכנסיו</w:t>
      </w:r>
      <w:r>
        <w:rPr>
          <w:rtl w:val="true"/>
        </w:rPr>
        <w:t xml:space="preserve">, </w:t>
      </w:r>
      <w:r>
        <w:rPr>
          <w:rtl w:val="true"/>
        </w:rPr>
        <w:t>אך ב</w:t>
      </w:r>
      <w:r>
        <w:rPr>
          <w:rtl w:val="true"/>
        </w:rPr>
        <w:t xml:space="preserve">' </w:t>
      </w:r>
      <w:r>
        <w:rPr>
          <w:rtl w:val="true"/>
        </w:rPr>
        <w:t>סירב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>המערער הפשיל את מכנסיו ואת תחתוניו וכן את מכנסיו ותחתוניו של ב</w:t>
      </w:r>
      <w:r>
        <w:rPr>
          <w:rtl w:val="true"/>
        </w:rPr>
        <w:t xml:space="preserve">' </w:t>
      </w:r>
      <w:r>
        <w:rPr>
          <w:rtl w:val="true"/>
        </w:rPr>
        <w:t>בעוד ב</w:t>
      </w:r>
      <w:r>
        <w:rPr>
          <w:rtl w:val="true"/>
        </w:rPr>
        <w:t xml:space="preserve">' </w:t>
      </w:r>
      <w:r>
        <w:rPr>
          <w:rtl w:val="true"/>
        </w:rPr>
        <w:t>שוכב על המיטה על בטנו</w:t>
      </w:r>
      <w:r>
        <w:rPr>
          <w:rtl w:val="true"/>
        </w:rPr>
        <w:t xml:space="preserve">. </w:t>
      </w:r>
      <w:r>
        <w:rPr>
          <w:rtl w:val="true"/>
        </w:rPr>
        <w:t>המערער החדיר את איבר מינו לפי הטבעת של ב</w:t>
      </w:r>
      <w:r>
        <w:rPr>
          <w:rtl w:val="true"/>
        </w:rPr>
        <w:t xml:space="preserve">' </w:t>
      </w:r>
      <w:r>
        <w:rPr>
          <w:rtl w:val="true"/>
        </w:rPr>
        <w:t>שלא בהסכמתו החופשית</w:t>
      </w:r>
      <w:r>
        <w:rPr>
          <w:rtl w:val="true"/>
        </w:rPr>
        <w:t xml:space="preserve">, </w:t>
      </w:r>
      <w:r>
        <w:rPr>
          <w:rtl w:val="true"/>
        </w:rPr>
        <w:t>תוך שהוא גורם לו לכאבים ובעוד שב</w:t>
      </w:r>
      <w:r>
        <w:rPr>
          <w:rtl w:val="true"/>
        </w:rPr>
        <w:t xml:space="preserve">' </w:t>
      </w:r>
      <w:r>
        <w:rPr>
          <w:rtl w:val="true"/>
        </w:rPr>
        <w:t>צועק</w:t>
      </w:r>
      <w:r>
        <w:rPr>
          <w:rtl w:val="true"/>
        </w:rPr>
        <w:t xml:space="preserve">, </w:t>
      </w:r>
      <w:r>
        <w:rPr>
          <w:rtl w:val="true"/>
        </w:rPr>
        <w:t>בוכה ומבקש מהמערער כי יחדל ממעשיו</w:t>
      </w:r>
      <w:r>
        <w:rPr>
          <w:rtl w:val="true"/>
        </w:rPr>
        <w:t xml:space="preserve">. </w:t>
      </w:r>
      <w:r>
        <w:rPr>
          <w:rtl w:val="true"/>
        </w:rPr>
        <w:t>המערער המשיך במעשיו עד אשר בשלב מסוים הוציא את איבר מינו</w:t>
      </w:r>
      <w:r>
        <w:rPr>
          <w:rtl w:val="true"/>
        </w:rPr>
        <w:t xml:space="preserve">, </w:t>
      </w:r>
      <w:r>
        <w:rPr>
          <w:rtl w:val="true"/>
        </w:rPr>
        <w:t>אחז בו ואונן בפני ב</w:t>
      </w:r>
      <w:r>
        <w:rPr>
          <w:rtl w:val="true"/>
        </w:rPr>
        <w:t xml:space="preserve">' </w:t>
      </w:r>
      <w:r>
        <w:rPr>
          <w:rtl w:val="true"/>
        </w:rPr>
        <w:t>עד שהגיע לפורקן</w:t>
      </w:r>
      <w:r>
        <w:rPr>
          <w:rtl w:val="true"/>
        </w:rPr>
        <w:t xml:space="preserve">. </w:t>
      </w:r>
      <w:r>
        <w:rPr>
          <w:rtl w:val="true"/>
        </w:rPr>
        <w:t>תוך כדי המעשה האמור</w:t>
      </w:r>
      <w:r>
        <w:rPr>
          <w:rtl w:val="true"/>
        </w:rPr>
        <w:t xml:space="preserve">, </w:t>
      </w:r>
      <w:r>
        <w:rPr>
          <w:rtl w:val="true"/>
        </w:rPr>
        <w:t>איים המערער על ב</w:t>
      </w:r>
      <w:r>
        <w:rPr>
          <w:rtl w:val="true"/>
        </w:rPr>
        <w:t xml:space="preserve">' </w:t>
      </w:r>
      <w:r>
        <w:rPr>
          <w:rtl w:val="true"/>
        </w:rPr>
        <w:t>כי יסטור לו ויחשוף בפני אמו את פרטיו של אירוע מיני שלטענתו ב</w:t>
      </w:r>
      <w:r>
        <w:rPr>
          <w:rtl w:val="true"/>
        </w:rPr>
        <w:t xml:space="preserve">' </w:t>
      </w:r>
      <w:r>
        <w:rPr>
          <w:rtl w:val="true"/>
        </w:rPr>
        <w:t>היה מעורב בו עם בת דודתו</w:t>
      </w:r>
      <w:r>
        <w:rPr>
          <w:rtl w:val="true"/>
        </w:rPr>
        <w:t xml:space="preserve">,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ח</w:t>
      </w:r>
      <w:r>
        <w:rPr>
          <w:rtl w:val="true"/>
        </w:rPr>
        <w:t xml:space="preserve">., </w:t>
      </w:r>
      <w:r>
        <w:rPr>
          <w:rtl w:val="true"/>
        </w:rPr>
        <w:t>במטרה להפחידו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הראיות המרכזיות שהוגשו בהליך </w:t>
      </w:r>
      <w:r>
        <w:rPr>
          <w:rtl w:val="true"/>
        </w:rPr>
        <w:t>מטעם</w:t>
      </w:r>
      <w:r>
        <w:rPr>
          <w:rtl w:val="true"/>
        </w:rPr>
        <w:t xml:space="preserve"> </w:t>
      </w:r>
      <w:r>
        <w:rPr>
          <w:rtl w:val="true"/>
        </w:rPr>
        <w:t>המשיבה היו עדויות המתלוננים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 xml:space="preserve">שנגבו ותועדו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חוקרת</w:t>
      </w:r>
      <w:r>
        <w:rPr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אורנה ח</w:t>
      </w:r>
      <w:r>
        <w:rPr>
          <w:rtl w:val="true"/>
        </w:rPr>
        <w:t>'</w:t>
      </w:r>
      <w:r>
        <w:rPr>
          <w:rtl w:val="true"/>
        </w:rPr>
        <w:t xml:space="preserve">לול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חוקרת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ילדים</w:t>
      </w:r>
      <w:r>
        <w:rPr>
          <w:rtl w:val="true"/>
        </w:rPr>
        <w:t xml:space="preserve"> או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החוקרת</w:t>
      </w:r>
      <w:r>
        <w:rPr>
          <w:rtl w:val="true"/>
        </w:rPr>
        <w:t xml:space="preserve">). </w:t>
      </w:r>
      <w:r>
        <w:rPr>
          <w:rtl w:val="true"/>
        </w:rPr>
        <w:t>החוקרת חקרה גם בני משפחה קטינים נוספים</w:t>
      </w:r>
      <w:r>
        <w:rPr>
          <w:rtl w:val="true"/>
        </w:rPr>
        <w:t xml:space="preserve">, </w:t>
      </w:r>
      <w:r>
        <w:rPr>
          <w:rtl w:val="true"/>
        </w:rPr>
        <w:t>בני ובנות דודות של המערער</w:t>
      </w:r>
      <w:r>
        <w:rPr>
          <w:rtl w:val="true"/>
        </w:rPr>
        <w:t xml:space="preserve">. </w:t>
      </w:r>
      <w:r>
        <w:rPr>
          <w:rtl w:val="true"/>
        </w:rPr>
        <w:t xml:space="preserve">היא אסרה על העדתם של המתלוננים ועל כן הוגשו </w:t>
      </w:r>
      <w:r>
        <w:rPr>
          <w:rtl w:val="true"/>
        </w:rPr>
        <w:t>חקירותיה</w:t>
      </w:r>
      <w:r>
        <w:rPr>
          <w:rtl w:val="true"/>
        </w:rPr>
        <w:t>ם</w:t>
      </w:r>
      <w:r>
        <w:rPr>
          <w:rtl w:val="true"/>
        </w:rPr>
        <w:t xml:space="preserve"> </w:t>
      </w:r>
      <w:r>
        <w:rPr>
          <w:rtl w:val="true"/>
        </w:rPr>
        <w:t>המתועדות</w:t>
      </w:r>
      <w:r>
        <w:rPr>
          <w:rtl w:val="true"/>
        </w:rPr>
        <w:t xml:space="preserve"> </w:t>
      </w:r>
      <w:r>
        <w:rPr>
          <w:rtl w:val="true"/>
        </w:rPr>
        <w:t xml:space="preserve">והיא </w:t>
      </w:r>
      <w:r>
        <w:rPr>
          <w:rtl w:val="true"/>
        </w:rPr>
        <w:t>העידה</w:t>
      </w:r>
      <w:r>
        <w:rPr>
          <w:rtl w:val="true"/>
        </w:rPr>
        <w:t xml:space="preserve"> </w:t>
      </w:r>
      <w:r>
        <w:rPr>
          <w:rtl w:val="true"/>
        </w:rPr>
        <w:t>במשפט</w:t>
      </w:r>
      <w:r>
        <w:rPr>
          <w:rtl w:val="true"/>
        </w:rPr>
        <w:t xml:space="preserve">. </w:t>
      </w:r>
      <w:r>
        <w:rPr>
          <w:rtl w:val="true"/>
        </w:rPr>
        <w:t>כן העידו מטעם המשיבה אביו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ארבע דודותיו </w:t>
      </w:r>
      <w:r>
        <w:rPr>
          <w:rtl w:val="true"/>
        </w:rPr>
        <w:t>(</w:t>
      </w:r>
      <w:r>
        <w:rPr>
          <w:rtl w:val="true"/>
        </w:rPr>
        <w:t>שתיים מהן אימהותיהן של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אשר יכונו להלן בהתאמה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), </w:t>
      </w:r>
      <w:r>
        <w:rPr>
          <w:rtl w:val="true"/>
        </w:rPr>
        <w:t>שכנתה של ק</w:t>
      </w:r>
      <w:r>
        <w:rPr>
          <w:rtl w:val="true"/>
        </w:rPr>
        <w:t xml:space="preserve">' </w:t>
      </w:r>
      <w:r>
        <w:rPr>
          <w:rtl w:val="true"/>
        </w:rPr>
        <w:t>וחוקר משטרתי</w:t>
      </w:r>
      <w:r>
        <w:rPr>
          <w:rtl w:val="true"/>
        </w:rPr>
        <w:t xml:space="preserve">. </w:t>
      </w:r>
      <w:r>
        <w:rPr>
          <w:rtl w:val="true"/>
        </w:rPr>
        <w:t>בנוסף הוגשו מטעם המשיבה הקלטות שיחה שנערכה ביום האירוע בין ס</w:t>
      </w:r>
      <w:r>
        <w:rPr>
          <w:rtl w:val="true"/>
        </w:rPr>
        <w:t xml:space="preserve">' </w:t>
      </w:r>
      <w:r>
        <w:rPr>
          <w:rtl w:val="true"/>
        </w:rPr>
        <w:t>לבין המערער</w:t>
      </w:r>
      <w:r>
        <w:rPr>
          <w:rtl w:val="true"/>
        </w:rPr>
        <w:t xml:space="preserve">; </w:t>
      </w:r>
      <w:r>
        <w:rPr>
          <w:rtl w:val="true"/>
        </w:rPr>
        <w:t>שיחותיה של ס</w:t>
      </w:r>
      <w:r>
        <w:rPr>
          <w:rtl w:val="true"/>
        </w:rPr>
        <w:t xml:space="preserve">' </w:t>
      </w:r>
      <w:r>
        <w:rPr>
          <w:rtl w:val="true"/>
        </w:rPr>
        <w:t>עם מוקד קופת חולים כללית ושיחותיה עם מוקד המשטרה</w:t>
      </w:r>
      <w:r>
        <w:rPr>
          <w:rtl w:val="true"/>
        </w:rPr>
        <w:t xml:space="preserve">; </w:t>
      </w:r>
      <w:r>
        <w:rPr>
          <w:rtl w:val="true"/>
        </w:rPr>
        <w:t>הודעות המערער ותיעוד חקירותיו</w:t>
      </w:r>
      <w:r>
        <w:rPr>
          <w:rtl w:val="true"/>
        </w:rPr>
        <w:t xml:space="preserve">; </w:t>
      </w:r>
      <w:r>
        <w:rPr>
          <w:rtl w:val="true"/>
        </w:rPr>
        <w:t>ותעודות רפואיות וחוות דעת בעניינם של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'. </w:t>
      </w:r>
      <w:r>
        <w:rPr>
          <w:rtl w:val="true"/>
        </w:rPr>
        <w:t>מטעם המערער נשמעה עדותו שלו בלבד</w:t>
      </w:r>
      <w:r>
        <w:rPr>
          <w:rtl w:val="true"/>
        </w:rPr>
        <w:t xml:space="preserve">, </w:t>
      </w:r>
      <w:r>
        <w:rPr>
          <w:rtl w:val="true"/>
        </w:rPr>
        <w:t>כאשר הוא הכחיש את כל המיוחס לו</w:t>
      </w:r>
      <w:r>
        <w:rPr>
          <w:rtl w:val="true"/>
        </w:rPr>
        <w:t xml:space="preserve">, </w:t>
      </w:r>
      <w:r>
        <w:rPr>
          <w:rtl w:val="true"/>
        </w:rPr>
        <w:t>וכן הוגשו הודעותיה של ס</w:t>
      </w:r>
      <w:r>
        <w:rPr>
          <w:rtl w:val="true"/>
        </w:rPr>
        <w:t xml:space="preserve">'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ומזכר מטעם חוקרת הילדים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במהלך ההליך התעוררה סוגיה </w:t>
      </w:r>
      <w:r>
        <w:rPr>
          <w:rtl w:val="true"/>
        </w:rPr>
        <w:t>–</w:t>
      </w:r>
      <w:r>
        <w:rPr>
          <w:rtl w:val="true"/>
        </w:rPr>
        <w:t xml:space="preserve"> לגביה מפנה המערער את עיקר חיציו בערעור שלפנינו </w:t>
      </w:r>
      <w:r>
        <w:rPr>
          <w:rtl w:val="true"/>
        </w:rPr>
        <w:t>–</w:t>
      </w:r>
      <w:r>
        <w:rPr>
          <w:rtl w:val="true"/>
        </w:rPr>
        <w:t xml:space="preserve"> לגבי ראשית הודאה שנטען כי נשמעה מפיו לאחר חקירתו האחרונה במשטרה ולאחר ששוחרר ממעצר בסוף חודש דצמבר </w:t>
      </w:r>
      <w:r>
        <w:rPr/>
        <w:t>2019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סיפור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ההודאה</w:t>
      </w:r>
      <w:r>
        <w:rPr>
          <w:rtl w:val="true"/>
        </w:rPr>
        <w:t xml:space="preserve">). </w:t>
      </w:r>
      <w:r>
        <w:rPr>
          <w:rtl w:val="true"/>
        </w:rPr>
        <w:t>מסיפור דברים זה</w:t>
      </w:r>
      <w:r>
        <w:rPr>
          <w:rtl w:val="true"/>
        </w:rPr>
        <w:t xml:space="preserve">, </w:t>
      </w:r>
      <w:r>
        <w:rPr>
          <w:rtl w:val="true"/>
        </w:rPr>
        <w:t>אשר נשמע מפי ס</w:t>
      </w:r>
      <w:r>
        <w:rPr>
          <w:rtl w:val="true"/>
        </w:rPr>
        <w:t xml:space="preserve">' </w:t>
      </w:r>
      <w:r>
        <w:rPr>
          <w:rtl w:val="true"/>
        </w:rPr>
        <w:t>במהלך עדותה</w:t>
      </w:r>
      <w:r>
        <w:rPr>
          <w:rtl w:val="true"/>
        </w:rPr>
        <w:t xml:space="preserve">, </w:t>
      </w:r>
      <w:r>
        <w:rPr>
          <w:rtl w:val="true"/>
        </w:rPr>
        <w:t xml:space="preserve">ואשר עלה גם בעדותם של עדים נוספים </w:t>
      </w:r>
      <w:r>
        <w:rPr>
          <w:rtl w:val="true"/>
        </w:rPr>
        <w:t>–</w:t>
      </w:r>
      <w:r>
        <w:rPr>
          <w:rtl w:val="true"/>
        </w:rPr>
        <w:t xml:space="preserve"> ק</w:t>
      </w:r>
      <w:r>
        <w:rPr>
          <w:rtl w:val="true"/>
        </w:rPr>
        <w:t xml:space="preserve">', </w:t>
      </w:r>
      <w:r>
        <w:rPr>
          <w:rtl w:val="true"/>
        </w:rPr>
        <w:t>שכנתה של ק</w:t>
      </w:r>
      <w:r>
        <w:rPr>
          <w:rtl w:val="true"/>
        </w:rPr>
        <w:t xml:space="preserve">', </w:t>
      </w:r>
      <w:r>
        <w:rPr>
          <w:rtl w:val="true"/>
        </w:rPr>
        <w:t>דודה נוספת בשם ל</w:t>
      </w:r>
      <w:r>
        <w:rPr>
          <w:rtl w:val="true"/>
        </w:rPr>
        <w:t>' (</w:t>
      </w:r>
      <w:r>
        <w:rPr>
          <w:rtl w:val="true"/>
        </w:rPr>
        <w:t>שעדותה נמצאה מהימנה</w:t>
      </w:r>
      <w:r>
        <w:rPr>
          <w:rtl w:val="true"/>
        </w:rPr>
        <w:t xml:space="preserve">), </w:t>
      </w:r>
      <w:r>
        <w:rPr>
          <w:rtl w:val="true"/>
        </w:rPr>
        <w:t xml:space="preserve">אבי המערער ואף המערער עצמו </w:t>
      </w:r>
      <w:r>
        <w:rPr>
          <w:rtl w:val="true"/>
        </w:rPr>
        <w:t>(</w:t>
      </w:r>
      <w:r>
        <w:rPr>
          <w:rtl w:val="true"/>
        </w:rPr>
        <w:t>אשר הכחיש את תוכן המפגש אך לא הכחיש את עצם קיומו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עלה כי כחודשיים לאחר שחרורו ממעצרו</w:t>
      </w:r>
      <w:r>
        <w:rPr>
          <w:rtl w:val="true"/>
        </w:rPr>
        <w:t xml:space="preserve">, </w:t>
      </w:r>
      <w:r>
        <w:rPr>
          <w:rtl w:val="true"/>
        </w:rPr>
        <w:t>בשעת לילה</w:t>
      </w:r>
      <w:r>
        <w:rPr>
          <w:rtl w:val="true"/>
        </w:rPr>
        <w:t xml:space="preserve">, </w:t>
      </w:r>
      <w:r>
        <w:rPr>
          <w:rtl w:val="true"/>
        </w:rPr>
        <w:t>הגיעה ס</w:t>
      </w:r>
      <w:r>
        <w:rPr>
          <w:rtl w:val="true"/>
        </w:rPr>
        <w:t xml:space="preserve">' </w:t>
      </w:r>
      <w:r>
        <w:rPr>
          <w:rtl w:val="true"/>
        </w:rPr>
        <w:t>לביתו לאחר ששתתה אלכוהול</w:t>
      </w:r>
      <w:r>
        <w:rPr>
          <w:rtl w:val="true"/>
        </w:rPr>
        <w:t xml:space="preserve">, </w:t>
      </w:r>
      <w:r>
        <w:rPr>
          <w:rtl w:val="true"/>
        </w:rPr>
        <w:t>ושם הודה המערער בפניה ובפני ק</w:t>
      </w:r>
      <w:r>
        <w:rPr>
          <w:rtl w:val="true"/>
        </w:rPr>
        <w:t xml:space="preserve">' </w:t>
      </w:r>
      <w:r>
        <w:rPr>
          <w:rtl w:val="true"/>
        </w:rPr>
        <w:t>על ביצוע המעשים שיוחסו לו בכתב האישום</w:t>
      </w:r>
      <w:r>
        <w:rPr>
          <w:rtl w:val="true"/>
        </w:rPr>
        <w:t xml:space="preserve">. </w:t>
      </w:r>
      <w:r>
        <w:rPr>
          <w:rtl w:val="true"/>
        </w:rPr>
        <w:t>המערער טען כי אין בסיפור דברים זה כדי לשמש ראשית הודאה</w:t>
      </w:r>
      <w:r>
        <w:rPr>
          <w:rtl w:val="true"/>
        </w:rPr>
        <w:t xml:space="preserve">, </w:t>
      </w:r>
      <w:r>
        <w:rPr>
          <w:rtl w:val="true"/>
        </w:rPr>
        <w:t>וכי אין מדובר כלל בהודאה אשר יכולה לשמש סיוע</w:t>
      </w:r>
      <w:r>
        <w:rPr>
          <w:rtl w:val="true"/>
        </w:rPr>
        <w:t xml:space="preserve">, </w:t>
      </w:r>
      <w:r>
        <w:rPr>
          <w:rtl w:val="true"/>
        </w:rPr>
        <w:t>בין היתר בשל כך שהיא לא נבחנה בחקירה משטרתית</w:t>
      </w:r>
      <w:r>
        <w:rPr>
          <w:rtl w:val="true"/>
        </w:rPr>
        <w:t xml:space="preserve">. </w:t>
      </w:r>
      <w:r>
        <w:rPr>
          <w:rtl w:val="true"/>
        </w:rPr>
        <w:t>כן נטען כי עדותן של ס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>בקשר לאירוע אינה מהימנה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הוסיף וטען במהלך ההליך כי גם יתר הראיות שהציגה המשיבה אינן מקיימות את דרישת הסיוע בעוצמה מספקת לצורך הרשעתו</w:t>
      </w:r>
      <w:r>
        <w:rPr>
          <w:rtl w:val="true"/>
        </w:rPr>
        <w:t xml:space="preserve">, </w:t>
      </w:r>
      <w:r>
        <w:rPr>
          <w:rtl w:val="true"/>
        </w:rPr>
        <w:t>שכן חקירות הילדים שהוגשו אינן שלמות</w:t>
      </w:r>
      <w:r>
        <w:rPr>
          <w:rtl w:val="true"/>
        </w:rPr>
        <w:t xml:space="preserve">. </w:t>
      </w:r>
      <w:r>
        <w:rPr>
          <w:rtl w:val="true"/>
        </w:rPr>
        <w:t>לא נבדק בהן החשש לזיהום החקירות ולא נבחנו שקרים שונים שעלו בהן</w:t>
      </w:r>
      <w:r>
        <w:rPr>
          <w:rtl w:val="true"/>
        </w:rPr>
        <w:t xml:space="preserve">. </w:t>
      </w:r>
      <w:r>
        <w:rPr>
          <w:rtl w:val="true"/>
        </w:rPr>
        <w:t>גם לא ניתן לראות בכל אחת מעדויותיהם של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 xml:space="preserve">לפני חוקרת הילדים משום </w:t>
      </w:r>
      <w:r>
        <w:rPr>
          <w:rtl w:val="true"/>
        </w:rPr>
        <w:t>"</w:t>
      </w:r>
      <w:r>
        <w:rPr>
          <w:rtl w:val="true"/>
        </w:rPr>
        <w:t>מעשים דומים</w:t>
      </w:r>
      <w:r>
        <w:rPr>
          <w:rtl w:val="true"/>
        </w:rPr>
        <w:t xml:space="preserve">" </w:t>
      </w:r>
      <w:r>
        <w:rPr>
          <w:rtl w:val="true"/>
        </w:rPr>
        <w:t>באופן העונה על דרישת הסיוע</w:t>
      </w:r>
      <w:r>
        <w:rPr>
          <w:rtl w:val="true"/>
        </w:rPr>
        <w:t xml:space="preserve">, </w:t>
      </w:r>
      <w:r>
        <w:rPr>
          <w:rtl w:val="true"/>
        </w:rPr>
        <w:t>בשל השוני ביניהן כמו גם בשל החשש לזיהום עדויות השניים</w:t>
      </w:r>
      <w:r>
        <w:rPr>
          <w:rtl w:val="true"/>
        </w:rPr>
        <w:t xml:space="preserve">. </w:t>
      </w:r>
      <w:r>
        <w:rPr>
          <w:rtl w:val="true"/>
        </w:rPr>
        <w:t>בנוסף העלה המערער טענות שונות בעיקר נגד הערכת המהימנות של חוקרת הילדים</w:t>
      </w:r>
      <w:r>
        <w:rPr>
          <w:rtl w:val="true"/>
        </w:rPr>
        <w:t xml:space="preserve">, </w:t>
      </w:r>
      <w:r>
        <w:rPr>
          <w:rtl w:val="true"/>
        </w:rPr>
        <w:t>וכן לקיומם של פגמים וסתירות בעדויות השונות מטעם המשיבה ובעיקר בעדויותיהן של ק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ס</w:t>
      </w:r>
      <w:r>
        <w:rPr>
          <w:rtl w:val="true"/>
        </w:rPr>
        <w:t xml:space="preserve">'. </w:t>
      </w:r>
      <w:r>
        <w:rPr>
          <w:rtl w:val="true"/>
        </w:rPr>
        <w:t>עוד טען המערער כי מן העדויות והראיות עולה תמונה של התנהגות מינית חריגה מצדו של ב</w:t>
      </w:r>
      <w:r>
        <w:rPr>
          <w:rtl w:val="true"/>
        </w:rPr>
        <w:t xml:space="preserve">' </w:t>
      </w:r>
      <w:r>
        <w:rPr>
          <w:rtl w:val="true"/>
        </w:rPr>
        <w:t>על רקע חשיפתו לתכנים לא ראויים</w:t>
      </w:r>
      <w:r>
        <w:rPr>
          <w:rtl w:val="true"/>
        </w:rPr>
        <w:t xml:space="preserve">, </w:t>
      </w:r>
      <w:r>
        <w:rPr>
          <w:rtl w:val="true"/>
        </w:rPr>
        <w:t>באופן שבו לא ניתן לשלול את האפשרות כי האירועים שפורטו על ידו נבעו מאותה חשיפה</w:t>
      </w:r>
      <w:r>
        <w:rPr>
          <w:rtl w:val="true"/>
        </w:rPr>
        <w:t xml:space="preserve">. </w:t>
      </w:r>
      <w:r>
        <w:rPr>
          <w:rtl w:val="true"/>
        </w:rPr>
        <w:t>לעומת זאת עדותו של המערער הייתה עקבית</w:t>
      </w:r>
      <w:r>
        <w:rPr>
          <w:rtl w:val="true"/>
        </w:rPr>
        <w:t xml:space="preserve">, </w:t>
      </w:r>
      <w:r>
        <w:rPr>
          <w:rtl w:val="true"/>
        </w:rPr>
        <w:t>אותנטית ומהימנה והמשיבה לא הצליחה לקעקע את גרסתו</w:t>
      </w:r>
      <w:r>
        <w:rPr>
          <w:rtl w:val="true"/>
        </w:rPr>
        <w:t xml:space="preserve">, </w:t>
      </w:r>
      <w:r>
        <w:rPr>
          <w:rtl w:val="true"/>
        </w:rPr>
        <w:t>כאשר סתירות מסוימות בעדותו יש לבחון בהתחשב בגילו הצעיר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בהכרעת דינו המפורטת והמנומקת </w:t>
      </w:r>
      <w:r>
        <w:rPr>
          <w:rtl w:val="true"/>
        </w:rPr>
        <w:t>(</w:t>
      </w:r>
      <w:r>
        <w:rPr>
          <w:rtl w:val="true"/>
        </w:rPr>
        <w:t xml:space="preserve">המחזיקה </w:t>
      </w:r>
      <w:r>
        <w:rPr/>
        <w:t>189</w:t>
      </w:r>
      <w:r>
        <w:rPr>
          <w:rtl w:val="true"/>
        </w:rPr>
        <w:t xml:space="preserve"> </w:t>
      </w:r>
      <w:r>
        <w:rPr>
          <w:rtl w:val="true"/>
        </w:rPr>
        <w:t>עמודים</w:t>
      </w:r>
      <w:r>
        <w:rPr>
          <w:rtl w:val="true"/>
        </w:rPr>
        <w:t xml:space="preserve">), </w:t>
      </w:r>
      <w:r>
        <w:rPr>
          <w:rtl w:val="true"/>
        </w:rPr>
        <w:t>עמד בית המשפט על מהימנות העדויות השונות</w:t>
      </w:r>
      <w:r>
        <w:rPr>
          <w:rtl w:val="true"/>
        </w:rPr>
        <w:t xml:space="preserve">, </w:t>
      </w:r>
      <w:r>
        <w:rPr>
          <w:rtl w:val="true"/>
        </w:rPr>
        <w:t xml:space="preserve">ניתח לעומק את עיקרי הראיות בתיק והגיע לכלל מסקנה כי יש להרשיע את המערער בעבירות המיוחסות לו באישום השני </w:t>
      </w:r>
      <w:r>
        <w:rPr>
          <w:rtl w:val="true"/>
        </w:rPr>
        <w:t>(</w:t>
      </w:r>
      <w:r>
        <w:rPr>
          <w:rtl w:val="true"/>
        </w:rPr>
        <w:t>בנוגע למעשים כלפי ב</w:t>
      </w:r>
      <w:r>
        <w:rPr>
          <w:rtl w:val="true"/>
        </w:rPr>
        <w:t xml:space="preserve">'), </w:t>
      </w:r>
      <w:r>
        <w:rPr>
          <w:rtl w:val="true"/>
        </w:rPr>
        <w:t xml:space="preserve">ולזכותו מהעבירות המיוחסות לו באישום הראשון </w:t>
      </w:r>
      <w:r>
        <w:rPr>
          <w:rtl w:val="true"/>
        </w:rPr>
        <w:t>(</w:t>
      </w:r>
      <w:r>
        <w:rPr>
          <w:rtl w:val="true"/>
        </w:rPr>
        <w:t>בקשר למעשים כלפי א</w:t>
      </w:r>
      <w:r>
        <w:rPr>
          <w:rtl w:val="true"/>
        </w:rPr>
        <w:t>').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בעניינו של ב</w:t>
      </w:r>
      <w:r>
        <w:rPr>
          <w:rtl w:val="true"/>
        </w:rPr>
        <w:t xml:space="preserve">' </w:t>
      </w:r>
      <w:r>
        <w:rPr>
          <w:rtl w:val="true"/>
        </w:rPr>
        <w:t>נקבע כי עדותו לפני חוקרת הילדים הייתה עקבית וקוהרנטית</w:t>
      </w:r>
      <w:r>
        <w:rPr>
          <w:rtl w:val="true"/>
        </w:rPr>
        <w:t xml:space="preserve">. </w:t>
      </w:r>
      <w:r>
        <w:rPr>
          <w:rtl w:val="true"/>
        </w:rPr>
        <w:t>בכל הנוגע להשתלשלות אירוע מעשה הסדום</w:t>
      </w:r>
      <w:r>
        <w:rPr>
          <w:rtl w:val="true"/>
        </w:rPr>
        <w:t xml:space="preserve">, </w:t>
      </w:r>
      <w:r>
        <w:rPr>
          <w:rtl w:val="true"/>
        </w:rPr>
        <w:t>החוקרת קבעה בהערכת מהימנות מטעמה כי ב</w:t>
      </w:r>
      <w:r>
        <w:rPr>
          <w:rtl w:val="true"/>
        </w:rPr>
        <w:t xml:space="preserve">' </w:t>
      </w:r>
      <w:r>
        <w:rPr>
          <w:rtl w:val="true"/>
        </w:rPr>
        <w:t>תיאר את אשר חווה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הדגים לפני החוקרת כיצד אירע המעשה</w:t>
      </w:r>
      <w:r>
        <w:rPr>
          <w:rtl w:val="true"/>
        </w:rPr>
        <w:t xml:space="preserve">, </w:t>
      </w:r>
      <w:r>
        <w:rPr>
          <w:rtl w:val="true"/>
        </w:rPr>
        <w:t>ונקבע כי אין ספק שתיאורים כה חדים ומדויקים והדגמות כה מציאותיות אצל ילד רך בשנים כפי שהיה ב</w:t>
      </w:r>
      <w:r>
        <w:rPr>
          <w:rtl w:val="true"/>
        </w:rPr>
        <w:t xml:space="preserve">' </w:t>
      </w:r>
      <w:r>
        <w:rPr>
          <w:rtl w:val="true"/>
        </w:rPr>
        <w:t>במועד חקירתו</w:t>
      </w:r>
      <w:r>
        <w:rPr>
          <w:rtl w:val="true"/>
        </w:rPr>
        <w:t xml:space="preserve">, </w:t>
      </w:r>
      <w:r>
        <w:rPr>
          <w:rtl w:val="true"/>
        </w:rPr>
        <w:t>אינם תולדה של דמיון או זיהום חקירה</w:t>
      </w:r>
      <w:r>
        <w:rPr>
          <w:rtl w:val="true"/>
        </w:rPr>
        <w:t xml:space="preserve">. </w:t>
      </w:r>
      <w:r>
        <w:rPr>
          <w:rtl w:val="true"/>
        </w:rPr>
        <w:t>בהתייחס לדרך מתן העדות</w:t>
      </w:r>
      <w:r>
        <w:rPr>
          <w:rtl w:val="true"/>
        </w:rPr>
        <w:t xml:space="preserve">, </w:t>
      </w:r>
      <w:r>
        <w:rPr>
          <w:rtl w:val="true"/>
        </w:rPr>
        <w:t>נדחתה טענת המערער כי ב</w:t>
      </w:r>
      <w:r>
        <w:rPr>
          <w:rtl w:val="true"/>
        </w:rPr>
        <w:t xml:space="preserve">' </w:t>
      </w:r>
      <w:r>
        <w:rPr>
          <w:rtl w:val="true"/>
        </w:rPr>
        <w:t>תודרך על ידי אמו לספר את אשר תיאר</w:t>
      </w:r>
      <w:r>
        <w:rPr>
          <w:rtl w:val="true"/>
        </w:rPr>
        <w:t xml:space="preserve">. </w:t>
      </w:r>
      <w:r>
        <w:rPr>
          <w:rtl w:val="true"/>
        </w:rPr>
        <w:t>כך ב</w:t>
      </w:r>
      <w:r>
        <w:rPr>
          <w:rtl w:val="true"/>
        </w:rPr>
        <w:t xml:space="preserve">' </w:t>
      </w:r>
      <w:r>
        <w:rPr>
          <w:rtl w:val="true"/>
        </w:rPr>
        <w:t>העמיד את הדברים על דיוקם בהזדמנויות שונות</w:t>
      </w:r>
      <w:r>
        <w:rPr>
          <w:rtl w:val="true"/>
        </w:rPr>
        <w:t xml:space="preserve">, </w:t>
      </w:r>
      <w:r>
        <w:rPr>
          <w:rtl w:val="true"/>
        </w:rPr>
        <w:t>וזאת חרף העובדה שציין כי התעייף והביע מורת רוח בשלב מסוים מכך שהחקירה מתמשכת</w:t>
      </w:r>
      <w:r>
        <w:rPr>
          <w:rtl w:val="true"/>
        </w:rPr>
        <w:t xml:space="preserve">. </w:t>
      </w:r>
      <w:r>
        <w:rPr>
          <w:rtl w:val="true"/>
        </w:rPr>
        <w:t>הניסיון לדייק בדברים אף הוא תומך במסקנה כי מדובר בסיפור דברים אותנטי</w:t>
      </w:r>
      <w:r>
        <w:rPr>
          <w:rtl w:val="true"/>
        </w:rPr>
        <w:t xml:space="preserve">, </w:t>
      </w:r>
      <w:r>
        <w:rPr>
          <w:rtl w:val="true"/>
        </w:rPr>
        <w:t>כמו גם העובדה שב</w:t>
      </w:r>
      <w:r>
        <w:rPr>
          <w:rtl w:val="true"/>
        </w:rPr>
        <w:t xml:space="preserve">' </w:t>
      </w:r>
      <w:r>
        <w:rPr>
          <w:rtl w:val="true"/>
        </w:rPr>
        <w:t>הצהיר שהתעייף וביקש לסיים את החקירה</w:t>
      </w:r>
      <w:r>
        <w:rPr>
          <w:rtl w:val="true"/>
        </w:rPr>
        <w:t xml:space="preserve">. </w:t>
      </w: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 xml:space="preserve">להתרשמות בית המשפט החקירה לא התקיימה תחת </w:t>
      </w:r>
      <w:r>
        <w:rPr>
          <w:rtl w:val="true"/>
        </w:rPr>
        <w:t>"</w:t>
      </w:r>
      <w:r>
        <w:rPr>
          <w:rtl w:val="true"/>
        </w:rPr>
        <w:t>מכבש לחצים</w:t>
      </w:r>
      <w:r>
        <w:rPr>
          <w:rtl w:val="true"/>
        </w:rPr>
        <w:t xml:space="preserve">" </w:t>
      </w:r>
      <w:r>
        <w:rPr>
          <w:rtl w:val="true"/>
        </w:rPr>
        <w:t>אלא במקצועיות ובצורה מאוזנת כמצופה מחוקרת ילדים מיומנת</w:t>
      </w:r>
      <w:r>
        <w:rPr>
          <w:rtl w:val="true"/>
        </w:rPr>
        <w:t xml:space="preserve">. </w:t>
      </w:r>
      <w:r>
        <w:rPr>
          <w:rtl w:val="true"/>
        </w:rPr>
        <w:t>נוכח קשייו של ב</w:t>
      </w:r>
      <w:r>
        <w:rPr>
          <w:rtl w:val="true"/>
        </w:rPr>
        <w:t xml:space="preserve">' </w:t>
      </w:r>
      <w:r>
        <w:rPr>
          <w:rtl w:val="true"/>
        </w:rPr>
        <w:t>להישאר בחדר החקירות יזמה החוקרת הפסקות ואף הכניסה את אמו לחדר החקירות על מנת לאפשר את העמקת חקירתו של ב</w:t>
      </w:r>
      <w:r>
        <w:rPr>
          <w:rtl w:val="true"/>
        </w:rPr>
        <w:t xml:space="preserve">' </w:t>
      </w:r>
      <w:r>
        <w:rPr>
          <w:rtl w:val="true"/>
        </w:rPr>
        <w:t>אשר התקשה להמשיך ללא נוכחות אמו</w:t>
      </w:r>
      <w:r>
        <w:rPr>
          <w:rtl w:val="true"/>
        </w:rPr>
        <w:t xml:space="preserve">. </w:t>
      </w:r>
      <w:r>
        <w:rPr>
          <w:rtl w:val="true"/>
        </w:rPr>
        <w:t>בית המשפט גם עמד על כך שהוא עצמו התרשם ממהימנות עדותו של ב</w:t>
      </w:r>
      <w:r>
        <w:rPr>
          <w:rtl w:val="true"/>
        </w:rPr>
        <w:t xml:space="preserve">' </w:t>
      </w:r>
      <w:r>
        <w:rPr>
          <w:rtl w:val="true"/>
        </w:rPr>
        <w:t>אשר תועדה בווידאו ובין היתר מהתיאורים החדים והמדויקים וההדגמות המציאותיות של האירועים עליהם סיפר ב</w:t>
      </w:r>
      <w:r>
        <w:rPr>
          <w:rtl w:val="true"/>
        </w:rPr>
        <w:t xml:space="preserve">', </w:t>
      </w:r>
      <w:r>
        <w:rPr>
          <w:rtl w:val="true"/>
        </w:rPr>
        <w:t>בשים לב לגילו הרך</w:t>
      </w:r>
      <w:r>
        <w:rPr>
          <w:rtl w:val="true"/>
        </w:rPr>
        <w:t xml:space="preserve">. </w:t>
      </w:r>
      <w:r>
        <w:rPr>
          <w:rtl w:val="true"/>
        </w:rPr>
        <w:t>בית המשפט מצא אפוא כי ב</w:t>
      </w:r>
      <w:r>
        <w:rPr>
          <w:rtl w:val="true"/>
        </w:rPr>
        <w:t xml:space="preserve">' </w:t>
      </w:r>
      <w:r>
        <w:rPr>
          <w:rtl w:val="true"/>
        </w:rPr>
        <w:t>תיאר את הדברים כהווייתם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כן נקבע כי במהימנות גרסתו של ב</w:t>
      </w:r>
      <w:r>
        <w:rPr>
          <w:rtl w:val="true"/>
        </w:rPr>
        <w:t xml:space="preserve">' </w:t>
      </w:r>
      <w:r>
        <w:rPr>
          <w:rtl w:val="true"/>
        </w:rPr>
        <w:t>תומכת גם עדות אמו ס</w:t>
      </w:r>
      <w:r>
        <w:rPr>
          <w:rtl w:val="true"/>
        </w:rPr>
        <w:t xml:space="preserve">' </w:t>
      </w:r>
      <w:r>
        <w:rPr>
          <w:rtl w:val="true"/>
        </w:rPr>
        <w:t>אשר פירטה את נסיבות האירוע כפי שסיפר לה בנה</w:t>
      </w:r>
      <w:r>
        <w:rPr>
          <w:rtl w:val="true"/>
        </w:rPr>
        <w:t xml:space="preserve">, </w:t>
      </w:r>
      <w:r>
        <w:rPr>
          <w:rtl w:val="true"/>
        </w:rPr>
        <w:t>באופן כמעט זהה לסיפור הדברים שתיאר ב</w:t>
      </w:r>
      <w:r>
        <w:rPr>
          <w:rtl w:val="true"/>
        </w:rPr>
        <w:t xml:space="preserve">' </w:t>
      </w:r>
      <w:r>
        <w:rPr>
          <w:rtl w:val="true"/>
        </w:rPr>
        <w:t>עצמו בעדותו</w:t>
      </w:r>
      <w:r>
        <w:rPr>
          <w:rtl w:val="true"/>
        </w:rPr>
        <w:t xml:space="preserve">. </w:t>
      </w:r>
      <w:r>
        <w:rPr>
          <w:rtl w:val="true"/>
        </w:rPr>
        <w:t>חוקרת הילדים העידה כי תגובתה של ס</w:t>
      </w:r>
      <w:r>
        <w:rPr>
          <w:rtl w:val="true"/>
        </w:rPr>
        <w:t xml:space="preserve">' </w:t>
      </w:r>
      <w:r>
        <w:rPr>
          <w:rtl w:val="true"/>
        </w:rPr>
        <w:t>במהלך השלב בחקירתו של ב</w:t>
      </w:r>
      <w:r>
        <w:rPr>
          <w:rtl w:val="true"/>
        </w:rPr>
        <w:t xml:space="preserve">' </w:t>
      </w:r>
      <w:r>
        <w:rPr>
          <w:rtl w:val="true"/>
        </w:rPr>
        <w:t>אשר בו נכחה</w:t>
      </w:r>
      <w:r>
        <w:rPr>
          <w:rtl w:val="true"/>
        </w:rPr>
        <w:t xml:space="preserve">, </w:t>
      </w:r>
      <w:r>
        <w:rPr>
          <w:rtl w:val="true"/>
        </w:rPr>
        <w:t>מלמדת על עוצמת החשיפה ואופן הדברים בו נחשפה למעשים החמורים</w:t>
      </w:r>
      <w:r>
        <w:rPr>
          <w:rtl w:val="true"/>
        </w:rPr>
        <w:t xml:space="preserve">. </w:t>
      </w:r>
      <w:r>
        <w:rPr>
          <w:rtl w:val="true"/>
        </w:rPr>
        <w:t>מהימנותו של ב</w:t>
      </w:r>
      <w:r>
        <w:rPr>
          <w:rtl w:val="true"/>
        </w:rPr>
        <w:t xml:space="preserve">' </w:t>
      </w:r>
      <w:r>
        <w:rPr>
          <w:rtl w:val="true"/>
        </w:rPr>
        <w:t>אף נלמדה מעדותה של א</w:t>
      </w:r>
      <w:r>
        <w:rPr>
          <w:rtl w:val="true"/>
        </w:rPr>
        <w:t>.</w:t>
      </w:r>
      <w:r>
        <w:rPr>
          <w:rtl w:val="true"/>
        </w:rPr>
        <w:t>ח</w:t>
      </w:r>
      <w:r>
        <w:rPr>
          <w:rtl w:val="true"/>
        </w:rPr>
        <w:t>. (</w:t>
      </w:r>
      <w:r>
        <w:rPr>
          <w:rtl w:val="true"/>
        </w:rPr>
        <w:t>בת דודתו של ב</w:t>
      </w:r>
      <w:r>
        <w:rPr>
          <w:rtl w:val="true"/>
        </w:rPr>
        <w:t xml:space="preserve">' </w:t>
      </w:r>
      <w:r>
        <w:rPr>
          <w:rtl w:val="true"/>
        </w:rPr>
        <w:t>שהעידה כי הוא ניסה לגעת בה באופן אינטימי</w:t>
      </w:r>
      <w:r>
        <w:rPr>
          <w:rtl w:val="true"/>
        </w:rPr>
        <w:t xml:space="preserve">), </w:t>
      </w:r>
      <w:r>
        <w:rPr>
          <w:rtl w:val="true"/>
        </w:rPr>
        <w:t>אשר נמצאה מהימנה על ידי חוקרת הילדים</w:t>
      </w:r>
      <w:r>
        <w:rPr>
          <w:rtl w:val="true"/>
        </w:rPr>
        <w:t xml:space="preserve">, </w:t>
      </w:r>
      <w:r>
        <w:rPr>
          <w:rtl w:val="true"/>
        </w:rPr>
        <w:t>וקביעותיה בדבר מהימנות העדות לא נסתרו בחקירה נגדית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לאחר בחינה מעמיקה של חומרי החקירה</w:t>
      </w:r>
      <w:r>
        <w:rPr>
          <w:rtl w:val="true"/>
        </w:rPr>
        <w:t xml:space="preserve">, </w:t>
      </w:r>
      <w:r>
        <w:rPr>
          <w:rtl w:val="true"/>
        </w:rPr>
        <w:t>הגיע בית המשפט למסקנה זהה לזו שאליה הגיעה החוקרת</w:t>
      </w:r>
      <w:r>
        <w:rPr>
          <w:rtl w:val="true"/>
        </w:rPr>
        <w:t xml:space="preserve">, </w:t>
      </w:r>
      <w:r>
        <w:rPr>
          <w:rtl w:val="true"/>
        </w:rPr>
        <w:t>אשר קבעה כי עדותו של ב</w:t>
      </w:r>
      <w:r>
        <w:rPr>
          <w:rtl w:val="true"/>
        </w:rPr>
        <w:t xml:space="preserve">' </w:t>
      </w:r>
      <w:r>
        <w:rPr>
          <w:rtl w:val="true"/>
        </w:rPr>
        <w:t>בקשר לאירוע מעשה הסדום</w:t>
      </w:r>
      <w:r>
        <w:rPr>
          <w:rtl w:val="true"/>
        </w:rPr>
        <w:t xml:space="preserve">, </w:t>
      </w:r>
      <w:r>
        <w:rPr>
          <w:rtl w:val="true"/>
        </w:rPr>
        <w:t>מהימנה</w:t>
      </w:r>
      <w:r>
        <w:rPr>
          <w:rtl w:val="true"/>
        </w:rPr>
        <w:t xml:space="preserve">. </w:t>
      </w:r>
      <w:r>
        <w:rPr>
          <w:rtl w:val="true"/>
        </w:rPr>
        <w:t>מסקנה זו אף התחזקה נוכח יתר הראיות שהוגשו והעדויות שנשמעו</w:t>
      </w:r>
      <w:r>
        <w:rPr>
          <w:rtl w:val="true"/>
        </w:rPr>
        <w:t xml:space="preserve">. </w:t>
      </w:r>
      <w:r>
        <w:rPr>
          <w:rtl w:val="true"/>
        </w:rPr>
        <w:t>צוין כי העובדה שהחוקרת התקשתה להעריך את מהימנותו של ב</w:t>
      </w:r>
      <w:r>
        <w:rPr>
          <w:rtl w:val="true"/>
        </w:rPr>
        <w:t xml:space="preserve">' </w:t>
      </w:r>
      <w:r>
        <w:rPr>
          <w:rtl w:val="true"/>
        </w:rPr>
        <w:t>באשר לדיווחו כי המערער נישקו על פיו</w:t>
      </w:r>
      <w:r>
        <w:rPr>
          <w:rtl w:val="true"/>
        </w:rPr>
        <w:t xml:space="preserve">, </w:t>
      </w:r>
      <w:r>
        <w:rPr>
          <w:rtl w:val="true"/>
        </w:rPr>
        <w:t>רצה להכניס את איבר מינו לפיו והציג לו סרטי זימה</w:t>
      </w:r>
      <w:r>
        <w:rPr>
          <w:rtl w:val="true"/>
        </w:rPr>
        <w:t xml:space="preserve">, </w:t>
      </w:r>
      <w:r>
        <w:rPr>
          <w:rtl w:val="true"/>
        </w:rPr>
        <w:t>אין בה כדי להטיל ספק בקשר לקביעות המהימנות באשר למעשים האחרים שביצע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נמצא כי גרסת המערער אינה מהימנה</w:t>
      </w:r>
      <w:r>
        <w:rPr>
          <w:rtl w:val="true"/>
        </w:rPr>
        <w:t xml:space="preserve">, </w:t>
      </w:r>
      <w:r>
        <w:rPr>
          <w:rtl w:val="true"/>
        </w:rPr>
        <w:t>רצופה סתירות מהותיות</w:t>
      </w:r>
      <w:r>
        <w:rPr>
          <w:rtl w:val="true"/>
        </w:rPr>
        <w:t xml:space="preserve">,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דיוקים ואף שקרים כאשר הוא העלה טענות שונות ומשונות ובלתי הגיוניות בעליל</w:t>
      </w:r>
      <w:r>
        <w:rPr>
          <w:rtl w:val="true"/>
        </w:rPr>
        <w:t xml:space="preserve">. </w:t>
      </w:r>
      <w:r>
        <w:rPr>
          <w:rtl w:val="true"/>
        </w:rPr>
        <w:t>גם גרסתו של אביו אופיינה בחוסר דיוק רב</w:t>
      </w:r>
      <w:r>
        <w:rPr>
          <w:rtl w:val="true"/>
        </w:rPr>
        <w:t xml:space="preserve">, </w:t>
      </w:r>
      <w:r>
        <w:rPr>
          <w:rtl w:val="true"/>
        </w:rPr>
        <w:t>במגמתיות מובהקת ובסתירות שונות כאשר ברי כי נעשה ניסיון מצדו להמעיט בערך מעשי המערער ואף לטרפד את הרשעתו</w:t>
      </w:r>
      <w:r>
        <w:rPr>
          <w:rtl w:val="true"/>
        </w:rPr>
        <w:t xml:space="preserve">. </w:t>
      </w:r>
      <w:r>
        <w:rPr>
          <w:rtl w:val="true"/>
        </w:rPr>
        <w:t>על כן נקבע כי לא ניתן לייחס לה משקל משמעותי</w:t>
      </w:r>
      <w:r>
        <w:rPr>
          <w:rtl w:val="true"/>
        </w:rPr>
        <w:t xml:space="preserve">, </w:t>
      </w:r>
      <w:r>
        <w:rPr>
          <w:rtl w:val="true"/>
        </w:rPr>
        <w:t xml:space="preserve">למעט בנקודות שבהן היא תומכת בגרסת יתר העדים </w:t>
      </w:r>
      <w:r>
        <w:rPr>
          <w:rtl w:val="true"/>
        </w:rPr>
        <w:t>(</w:t>
      </w:r>
      <w:r>
        <w:rPr>
          <w:rtl w:val="true"/>
        </w:rPr>
        <w:t>כגון ביחס לסיפור ההודאה של המערער בפני דודותיו אשר בחלקו לא הוכחש על ידי אביו</w:t>
      </w:r>
      <w:r>
        <w:rPr>
          <w:rtl w:val="true"/>
        </w:rPr>
        <w:t xml:space="preserve">). </w:t>
      </w:r>
      <w:r>
        <w:rPr>
          <w:rtl w:val="true"/>
        </w:rPr>
        <w:t>כן צוין כי לאחר בחינת כל העדויות הרלוונטיות עולה כי לא נמצא כל בסיס לטענה שס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', </w:t>
      </w:r>
      <w:r>
        <w:rPr>
          <w:rtl w:val="true"/>
        </w:rPr>
        <w:t>אשר טיפלו במערער</w:t>
      </w:r>
      <w:r>
        <w:rPr>
          <w:rtl w:val="true"/>
        </w:rPr>
        <w:t xml:space="preserve">, </w:t>
      </w:r>
      <w:r>
        <w:rPr>
          <w:rtl w:val="true"/>
        </w:rPr>
        <w:t>נתנו לו מדור ומזון</w:t>
      </w:r>
      <w:r>
        <w:rPr>
          <w:rtl w:val="true"/>
        </w:rPr>
        <w:t xml:space="preserve">, </w:t>
      </w:r>
      <w:r>
        <w:rPr>
          <w:rtl w:val="true"/>
        </w:rPr>
        <w:t>וראו בו כבנם</w:t>
      </w:r>
      <w:r>
        <w:rPr>
          <w:rtl w:val="true"/>
        </w:rPr>
        <w:t xml:space="preserve">, </w:t>
      </w:r>
      <w:r>
        <w:rPr>
          <w:rtl w:val="true"/>
        </w:rPr>
        <w:t>העלילו עליו עלילת שווא</w:t>
      </w:r>
      <w:r>
        <w:rPr>
          <w:rtl w:val="true"/>
        </w:rPr>
        <w:t xml:space="preserve">. </w:t>
      </w:r>
      <w:r>
        <w:rPr>
          <w:rtl w:val="true"/>
        </w:rPr>
        <w:t>גם נדחתה טענת הזיהום החקירתי כאשר צוין כי חוקרת הילדים נתנה את הדעת לאפשרות זיהום החקירה</w:t>
      </w:r>
      <w:r>
        <w:rPr>
          <w:rtl w:val="true"/>
        </w:rPr>
        <w:t xml:space="preserve">, </w:t>
      </w:r>
      <w:r>
        <w:rPr>
          <w:rtl w:val="true"/>
        </w:rPr>
        <w:t>בהתחשב בין היתר בכך שא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הגיעו באותו הרכב ל</w:t>
      </w:r>
      <w:r>
        <w:rPr>
          <w:rtl w:val="true"/>
        </w:rPr>
        <w:t>"</w:t>
      </w:r>
      <w:r>
        <w:rPr>
          <w:rtl w:val="true"/>
        </w:rPr>
        <w:t>בית לין</w:t>
      </w:r>
      <w:r>
        <w:rPr>
          <w:rtl w:val="true"/>
        </w:rPr>
        <w:t xml:space="preserve">", </w:t>
      </w:r>
      <w:r>
        <w:rPr>
          <w:rtl w:val="true"/>
        </w:rPr>
        <w:t>שם בוצעה חקירתם</w:t>
      </w:r>
      <w:r>
        <w:rPr>
          <w:rtl w:val="true"/>
        </w:rPr>
        <w:t xml:space="preserve">, </w:t>
      </w:r>
      <w:r>
        <w:rPr>
          <w:rtl w:val="true"/>
        </w:rPr>
        <w:t>אולם ציינה כי חרף זאת לא זיהתה כל זיהום בחקירתם</w:t>
      </w:r>
      <w:r>
        <w:rPr>
          <w:rtl w:val="true"/>
        </w:rPr>
        <w:t xml:space="preserve">. </w:t>
      </w:r>
      <w:r>
        <w:rPr>
          <w:rtl w:val="true"/>
        </w:rPr>
        <w:t>זאת בין היתר נוכח העובדה שכל אחד מהם החזיק בגרסה נפרדת וקיים שוני בהתנהלותם במסגרת החקירה</w:t>
      </w:r>
      <w:r>
        <w:rPr>
          <w:rtl w:val="true"/>
        </w:rPr>
        <w:t xml:space="preserve">. </w:t>
      </w:r>
      <w:r>
        <w:rPr>
          <w:rtl w:val="true"/>
        </w:rPr>
        <w:t>נוסף על כך נדחתה טענת המערער לפיה ב</w:t>
      </w:r>
      <w:r>
        <w:rPr>
          <w:rtl w:val="true"/>
        </w:rPr>
        <w:t xml:space="preserve">' </w:t>
      </w:r>
      <w:r>
        <w:rPr>
          <w:rtl w:val="true"/>
        </w:rPr>
        <w:t>בדה את המעשים על רקע צפייתו בסרטים פורנוגרפיים</w:t>
      </w:r>
      <w:r>
        <w:rPr>
          <w:rtl w:val="true"/>
        </w:rPr>
        <w:t xml:space="preserve">, </w:t>
      </w:r>
      <w:r>
        <w:rPr>
          <w:rtl w:val="true"/>
        </w:rPr>
        <w:t>בעוד שהתקבלה גרסת ב</w:t>
      </w:r>
      <w:r>
        <w:rPr>
          <w:rtl w:val="true"/>
        </w:rPr>
        <w:t xml:space="preserve">' </w:t>
      </w:r>
      <w:r>
        <w:rPr>
          <w:rtl w:val="true"/>
        </w:rPr>
        <w:t>כי המערער הוא זה שהראה לו סרטונים מסוג זה</w:t>
      </w:r>
      <w:r>
        <w:rPr>
          <w:rtl w:val="true"/>
        </w:rPr>
        <w:t xml:space="preserve">. </w:t>
      </w:r>
      <w:r>
        <w:rPr>
          <w:rtl w:val="true"/>
        </w:rPr>
        <w:t>נקבע כי ממצא זה אף מחזק את מהימנות גרסתו של ב</w:t>
      </w:r>
      <w:r>
        <w:rPr>
          <w:rtl w:val="true"/>
        </w:rPr>
        <w:t xml:space="preserve">', </w:t>
      </w:r>
      <w:r>
        <w:rPr>
          <w:rtl w:val="true"/>
        </w:rPr>
        <w:t>ומחליש את מהימנות המערער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לצד קביעות אלה</w:t>
      </w:r>
      <w:r>
        <w:rPr>
          <w:rtl w:val="true"/>
        </w:rPr>
        <w:t xml:space="preserve">, </w:t>
      </w:r>
      <w:r>
        <w:rPr>
          <w:rtl w:val="true"/>
        </w:rPr>
        <w:t>מצא בית המשפט כי לא ניתן להרשיע את המערער בעבירות המיוחסות לו כלפי א</w:t>
      </w:r>
      <w:r>
        <w:rPr>
          <w:rtl w:val="true"/>
        </w:rPr>
        <w:t xml:space="preserve">'. </w:t>
      </w:r>
      <w:r>
        <w:rPr>
          <w:rtl w:val="true"/>
        </w:rPr>
        <w:t>זאת כאשר חוקרת הילדים התקשתה להעריך את מהימנותו של א</w:t>
      </w:r>
      <w:r>
        <w:rPr>
          <w:rtl w:val="true"/>
        </w:rPr>
        <w:t xml:space="preserve">' </w:t>
      </w:r>
      <w:r>
        <w:rPr>
          <w:rtl w:val="true"/>
        </w:rPr>
        <w:t>ביחס למכלול עדותו</w:t>
      </w:r>
      <w:r>
        <w:rPr>
          <w:rtl w:val="true"/>
        </w:rPr>
        <w:t xml:space="preserve">, </w:t>
      </w:r>
      <w:r>
        <w:rPr>
          <w:rtl w:val="true"/>
        </w:rPr>
        <w:t>דבר אשר היה נעוץ בין היתר בהיעדר פירוט מספק</w:t>
      </w:r>
      <w:r>
        <w:rPr>
          <w:rtl w:val="true"/>
        </w:rPr>
        <w:t xml:space="preserve">, </w:t>
      </w:r>
      <w:r>
        <w:rPr>
          <w:rtl w:val="true"/>
        </w:rPr>
        <w:t>אף כי ציינה שייתכן שאופן מסירת עדותו נבע מגילו הצעיר</w:t>
      </w:r>
      <w:r>
        <w:rPr>
          <w:rtl w:val="true"/>
        </w:rPr>
        <w:t xml:space="preserve">. </w:t>
      </w:r>
      <w:r>
        <w:rPr>
          <w:rtl w:val="true"/>
        </w:rPr>
        <w:t>על כן נקבע</w:t>
      </w:r>
      <w:r>
        <w:rPr>
          <w:rtl w:val="true"/>
        </w:rPr>
        <w:t xml:space="preserve">, </w:t>
      </w:r>
      <w:r>
        <w:rPr>
          <w:rtl w:val="true"/>
        </w:rPr>
        <w:t>לאחר עיון במלוא חומרי החקירה</w:t>
      </w:r>
      <w:r>
        <w:rPr>
          <w:rtl w:val="true"/>
        </w:rPr>
        <w:t xml:space="preserve">, </w:t>
      </w:r>
      <w:r>
        <w:rPr>
          <w:rtl w:val="true"/>
        </w:rPr>
        <w:t>כי על אף קיומה של תמיכה מסוימת במהימנות גרסתו של א</w:t>
      </w:r>
      <w:r>
        <w:rPr>
          <w:rtl w:val="true"/>
        </w:rPr>
        <w:t xml:space="preserve">' </w:t>
      </w:r>
      <w:r>
        <w:rPr>
          <w:rtl w:val="true"/>
        </w:rPr>
        <w:t xml:space="preserve">בעניין המעשים שביצע בו המערער </w:t>
      </w:r>
      <w:r>
        <w:rPr>
          <w:rtl w:val="true"/>
        </w:rPr>
        <w:t>–</w:t>
      </w:r>
      <w:r>
        <w:rPr>
          <w:rtl w:val="true"/>
        </w:rPr>
        <w:t xml:space="preserve"> בדמות עדותה של אמו ק</w:t>
      </w:r>
      <w:r>
        <w:rPr>
          <w:rtl w:val="true"/>
        </w:rPr>
        <w:t>' (</w:t>
      </w:r>
      <w:r>
        <w:rPr>
          <w:rtl w:val="true"/>
        </w:rPr>
        <w:t>אשר נמצאה מהימנה</w:t>
      </w:r>
      <w:r>
        <w:rPr>
          <w:rtl w:val="true"/>
        </w:rPr>
        <w:t xml:space="preserve">) </w:t>
      </w:r>
      <w:r>
        <w:rPr>
          <w:rtl w:val="true"/>
        </w:rPr>
        <w:t>בדבר המעשים שא</w:t>
      </w:r>
      <w:r>
        <w:rPr>
          <w:rtl w:val="true"/>
        </w:rPr>
        <w:t xml:space="preserve">' </w:t>
      </w:r>
      <w:r>
        <w:rPr>
          <w:rtl w:val="true"/>
        </w:rPr>
        <w:t>סיפר לה שהמערער ביצע בו</w:t>
      </w:r>
      <w:r>
        <w:rPr>
          <w:rtl w:val="true"/>
        </w:rPr>
        <w:t xml:space="preserve">, </w:t>
      </w:r>
      <w:r>
        <w:rPr>
          <w:rtl w:val="true"/>
        </w:rPr>
        <w:t>הודאת המערער בפניה וכן מסמכים רפואיים שהוגשו בעניינו של א</w:t>
      </w:r>
      <w:r>
        <w:rPr>
          <w:rtl w:val="true"/>
        </w:rPr>
        <w:t xml:space="preserve">' </w:t>
      </w:r>
      <w:r>
        <w:rPr>
          <w:rtl w:val="true"/>
        </w:rPr>
        <w:t xml:space="preserve">המצביעים על חשד שעבר פגיעה מינית </w:t>
      </w:r>
      <w:r>
        <w:rPr>
          <w:rtl w:val="true"/>
        </w:rPr>
        <w:t>–</w:t>
      </w:r>
      <w:r>
        <w:rPr>
          <w:rtl w:val="true"/>
        </w:rPr>
        <w:t xml:space="preserve"> גרסתו אינה יכולה להוות בסיס איתן להרשעת המערער במעשים המיוחסים לו כלפיו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 בשולי הדברים כי המשיבה ביקשה</w:t>
      </w:r>
      <w:r>
        <w:rPr>
          <w:rtl w:val="true"/>
        </w:rPr>
        <w:t xml:space="preserve">, </w:t>
      </w:r>
      <w:r>
        <w:rPr>
          <w:rtl w:val="true"/>
        </w:rPr>
        <w:t>לאחר שהתוודעה לסיפור ההודאה</w:t>
      </w:r>
      <w:r>
        <w:rPr>
          <w:rtl w:val="true"/>
        </w:rPr>
        <w:t xml:space="preserve">, </w:t>
      </w:r>
      <w:r>
        <w:rPr>
          <w:rtl w:val="true"/>
        </w:rPr>
        <w:t>להחמיר את סעיפי האישום הראשון בעניין המעשים שביצע המערער בא</w:t>
      </w:r>
      <w:r>
        <w:rPr>
          <w:rtl w:val="true"/>
        </w:rPr>
        <w:t xml:space="preserve">', </w:t>
      </w:r>
      <w:r>
        <w:rPr>
          <w:rtl w:val="true"/>
        </w:rPr>
        <w:t>וזאת על בסיס הדברים שנטען כי נאמרו על ידו באותה הודאה</w:t>
      </w:r>
      <w:r>
        <w:rPr>
          <w:rtl w:val="true"/>
        </w:rPr>
        <w:t xml:space="preserve">, </w:t>
      </w:r>
      <w:r>
        <w:rPr>
          <w:rtl w:val="true"/>
        </w:rPr>
        <w:t>אולם בית המשפט דחה בקשה זו</w:t>
      </w:r>
      <w:r>
        <w:rPr>
          <w:rtl w:val="true"/>
        </w:rPr>
        <w:t xml:space="preserve">. </w:t>
      </w:r>
      <w:r>
        <w:rPr>
          <w:rtl w:val="true"/>
        </w:rPr>
        <w:t>זאת לאחר שבחן האם ניתנה למערער הזדמנות סבירה להתגונן מפני האישום החדש בהתייחס לכך שמדובר בתיקון שהתבקש רק לקראת תום פרשת התביעה</w:t>
      </w:r>
      <w:r>
        <w:rPr>
          <w:rtl w:val="true"/>
        </w:rPr>
        <w:t xml:space="preserve">, </w:t>
      </w:r>
      <w:r>
        <w:rPr>
          <w:rtl w:val="true"/>
        </w:rPr>
        <w:t>לאחר שהמערער חקר את עדיו באופן מושכל בהתאם לכתב האישום שהוגש</w:t>
      </w:r>
      <w:r>
        <w:rPr>
          <w:rtl w:val="true"/>
        </w:rPr>
        <w:t xml:space="preserve">. </w:t>
      </w:r>
      <w:r>
        <w:rPr>
          <w:rtl w:val="true"/>
        </w:rPr>
        <w:t>בית המשפט השתכנע כי יש ממש בטענות המערער לפיהן היה פועל אחרת בניהול הגנתו ומכאן כי החמרת סעיף האישום טומנת בחובה פגיעה ממשית בהגנתו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התייחס בהרחבה גם לסיפור ההודאה</w:t>
      </w:r>
      <w:r>
        <w:rPr>
          <w:rtl w:val="true"/>
        </w:rPr>
        <w:t xml:space="preserve">, </w:t>
      </w:r>
      <w:r>
        <w:rPr>
          <w:rtl w:val="true"/>
        </w:rPr>
        <w:t>בקבעו כי ממכלול העדויות עולה כי אכן התרחש מפגש בין ס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>לבין המערער בשעת לילה מאוחרת</w:t>
      </w:r>
      <w:r>
        <w:rPr>
          <w:rtl w:val="true"/>
        </w:rPr>
        <w:t xml:space="preserve">, </w:t>
      </w:r>
      <w:r>
        <w:rPr>
          <w:rtl w:val="true"/>
        </w:rPr>
        <w:t>בעת שהגיעה ס</w:t>
      </w:r>
      <w:r>
        <w:rPr>
          <w:rtl w:val="true"/>
        </w:rPr>
        <w:t xml:space="preserve">' </w:t>
      </w:r>
      <w:r>
        <w:rPr>
          <w:rtl w:val="true"/>
        </w:rPr>
        <w:t>לביתו של אבי המערער לאחר ששתתה משקאות אלכוהוליים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>שהו בחדר לבדן עם המערער בעוד שאביו שהה בסלון באותה עת</w:t>
      </w:r>
      <w:r>
        <w:rPr>
          <w:rtl w:val="true"/>
        </w:rPr>
        <w:t xml:space="preserve">, </w:t>
      </w:r>
      <w:r>
        <w:rPr>
          <w:rtl w:val="true"/>
        </w:rPr>
        <w:t>והשתיים שאלו את המערער לפשר המעשים שביצע כלפי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'. </w:t>
      </w:r>
      <w:r>
        <w:rPr>
          <w:rtl w:val="true"/>
        </w:rPr>
        <w:t xml:space="preserve">בנקודה זו נחלקו העדויות </w:t>
      </w:r>
      <w:r>
        <w:rPr>
          <w:rtl w:val="true"/>
        </w:rPr>
        <w:t>–</w:t>
      </w:r>
      <w:r>
        <w:rPr>
          <w:rtl w:val="true"/>
        </w:rPr>
        <w:t xml:space="preserve"> בעוד שס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 xml:space="preserve">טענו כי המערער הודה בפניהן שביצע את המעשים המיוחסים לו ואף הודה כי עשה זאת </w:t>
      </w:r>
      <w:r>
        <w:rPr>
          <w:rtl w:val="true"/>
        </w:rPr>
        <w:t>"</w:t>
      </w:r>
      <w:r>
        <w:rPr>
          <w:rtl w:val="true"/>
        </w:rPr>
        <w:t>לאט לאט</w:t>
      </w:r>
      <w:r>
        <w:rPr>
          <w:rtl w:val="true"/>
        </w:rPr>
        <w:t xml:space="preserve">" </w:t>
      </w:r>
      <w:r>
        <w:rPr>
          <w:rtl w:val="true"/>
        </w:rPr>
        <w:t>מתוך חשש להכאיב לא</w:t>
      </w:r>
      <w:r>
        <w:rPr>
          <w:rtl w:val="true"/>
        </w:rPr>
        <w:t xml:space="preserve">', </w:t>
      </w:r>
      <w:r>
        <w:rPr>
          <w:rtl w:val="true"/>
        </w:rPr>
        <w:t>וכן סיפר להן כי עבר בעצמו אונס כאשר שהה בפנימייה</w:t>
      </w:r>
      <w:r>
        <w:rPr>
          <w:rtl w:val="true"/>
        </w:rPr>
        <w:t xml:space="preserve">; </w:t>
      </w:r>
      <w:r>
        <w:rPr>
          <w:rtl w:val="true"/>
        </w:rPr>
        <w:t>המערער טען מנגד כי ס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>הפעילו עליו לחצים להודות במעשים שלא ביצע</w:t>
      </w:r>
      <w:r>
        <w:rPr>
          <w:rtl w:val="true"/>
        </w:rPr>
        <w:t xml:space="preserve">, </w:t>
      </w:r>
      <w:r>
        <w:rPr>
          <w:rtl w:val="true"/>
        </w:rPr>
        <w:t>אך הוא לא הודה בדבר במהלך אותה שיחה</w:t>
      </w:r>
      <w:r>
        <w:rPr>
          <w:rtl w:val="true"/>
        </w:rPr>
        <w:t xml:space="preserve">. </w:t>
      </w:r>
      <w:r>
        <w:rPr>
          <w:rtl w:val="true"/>
        </w:rPr>
        <w:t>מחלוקת נוספת התעוררה בעניין השיח שנוהל לאחר שיצאו השלושה מהחדר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>העידו כי מיד עם צאתן מן החדר פנו לאבי המערער וסיפרו לו שהמערער אמר להן שבוצעו בו מעשי אונס בעבר בפנימייה וכי מסר להן שביצע מעשים דומים בא</w:t>
      </w:r>
      <w:r>
        <w:rPr>
          <w:rtl w:val="true"/>
        </w:rPr>
        <w:t xml:space="preserve">' </w:t>
      </w:r>
      <w:r>
        <w:rPr>
          <w:rtl w:val="true"/>
        </w:rPr>
        <w:t>וב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'. </w:t>
      </w:r>
      <w:r>
        <w:rPr>
          <w:rtl w:val="true"/>
        </w:rPr>
        <w:t>המערער מצדו הכחיש כליל כי נוהל שיח לאחר שיצאו ס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>מחדרו</w:t>
      </w:r>
      <w:r>
        <w:rPr>
          <w:rtl w:val="true"/>
        </w:rPr>
        <w:t xml:space="preserve">, </w:t>
      </w:r>
      <w:r>
        <w:rPr>
          <w:rtl w:val="true"/>
        </w:rPr>
        <w:t>כאשר לטענתו מיד עם צאתה של ס</w:t>
      </w:r>
      <w:r>
        <w:rPr>
          <w:rtl w:val="true"/>
        </w:rPr>
        <w:t xml:space="preserve">' </w:t>
      </w:r>
      <w:r>
        <w:rPr>
          <w:rtl w:val="true"/>
        </w:rPr>
        <w:t>מהחדר אביו סילק אותה מהבית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אבי המערער הודה בסופו של יום בדיון שהתקיים בבית המשפט המחוזי ביום </w:t>
      </w:r>
      <w:r>
        <w:rPr/>
        <w:t>28.11.2021</w:t>
      </w:r>
      <w:r>
        <w:rPr>
          <w:rtl w:val="true"/>
        </w:rPr>
        <w:t xml:space="preserve"> </w:t>
      </w:r>
      <w:r>
        <w:rPr>
          <w:rtl w:val="true"/>
        </w:rPr>
        <w:t>כי לאחר יציאת השלושה מהחדר</w:t>
      </w:r>
      <w:r>
        <w:rPr>
          <w:rtl w:val="true"/>
        </w:rPr>
        <w:t xml:space="preserve">,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סיפרה לו שהמערער הודה בכך שפגע ב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ושהוא סבל בעצמו ממעשים פוגעניים דומים</w:t>
      </w:r>
      <w:r>
        <w:rPr>
          <w:rtl w:val="true"/>
        </w:rPr>
        <w:t xml:space="preserve">. </w:t>
      </w:r>
      <w:r>
        <w:rPr>
          <w:rtl w:val="true"/>
        </w:rPr>
        <w:t>אבי המערער טען כי המערער הכחיש מיד את הדברים</w:t>
      </w:r>
      <w:r>
        <w:rPr>
          <w:rtl w:val="true"/>
        </w:rPr>
        <w:t xml:space="preserve">, </w:t>
      </w:r>
      <w:r>
        <w:rPr>
          <w:rtl w:val="true"/>
        </w:rPr>
        <w:t>ואילו הוא הזהירו כי אם אכן ביצע מעשים אלה ויודה בביצועם</w:t>
      </w:r>
      <w:r>
        <w:rPr>
          <w:rtl w:val="true"/>
        </w:rPr>
        <w:t xml:space="preserve">, </w:t>
      </w:r>
      <w:r>
        <w:rPr>
          <w:rtl w:val="true"/>
        </w:rPr>
        <w:t>הוא יסולק מהבית</w:t>
      </w:r>
      <w:r>
        <w:rPr>
          <w:rtl w:val="true"/>
        </w:rPr>
        <w:t xml:space="preserve">. </w:t>
      </w:r>
      <w:r>
        <w:rPr>
          <w:rtl w:val="true"/>
        </w:rPr>
        <w:t>בית המשפט מצא גם בהקשר זה את עדויותיהן של ס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>כמהימנות</w:t>
      </w:r>
      <w:r>
        <w:rPr>
          <w:rtl w:val="true"/>
        </w:rPr>
        <w:t xml:space="preserve">, </w:t>
      </w:r>
      <w:r>
        <w:rPr>
          <w:rtl w:val="true"/>
        </w:rPr>
        <w:t>בעוד שעדות המערער נמצאה בלתי אמינה ומעוררת תמיהות רבות</w:t>
      </w:r>
      <w:r>
        <w:rPr>
          <w:rtl w:val="true"/>
        </w:rPr>
        <w:t xml:space="preserve">. </w:t>
      </w:r>
      <w:r>
        <w:rPr>
          <w:rtl w:val="true"/>
        </w:rPr>
        <w:t>זאת כאשר למול הכחשתו הגורפת של המערער</w:t>
      </w:r>
      <w:r>
        <w:rPr>
          <w:rtl w:val="true"/>
        </w:rPr>
        <w:t xml:space="preserve">, </w:t>
      </w:r>
      <w:r>
        <w:rPr>
          <w:rtl w:val="true"/>
        </w:rPr>
        <w:t>עומדות גרסאותיהן של ס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>כשגרסת אבי המערער מאשרת את קיום השיחה ואת טענתה של ס</w:t>
      </w:r>
      <w:r>
        <w:rPr>
          <w:rtl w:val="true"/>
        </w:rPr>
        <w:t xml:space="preserve">' </w:t>
      </w:r>
      <w:r>
        <w:rPr>
          <w:rtl w:val="true"/>
        </w:rPr>
        <w:t>כי סיפרה לו שהמערער הודה בפניה על ביצוע המעשים</w:t>
      </w:r>
      <w:r>
        <w:rPr>
          <w:rtl w:val="true"/>
        </w:rPr>
        <w:t xml:space="preserve">. </w:t>
      </w:r>
      <w:r>
        <w:rPr>
          <w:rtl w:val="true"/>
        </w:rPr>
        <w:t>כפועל יוצא מכך נקבע כי הוכח מעל ומעבר לכל ספק סביר כי המערער אכן התבטא בפני ס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>באופן המצביע על אשמתו במעשים המיוחסים לו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בשים לב לכך שמדובר הלכה למעשה בהודאה שבאה במסגרת אמרת חוץ של נאשם</w:t>
      </w:r>
      <w:r>
        <w:rPr>
          <w:rtl w:val="true"/>
        </w:rPr>
        <w:t xml:space="preserve">, </w:t>
      </w:r>
      <w:r>
        <w:rPr>
          <w:rtl w:val="true"/>
        </w:rPr>
        <w:t>שניתנה בפני מי שאיננו איש מרות</w:t>
      </w:r>
      <w:r>
        <w:rPr>
          <w:rtl w:val="true"/>
        </w:rPr>
        <w:t xml:space="preserve">, </w:t>
      </w:r>
      <w:r>
        <w:rPr>
          <w:rtl w:val="true"/>
        </w:rPr>
        <w:t>נקבע כי יש לבחון אותה בזהירות רבה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 נמצא שהופעלו על המערער לחצים נפשיים ופסיכולוגיים שאינם הוגנים באופן אשר שלל את אוטונומיית הרצון ואת חופש הבחירה שלו</w:t>
      </w:r>
      <w:r>
        <w:rPr>
          <w:rtl w:val="true"/>
        </w:rPr>
        <w:t xml:space="preserve">. </w:t>
      </w:r>
      <w:r>
        <w:rPr>
          <w:rtl w:val="true"/>
        </w:rPr>
        <w:t>זאת בשים לב לגילו באותה עת</w:t>
      </w:r>
      <w:r>
        <w:rPr>
          <w:rtl w:val="true"/>
        </w:rPr>
        <w:t xml:space="preserve">, </w:t>
      </w:r>
      <w:r>
        <w:rPr>
          <w:rtl w:val="true"/>
        </w:rPr>
        <w:t xml:space="preserve">כבן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ולכך שמדובר היה בבנות משפחה קרובות שיחסיהן אתו היו טובים</w:t>
      </w:r>
      <w:r>
        <w:rPr>
          <w:rtl w:val="true"/>
        </w:rPr>
        <w:t xml:space="preserve">, </w:t>
      </w:r>
      <w:r>
        <w:rPr>
          <w:rtl w:val="true"/>
        </w:rPr>
        <w:t xml:space="preserve">כאשר המערער לא טען כי הן איימו עליו או הפעילו עליו אלימות או תחבולות ואף הודה כי השיחה התנהלה באופן </w:t>
      </w:r>
      <w:r>
        <w:rPr>
          <w:rtl w:val="true"/>
        </w:rPr>
        <w:t>"</w:t>
      </w:r>
      <w:r>
        <w:rPr>
          <w:rtl w:val="true"/>
        </w:rPr>
        <w:t>רגיל</w:t>
      </w:r>
      <w:r>
        <w:rPr>
          <w:rtl w:val="true"/>
        </w:rPr>
        <w:t xml:space="preserve">" </w:t>
      </w:r>
      <w:r>
        <w:rPr>
          <w:rtl w:val="true"/>
        </w:rPr>
        <w:t>ללא צעקות או מהומה</w:t>
      </w:r>
      <w:r>
        <w:rPr>
          <w:rtl w:val="true"/>
        </w:rPr>
        <w:t xml:space="preserve">. </w:t>
      </w:r>
      <w:r>
        <w:rPr>
          <w:rtl w:val="true"/>
        </w:rPr>
        <w:t>כך גם לא נמצא כי נגרמה פגיעה בזכותו של המערער להליך הוגן</w:t>
      </w:r>
      <w:r>
        <w:rPr>
          <w:rtl w:val="true"/>
        </w:rPr>
        <w:t xml:space="preserve">, </w:t>
      </w:r>
      <w:r>
        <w:rPr>
          <w:rtl w:val="true"/>
        </w:rPr>
        <w:t>אשר יש בה כדי להביא לפסילת ההודאה</w:t>
      </w:r>
      <w:r>
        <w:rPr>
          <w:rtl w:val="true"/>
        </w:rPr>
        <w:t xml:space="preserve">. </w:t>
      </w:r>
      <w:r>
        <w:rPr>
          <w:rtl w:val="true"/>
        </w:rPr>
        <w:t>המפגש התרחש לאחר שובו ממעצר בן למעלה משבוע ימים</w:t>
      </w:r>
      <w:r>
        <w:rPr>
          <w:rtl w:val="true"/>
        </w:rPr>
        <w:t xml:space="preserve">, </w:t>
      </w:r>
      <w:r>
        <w:rPr>
          <w:rtl w:val="true"/>
        </w:rPr>
        <w:t>ולאחר שנועץ בעורך דין ונחקר ארבע פעמים במשטרה</w:t>
      </w:r>
      <w:r>
        <w:rPr>
          <w:rtl w:val="true"/>
        </w:rPr>
        <w:t xml:space="preserve">, </w:t>
      </w:r>
      <w:r>
        <w:rPr>
          <w:rtl w:val="true"/>
        </w:rPr>
        <w:t>באופן שבו ניתן להניח כי היה מודע לזכויותיו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שקבע בית המשפט כי הודאת המערער צולחת את המבחנים לבחינת קבילותה</w:t>
      </w:r>
      <w:r>
        <w:rPr>
          <w:rtl w:val="true"/>
        </w:rPr>
        <w:t xml:space="preserve">, </w:t>
      </w:r>
      <w:r>
        <w:rPr>
          <w:rtl w:val="true"/>
        </w:rPr>
        <w:t>נקבע כי משקלה הפנימי אינו מירבי</w:t>
      </w:r>
      <w:r>
        <w:rPr>
          <w:rtl w:val="true"/>
        </w:rPr>
        <w:t xml:space="preserve">. </w:t>
      </w:r>
      <w:r>
        <w:rPr>
          <w:rtl w:val="true"/>
        </w:rPr>
        <w:t>זאת בהתחשב במכלול נסיבות מתן ההודאה</w:t>
      </w:r>
      <w:r>
        <w:rPr>
          <w:rtl w:val="true"/>
        </w:rPr>
        <w:t xml:space="preserve">, </w:t>
      </w:r>
      <w:r>
        <w:rPr>
          <w:rtl w:val="true"/>
        </w:rPr>
        <w:t>תוך התייחסות בין היתר למאפייניו הפרטניים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לזהות הגורמים להם נמסרה ההודאה </w:t>
      </w:r>
      <w:r>
        <w:rPr>
          <w:rtl w:val="true"/>
        </w:rPr>
        <w:t>–</w:t>
      </w:r>
      <w:r>
        <w:rPr>
          <w:rtl w:val="true"/>
        </w:rPr>
        <w:t xml:space="preserve"> עדוֹת שלהן עניין רב בתוצאות ההליך</w:t>
      </w:r>
      <w:r>
        <w:rPr>
          <w:rtl w:val="true"/>
        </w:rPr>
        <w:t xml:space="preserve">, </w:t>
      </w:r>
      <w:r>
        <w:rPr>
          <w:rtl w:val="true"/>
        </w:rPr>
        <w:t>לעובדה שאחת מהן הייתה תחת השפעת אלכוהול</w:t>
      </w:r>
      <w:r>
        <w:rPr>
          <w:rtl w:val="true"/>
        </w:rPr>
        <w:t xml:space="preserve">, </w:t>
      </w:r>
      <w:r>
        <w:rPr>
          <w:rtl w:val="true"/>
        </w:rPr>
        <w:t>לחשש מפני מסירת הודאת שווא ועוד</w:t>
      </w:r>
      <w:r>
        <w:rPr>
          <w:rtl w:val="true"/>
        </w:rPr>
        <w:t xml:space="preserve">. </w:t>
      </w:r>
      <w:r>
        <w:rPr>
          <w:rtl w:val="true"/>
        </w:rPr>
        <w:t>בהינתן האמור נמצא כי נדרשת תוספת ראייתית משמעותית ומסבכת לתמוך בהודאת המערער ומאפשרת הרשעתו על יסודה בלבד</w:t>
      </w:r>
      <w:r>
        <w:rPr>
          <w:rtl w:val="true"/>
        </w:rPr>
        <w:t xml:space="preserve">. </w:t>
      </w:r>
      <w:r>
        <w:rPr>
          <w:rtl w:val="true"/>
        </w:rPr>
        <w:t>בתוך כך צוין כי מול גרסת המערער ניצבו בעיקר גרסאותיהם של הקטינים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שתועדו על ידי חוקרת הילדים</w:t>
      </w:r>
      <w:r>
        <w:rPr>
          <w:rtl w:val="true"/>
        </w:rPr>
        <w:t xml:space="preserve">, </w:t>
      </w:r>
      <w:r>
        <w:rPr>
          <w:rtl w:val="true"/>
        </w:rPr>
        <w:t>כאשר הרשעת המערער על בסיס גרסאות אלו טעונה גם היא תוספת ראייתית מסוג סיוע לפי הוראות ה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לתיקון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דיני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הגנת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ילדים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1955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הגנת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ילדים</w:t>
      </w:r>
      <w:r>
        <w:rPr>
          <w:rtl w:val="true"/>
        </w:rPr>
        <w:t xml:space="preserve">). </w:t>
      </w:r>
      <w:r>
        <w:rPr>
          <w:rtl w:val="true"/>
        </w:rPr>
        <w:t>באשר ל</w:t>
      </w:r>
      <w:r>
        <w:rPr>
          <w:rtl w:val="true"/>
        </w:rPr>
        <w:t>-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נמצא כי אין די בהודאת המערער לצורך הרשעתו באישום המייחס לו ביצוע מעשים כלפיו</w:t>
      </w:r>
      <w:r>
        <w:rPr>
          <w:rtl w:val="true"/>
        </w:rPr>
        <w:t xml:space="preserve">, </w:t>
      </w:r>
      <w:r>
        <w:rPr>
          <w:rtl w:val="true"/>
        </w:rPr>
        <w:t>וגם גרסתו החסרה לפני חוקרת הילדים אינה יכולה להוות תוספת ראייתית נדרשת בנסיבות העניין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באשר לב</w:t>
      </w:r>
      <w:r>
        <w:rPr>
          <w:rtl w:val="true"/>
        </w:rPr>
        <w:t xml:space="preserve">' </w:t>
      </w:r>
      <w:r>
        <w:rPr>
          <w:rtl w:val="true"/>
        </w:rPr>
        <w:t>נמצא כי ישנם סימנים חיצוניים נוספים המלמדים כי מדובר בהודאה אמיתית</w:t>
      </w:r>
      <w:r>
        <w:rPr>
          <w:rtl w:val="true"/>
        </w:rPr>
        <w:t xml:space="preserve">, </w:t>
      </w:r>
      <w:r>
        <w:rPr>
          <w:rtl w:val="true"/>
        </w:rPr>
        <w:t>כפי שנלמד מגרסתו של ב</w:t>
      </w:r>
      <w:r>
        <w:rPr>
          <w:rtl w:val="true"/>
        </w:rPr>
        <w:t xml:space="preserve">' </w:t>
      </w:r>
      <w:r>
        <w:rPr>
          <w:rtl w:val="true"/>
        </w:rPr>
        <w:t>אשר נמצאה מהימנה</w:t>
      </w:r>
      <w:r>
        <w:rPr>
          <w:rtl w:val="true"/>
        </w:rPr>
        <w:t xml:space="preserve">. </w:t>
      </w:r>
      <w:r>
        <w:rPr>
          <w:rtl w:val="true"/>
        </w:rPr>
        <w:t>כך גם עדותה של ס</w:t>
      </w:r>
      <w:r>
        <w:rPr>
          <w:rtl w:val="true"/>
        </w:rPr>
        <w:t xml:space="preserve">' </w:t>
      </w:r>
      <w:r>
        <w:rPr>
          <w:rtl w:val="true"/>
        </w:rPr>
        <w:t>ששמעה את מעשה הפגיעה ישירות מבנה ותיארה אותם בדיוק ובפירוט</w:t>
      </w:r>
      <w:r>
        <w:rPr>
          <w:rtl w:val="true"/>
        </w:rPr>
        <w:t xml:space="preserve">, </w:t>
      </w:r>
      <w:r>
        <w:rPr>
          <w:rtl w:val="true"/>
        </w:rPr>
        <w:t>מחזקת את דבריו</w:t>
      </w:r>
      <w:r>
        <w:rPr>
          <w:rtl w:val="true"/>
        </w:rPr>
        <w:t xml:space="preserve">. </w:t>
      </w:r>
      <w:r>
        <w:rPr>
          <w:rtl w:val="true"/>
        </w:rPr>
        <w:t xml:space="preserve">על כן נמצא כי האמור לעיל מהווה </w:t>
      </w:r>
      <w:r>
        <w:rPr>
          <w:rtl w:val="true"/>
        </w:rPr>
        <w:t>"</w:t>
      </w:r>
      <w:r>
        <w:rPr>
          <w:rtl w:val="true"/>
        </w:rPr>
        <w:t>דבר מה נוסף</w:t>
      </w:r>
      <w:r>
        <w:rPr>
          <w:rtl w:val="true"/>
        </w:rPr>
        <w:t xml:space="preserve">" </w:t>
      </w:r>
      <w:r>
        <w:rPr>
          <w:rtl w:val="true"/>
        </w:rPr>
        <w:t>משמעותי להודאת המערער</w:t>
      </w:r>
      <w:r>
        <w:rPr>
          <w:rtl w:val="true"/>
        </w:rPr>
        <w:t xml:space="preserve">. </w:t>
      </w:r>
      <w:r>
        <w:rPr>
          <w:rtl w:val="true"/>
        </w:rPr>
        <w:t>אך בית המשפט לא הסתפק בכך ובחן האם מתקיימת גם תוספת ראייתית מסוג סיוע הנדרשת על מנת לבסס את הרשעתו של המערער על בסיס גרסתו של ב</w:t>
      </w:r>
      <w:r>
        <w:rPr>
          <w:rtl w:val="true"/>
        </w:rPr>
        <w:t xml:space="preserve">' </w:t>
      </w:r>
      <w:r>
        <w:rPr>
          <w:rtl w:val="true"/>
        </w:rPr>
        <w:t>כפי שתועדה על ידי חוקרת הילדים</w:t>
      </w:r>
      <w:r>
        <w:rPr>
          <w:rtl w:val="true"/>
        </w:rPr>
        <w:t xml:space="preserve">. </w:t>
      </w:r>
      <w:r>
        <w:rPr>
          <w:rtl w:val="true"/>
        </w:rPr>
        <w:t>בהקשר זה קבע בית המשפט כי ניתן למצוא סיוע בשקרי המערער אשר קשורים למעשי העבירות מושא כתב האישום בכלל ולמעשים שיוחסו למערער כלפי ב</w:t>
      </w:r>
      <w:r>
        <w:rPr>
          <w:rtl w:val="true"/>
        </w:rPr>
        <w:t xml:space="preserve">' </w:t>
      </w:r>
      <w:r>
        <w:rPr>
          <w:rtl w:val="true"/>
        </w:rPr>
        <w:t>בפרט</w:t>
      </w:r>
      <w:r>
        <w:rPr>
          <w:rtl w:val="true"/>
        </w:rPr>
        <w:t xml:space="preserve">. </w:t>
      </w:r>
      <w:r>
        <w:rPr>
          <w:rtl w:val="true"/>
        </w:rPr>
        <w:t>כן ניתן למצוא סיוע גם בתיאור ובהדגמה של ב</w:t>
      </w:r>
      <w:r>
        <w:rPr>
          <w:rtl w:val="true"/>
        </w:rPr>
        <w:t xml:space="preserve">' </w:t>
      </w:r>
      <w:r>
        <w:rPr>
          <w:rtl w:val="true"/>
        </w:rPr>
        <w:t>את עניין האוננות ופליטת הזרע על ידי המערער באופן מוחשי</w:t>
      </w:r>
      <w:r>
        <w:rPr>
          <w:rtl w:val="true"/>
        </w:rPr>
        <w:t xml:space="preserve">, </w:t>
      </w:r>
      <w:r>
        <w:rPr>
          <w:rtl w:val="true"/>
        </w:rPr>
        <w:t>שכן יש לראות עניין זה כ</w:t>
      </w:r>
      <w:r>
        <w:rPr>
          <w:rtl w:val="true"/>
        </w:rPr>
        <w:t>"</w:t>
      </w:r>
      <w:r>
        <w:rPr>
          <w:rtl w:val="true"/>
        </w:rPr>
        <w:t>פרט מיוחד</w:t>
      </w:r>
      <w:r>
        <w:rPr>
          <w:rtl w:val="true"/>
        </w:rPr>
        <w:t xml:space="preserve">" </w:t>
      </w:r>
      <w:r>
        <w:rPr>
          <w:rtl w:val="true"/>
        </w:rPr>
        <w:t>עליו סיפר הקטין העולה כדי סיוע</w:t>
      </w:r>
      <w:r>
        <w:rPr>
          <w:rtl w:val="true"/>
        </w:rPr>
        <w:t xml:space="preserve">. </w:t>
      </w:r>
      <w:r>
        <w:rPr>
          <w:rtl w:val="true"/>
        </w:rPr>
        <w:t>נקבע כי יש בכוחן המצטבר של ראיות סיוע אלו כדי למלא את דרישת ה</w:t>
      </w:r>
      <w:r>
        <w:rPr>
          <w:rtl w:val="true"/>
        </w:rPr>
        <w:t>"</w:t>
      </w:r>
      <w:r>
        <w:rPr>
          <w:rtl w:val="true"/>
        </w:rPr>
        <w:t>דבר מה נוסף</w:t>
      </w:r>
      <w:r>
        <w:rPr>
          <w:rtl w:val="true"/>
        </w:rPr>
        <w:t xml:space="preserve">" </w:t>
      </w:r>
      <w:r>
        <w:rPr>
          <w:rtl w:val="true"/>
        </w:rPr>
        <w:t>להוכחת הודאת המערער בפני דודותיו כמו גם את דרישת הסיוע הנדרשת לפי חוק הגנת ילדים לאימות גרסת ב</w:t>
      </w:r>
      <w:r>
        <w:rPr>
          <w:rtl w:val="true"/>
        </w:rPr>
        <w:t xml:space="preserve">' </w:t>
      </w:r>
      <w:r>
        <w:rPr>
          <w:rtl w:val="true"/>
        </w:rPr>
        <w:t>כפי שתועדה על ידי חוקרת הילדים</w:t>
      </w:r>
      <w:r>
        <w:rPr>
          <w:rtl w:val="true"/>
        </w:rPr>
        <w:t xml:space="preserve">. </w:t>
      </w:r>
      <w:r>
        <w:rPr>
          <w:rtl w:val="true"/>
        </w:rPr>
        <w:t>שעה שנמצא אפוא כי קיימות ראיות כבדות משקל להוכחה מעבר לספק סביר כי המערער ביצע את המעשים המיוחסים לו בכתב האישום כלפי ב</w:t>
      </w:r>
      <w:r>
        <w:rPr>
          <w:rtl w:val="true"/>
        </w:rPr>
        <w:t xml:space="preserve">', </w:t>
      </w:r>
      <w:r>
        <w:rPr>
          <w:rtl w:val="true"/>
        </w:rPr>
        <w:t>להן נמצא הסיוע הנדרש</w:t>
      </w:r>
      <w:r>
        <w:rPr>
          <w:rtl w:val="true"/>
        </w:rPr>
        <w:t xml:space="preserve">, </w:t>
      </w:r>
      <w:r>
        <w:rPr>
          <w:rtl w:val="true"/>
        </w:rPr>
        <w:t>לא נותר ספק כלשהו באשר לאשמת המערער בביצוע העבירות מושא האישום השני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ולבסוף</w:t>
      </w:r>
      <w:r>
        <w:rPr>
          <w:rtl w:val="true"/>
        </w:rPr>
        <w:t xml:space="preserve">, </w:t>
      </w:r>
      <w:r>
        <w:rPr>
          <w:rtl w:val="true"/>
        </w:rPr>
        <w:t>בהתייחס לתיאוריו של ב</w:t>
      </w:r>
      <w:r>
        <w:rPr>
          <w:rtl w:val="true"/>
        </w:rPr>
        <w:t xml:space="preserve">' </w:t>
      </w:r>
      <w:r>
        <w:rPr>
          <w:rtl w:val="true"/>
        </w:rPr>
        <w:t>באשר למעשים שביצע בו המערער</w:t>
      </w:r>
      <w:r>
        <w:rPr>
          <w:rtl w:val="true"/>
        </w:rPr>
        <w:t xml:space="preserve">; </w:t>
      </w:r>
      <w:r>
        <w:rPr>
          <w:rtl w:val="true"/>
        </w:rPr>
        <w:t>לעדותה של ס</w:t>
      </w:r>
      <w:r>
        <w:rPr>
          <w:rtl w:val="true"/>
        </w:rPr>
        <w:t xml:space="preserve">' </w:t>
      </w:r>
      <w:r>
        <w:rPr>
          <w:rtl w:val="true"/>
        </w:rPr>
        <w:t>אמו באשר לדברים שמסר לה ב</w:t>
      </w:r>
      <w:r>
        <w:rPr>
          <w:rtl w:val="true"/>
        </w:rPr>
        <w:t xml:space="preserve">' </w:t>
      </w:r>
      <w:r>
        <w:rPr>
          <w:rtl w:val="true"/>
        </w:rPr>
        <w:t>כי המערער ביצע בו</w:t>
      </w:r>
      <w:r>
        <w:rPr>
          <w:rtl w:val="true"/>
        </w:rPr>
        <w:t xml:space="preserve">; </w:t>
      </w:r>
      <w:r>
        <w:rPr>
          <w:rtl w:val="true"/>
        </w:rPr>
        <w:t>לעדותה של ל</w:t>
      </w:r>
      <w:r>
        <w:rPr>
          <w:rtl w:val="true"/>
        </w:rPr>
        <w:t>' (</w:t>
      </w:r>
      <w:r>
        <w:rPr>
          <w:rtl w:val="true"/>
        </w:rPr>
        <w:t>דודה נוספת</w:t>
      </w:r>
      <w:r>
        <w:rPr>
          <w:rtl w:val="true"/>
        </w:rPr>
        <w:t xml:space="preserve">) </w:t>
      </w:r>
      <w:r>
        <w:rPr>
          <w:rtl w:val="true"/>
        </w:rPr>
        <w:t>אשר נכחה במעמד חשיפת מעשי המערער על ידי ב</w:t>
      </w:r>
      <w:r>
        <w:rPr>
          <w:rtl w:val="true"/>
        </w:rPr>
        <w:t xml:space="preserve">' </w:t>
      </w:r>
      <w:r>
        <w:rPr>
          <w:rtl w:val="true"/>
        </w:rPr>
        <w:t>בפני אמו</w:t>
      </w:r>
      <w:r>
        <w:rPr>
          <w:rtl w:val="true"/>
        </w:rPr>
        <w:t xml:space="preserve">; </w:t>
      </w:r>
      <w:r>
        <w:rPr>
          <w:rtl w:val="true"/>
        </w:rPr>
        <w:t xml:space="preserve">ולראיות נוספות </w:t>
      </w:r>
      <w:r>
        <w:rPr>
          <w:rtl w:val="true"/>
        </w:rPr>
        <w:t>–</w:t>
      </w:r>
      <w:r>
        <w:rPr>
          <w:rtl w:val="true"/>
        </w:rPr>
        <w:t xml:space="preserve"> נמצא כי לא נותר צל של ספק כי המערער ביצע מעשה חדירה בגופו של ב</w:t>
      </w:r>
      <w:r>
        <w:rPr>
          <w:rtl w:val="true"/>
        </w:rPr>
        <w:t xml:space="preserve">', </w:t>
      </w:r>
      <w:r>
        <w:rPr>
          <w:rtl w:val="true"/>
        </w:rPr>
        <w:t>שכן ממכלול העדויות עולה לכל הפחות תחילת חדירה שביצע המערער</w:t>
      </w:r>
      <w:r>
        <w:rPr>
          <w:rtl w:val="true"/>
        </w:rPr>
        <w:t xml:space="preserve">. </w:t>
      </w:r>
      <w:r>
        <w:rPr>
          <w:rtl w:val="true"/>
        </w:rPr>
        <w:t>בכך יש כדי לגבש את היסוד העובדתי הנדרש להוכחת עבירת מעשה הסדום</w:t>
      </w:r>
      <w:r>
        <w:rPr>
          <w:rtl w:val="true"/>
        </w:rPr>
        <w:t xml:space="preserve">, </w:t>
      </w:r>
      <w:r>
        <w:rPr>
          <w:rtl w:val="true"/>
        </w:rPr>
        <w:t>ועל אחת כמה וכמה בעבירת מעשים מגונים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מעת שנמצאה עדותו של ב</w:t>
      </w:r>
      <w:r>
        <w:rPr>
          <w:rtl w:val="true"/>
        </w:rPr>
        <w:t xml:space="preserve">'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התקבלה גם גרסתו כי המערער איים עליו בכוונה להפחידו ומשכך מתקיימים גם יסודות עבירת האיומים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באשר להרשעת המערער שהיה כאמור קטין במועד ביצוע העבירות והעמדתו לדין</w:t>
      </w:r>
      <w:r>
        <w:rPr>
          <w:rtl w:val="true"/>
        </w:rPr>
        <w:t xml:space="preserve">, </w:t>
      </w:r>
      <w:r>
        <w:rPr>
          <w:rtl w:val="true"/>
        </w:rPr>
        <w:t>עמד בית המשפט על הפגיעה הקשה והאכזרית שלו ב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 xml:space="preserve">בעת שהיה כבן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 בלבד</w:t>
      </w:r>
      <w:r>
        <w:rPr>
          <w:rtl w:val="true"/>
        </w:rPr>
        <w:t xml:space="preserve">, </w:t>
      </w:r>
      <w:r>
        <w:rPr>
          <w:rtl w:val="true"/>
        </w:rPr>
        <w:t>פגיעה אשר הפרה את שגרת חייו</w:t>
      </w:r>
      <w:r>
        <w:rPr>
          <w:rtl w:val="true"/>
        </w:rPr>
        <w:t xml:space="preserve">, </w:t>
      </w:r>
      <w:r>
        <w:rPr>
          <w:rtl w:val="true"/>
        </w:rPr>
        <w:t>הביאה לפגיעה קשה בתמימותו והיו לה השלכות שליליות על כל בני המשפחה</w:t>
      </w:r>
      <w:r>
        <w:rPr>
          <w:rtl w:val="true"/>
        </w:rPr>
        <w:t xml:space="preserve">. </w:t>
      </w:r>
      <w:r>
        <w:rPr>
          <w:rtl w:val="true"/>
        </w:rPr>
        <w:t>בתסקיר שירות המבחן לנוער שהוגש בעניינו של המערער צוין כי הוא הכחיש בתוקף את העבירות שיוחסו לו ושלל כל קשר לאירוע</w:t>
      </w:r>
      <w:r>
        <w:rPr>
          <w:rtl w:val="true"/>
        </w:rPr>
        <w:t xml:space="preserve">. </w:t>
      </w:r>
      <w:r>
        <w:rPr>
          <w:rtl w:val="true"/>
        </w:rPr>
        <w:t>בהתחשב בעמדתו הנוקשה ציינה קצינת המבחן כי לא ניתנה לה האפשרות להעמיק את החקירה ולהציע מענים טיפוליים עבורו</w:t>
      </w:r>
      <w:r>
        <w:rPr>
          <w:rtl w:val="true"/>
        </w:rPr>
        <w:t xml:space="preserve">, </w:t>
      </w:r>
      <w:r>
        <w:rPr>
          <w:rtl w:val="true"/>
        </w:rPr>
        <w:t>ומשכך היא נמנעה מלתת המלצה בעניינו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 המערער מסר כי אינו מתנגד להרשעת המערער</w:t>
      </w:r>
      <w:r>
        <w:rPr>
          <w:rtl w:val="true"/>
        </w:rPr>
        <w:t xml:space="preserve">, </w:t>
      </w:r>
      <w:r>
        <w:rPr>
          <w:rtl w:val="true"/>
        </w:rPr>
        <w:t>אולם לעמדתו העונש המתאים להשית עליו הוא מאסר בפועל לריצוי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בהיעדר המלצה טיפולית</w:t>
      </w:r>
      <w:r>
        <w:rPr>
          <w:rtl w:val="true"/>
        </w:rPr>
        <w:t xml:space="preserve">, </w:t>
      </w:r>
      <w:r>
        <w:rPr>
          <w:rtl w:val="true"/>
        </w:rPr>
        <w:t>נוכח הסכמת הצדדים ובהינתן האמור בהכרעת הדין</w:t>
      </w:r>
      <w:r>
        <w:rPr>
          <w:rtl w:val="true"/>
        </w:rPr>
        <w:t xml:space="preserve">, </w:t>
      </w:r>
      <w:r>
        <w:rPr>
          <w:rtl w:val="true"/>
        </w:rPr>
        <w:t>הרשיע בית המשפט את המערער בביצוע העבירות מושא האישום השני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ובאשר לעונש</w:t>
      </w:r>
      <w:r>
        <w:rPr>
          <w:rtl w:val="true"/>
        </w:rPr>
        <w:t xml:space="preserve">, </w:t>
      </w:r>
      <w:r>
        <w:rPr>
          <w:rtl w:val="true"/>
        </w:rPr>
        <w:t>בית המשפט עמד על שיקולי הענישה כאשר מדובר בקטין</w:t>
      </w:r>
      <w:r>
        <w:rPr>
          <w:rtl w:val="true"/>
        </w:rPr>
        <w:t xml:space="preserve">, </w:t>
      </w:r>
      <w:r>
        <w:rPr>
          <w:rtl w:val="true"/>
        </w:rPr>
        <w:t>וציין כי יש ליתן משקל ממשי לגילו ולנסיבותיו האישיות כמו גם לסיכויי שיקומו של המערער</w:t>
      </w:r>
      <w:r>
        <w:rPr>
          <w:rtl w:val="true"/>
        </w:rPr>
        <w:t xml:space="preserve">. </w:t>
      </w:r>
      <w:r>
        <w:rPr>
          <w:rtl w:val="true"/>
        </w:rPr>
        <w:t>זאת גם כאשר מדובר בקטין שביצע עבירות מין חמורות</w:t>
      </w:r>
      <w:r>
        <w:rPr>
          <w:rtl w:val="true"/>
        </w:rPr>
        <w:t xml:space="preserve">, </w:t>
      </w:r>
      <w:r>
        <w:rPr>
          <w:rtl w:val="true"/>
        </w:rPr>
        <w:t>הגם כי קטינוּת אינה מהווה חסינות מפני ענישה פלילית</w:t>
      </w:r>
      <w:r>
        <w:rPr>
          <w:rtl w:val="true"/>
        </w:rPr>
        <w:t xml:space="preserve">. </w:t>
      </w:r>
      <w:r>
        <w:rPr>
          <w:rtl w:val="true"/>
        </w:rPr>
        <w:t>לאחר בחינת מדיניות הענישה בעניינם של קטינים שביצעו עבירות מין בקטינים אחרים</w:t>
      </w:r>
      <w:r>
        <w:rPr>
          <w:rtl w:val="true"/>
        </w:rPr>
        <w:t xml:space="preserve">, </w:t>
      </w:r>
      <w:r>
        <w:rPr>
          <w:rtl w:val="true"/>
        </w:rPr>
        <w:t xml:space="preserve">צוין כי בענייננו מדובר בקטין שהיה כבן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בעת ביצוע המעשים</w:t>
      </w:r>
      <w:r>
        <w:rPr>
          <w:rtl w:val="true"/>
        </w:rPr>
        <w:t xml:space="preserve">, </w:t>
      </w:r>
      <w:r>
        <w:rPr>
          <w:rtl w:val="true"/>
        </w:rPr>
        <w:t>אשר גדל בנסיבות חיים קשות</w:t>
      </w:r>
      <w:r>
        <w:rPr>
          <w:rtl w:val="true"/>
        </w:rPr>
        <w:t xml:space="preserve">, </w:t>
      </w:r>
      <w:r>
        <w:rPr>
          <w:rtl w:val="true"/>
        </w:rPr>
        <w:t>נעדר עבר פלילי</w:t>
      </w:r>
      <w:r>
        <w:rPr>
          <w:rtl w:val="true"/>
        </w:rPr>
        <w:t xml:space="preserve">, </w:t>
      </w:r>
      <w:r>
        <w:rPr>
          <w:rtl w:val="true"/>
        </w:rPr>
        <w:t xml:space="preserve">בוגר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 המנסה להשתלב בשוק התעסוקה ולייצב את חייו הבוגרים</w:t>
      </w:r>
      <w:r>
        <w:rPr>
          <w:rtl w:val="true"/>
        </w:rPr>
        <w:t xml:space="preserve">. </w:t>
      </w:r>
      <w:r>
        <w:rPr>
          <w:rtl w:val="true"/>
        </w:rPr>
        <w:t>כן ניתנה הדעת לכך שחלף פרק זמן משמעותי מאז קרות האירועים במהלכו לא נטען כי המערער היה מעורב באירוע פלילי כלשהו</w:t>
      </w:r>
      <w:r>
        <w:rPr>
          <w:rtl w:val="true"/>
        </w:rPr>
        <w:t xml:space="preserve">. </w:t>
      </w:r>
      <w:r>
        <w:rPr>
          <w:rtl w:val="true"/>
        </w:rPr>
        <w:t>מן העבר השני</w:t>
      </w:r>
      <w:r>
        <w:rPr>
          <w:rtl w:val="true"/>
        </w:rPr>
        <w:t xml:space="preserve">, </w:t>
      </w:r>
      <w:r>
        <w:rPr>
          <w:rtl w:val="true"/>
        </w:rPr>
        <w:t>לא ניתן להתעלם מחומרת המעשים שביצע המערער</w:t>
      </w:r>
      <w:r>
        <w:rPr>
          <w:rtl w:val="true"/>
        </w:rPr>
        <w:t xml:space="preserve">, </w:t>
      </w:r>
      <w:r>
        <w:rPr>
          <w:rtl w:val="true"/>
        </w:rPr>
        <w:t>תוך ניצול אכזרי של גילו הרך של ב</w:t>
      </w:r>
      <w:r>
        <w:rPr>
          <w:rtl w:val="true"/>
        </w:rPr>
        <w:t xml:space="preserve">' </w:t>
      </w:r>
      <w:r>
        <w:rPr>
          <w:rtl w:val="true"/>
        </w:rPr>
        <w:t>וחוסר האונים בו היה מצוי</w:t>
      </w:r>
      <w:r>
        <w:rPr>
          <w:rtl w:val="true"/>
        </w:rPr>
        <w:t xml:space="preserve">, </w:t>
      </w:r>
      <w:r>
        <w:rPr>
          <w:rtl w:val="true"/>
        </w:rPr>
        <w:t>מעשים שלהם השלכות קשות ביותר</w:t>
      </w:r>
      <w:r>
        <w:rPr>
          <w:rtl w:val="true"/>
        </w:rPr>
        <w:t xml:space="preserve">, </w:t>
      </w:r>
      <w:r>
        <w:rPr>
          <w:rtl w:val="true"/>
        </w:rPr>
        <w:t>כאשר ב</w:t>
      </w:r>
      <w:r>
        <w:rPr>
          <w:rtl w:val="true"/>
        </w:rPr>
        <w:t xml:space="preserve">' </w:t>
      </w:r>
      <w:r>
        <w:rPr>
          <w:rtl w:val="true"/>
        </w:rPr>
        <w:t>איבד כתוצאה מכך את הביטחון והאמון בעולם והוא סובל ממצב נפשי רעוע</w:t>
      </w:r>
      <w:r>
        <w:rPr>
          <w:rtl w:val="true"/>
        </w:rPr>
        <w:t xml:space="preserve">. </w:t>
      </w:r>
      <w:r>
        <w:rPr>
          <w:rtl w:val="true"/>
        </w:rPr>
        <w:t>המערער גם לא הביע חרטה ולא נטל אחריות על מעשיו</w:t>
      </w:r>
      <w:r>
        <w:rPr>
          <w:rtl w:val="true"/>
        </w:rPr>
        <w:t xml:space="preserve">, </w:t>
      </w:r>
      <w:r>
        <w:rPr>
          <w:rtl w:val="true"/>
        </w:rPr>
        <w:t>למעט ההודאה בפני דודותיו אך זאת ללא הבעת חרטה מלאה נוכח אזהרתו של אביו לבל יודה במעשים</w:t>
      </w:r>
      <w:r>
        <w:rPr>
          <w:rtl w:val="true"/>
        </w:rPr>
        <w:t xml:space="preserve">. </w:t>
      </w:r>
      <w:r>
        <w:rPr>
          <w:rtl w:val="true"/>
        </w:rPr>
        <w:t>בשל כך</w:t>
      </w:r>
      <w:r>
        <w:rPr>
          <w:rtl w:val="true"/>
        </w:rPr>
        <w:t xml:space="preserve">, </w:t>
      </w:r>
      <w:r>
        <w:rPr>
          <w:rtl w:val="true"/>
        </w:rPr>
        <w:t>המערער גם לא עבר תהליכי שיקום כלשהם</w:t>
      </w:r>
      <w:r>
        <w:rPr>
          <w:rtl w:val="true"/>
        </w:rPr>
        <w:t xml:space="preserve">, </w:t>
      </w:r>
      <w:r>
        <w:rPr>
          <w:rtl w:val="true"/>
        </w:rPr>
        <w:t>על אף שהוא נזקק לטיפול בכל מישורי חייו</w:t>
      </w:r>
      <w:r>
        <w:rPr>
          <w:rtl w:val="true"/>
        </w:rPr>
        <w:t xml:space="preserve">, </w:t>
      </w:r>
      <w:r>
        <w:rPr>
          <w:rtl w:val="true"/>
        </w:rPr>
        <w:t>והלכה למעשה אין לו כל אופק שיקומי בהיעדר הפנמת מעשיו ונטילת אחריות על ביצועם</w:t>
      </w:r>
      <w:r>
        <w:rPr>
          <w:rtl w:val="true"/>
        </w:rPr>
        <w:t xml:space="preserve">. </w:t>
      </w:r>
      <w:r>
        <w:rPr>
          <w:rtl w:val="true"/>
        </w:rPr>
        <w:t>נוכח כל האמור נמצא כי יש ליתן משקל גובר בנסיבות מקרה זה לשיקולי ההלימה</w:t>
      </w:r>
      <w:r>
        <w:rPr>
          <w:rtl w:val="true"/>
        </w:rPr>
        <w:t xml:space="preserve">, </w:t>
      </w:r>
      <w:r>
        <w:rPr>
          <w:rtl w:val="true"/>
        </w:rPr>
        <w:t>הגמול וההרתעה</w:t>
      </w:r>
      <w:r>
        <w:rPr>
          <w:rtl w:val="true"/>
        </w:rPr>
        <w:t xml:space="preserve">. </w:t>
      </w:r>
      <w:r>
        <w:rPr>
          <w:rtl w:val="true"/>
        </w:rPr>
        <w:t xml:space="preserve">על כן הושת על המערער עונש של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;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על תנאי שלא יעבור במשך שלוש שנים מיום שחרורו עבירת מין מסוג פשע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 מאסר על תנאי שלא יעבור במשך שלוש שנים מיום שחרורו עבירת מין מסוג עוון</w:t>
      </w:r>
      <w:r>
        <w:rPr>
          <w:rtl w:val="true"/>
        </w:rPr>
        <w:t xml:space="preserve">; </w:t>
      </w:r>
      <w:r>
        <w:rPr>
          <w:rtl w:val="true"/>
        </w:rPr>
        <w:t>ופיצוי לנפגע העבירה ב</w:t>
      </w:r>
      <w:r>
        <w:rPr>
          <w:rtl w:val="true"/>
        </w:rPr>
        <w:t xml:space="preserve">' </w:t>
      </w:r>
      <w:r>
        <w:rPr>
          <w:rtl w:val="true"/>
        </w:rPr>
        <w:t xml:space="preserve">בסך של </w:t>
      </w:r>
      <w:r>
        <w:rPr/>
        <w:t>50,000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>
          <w:rFonts w:ascii="Century" w:hAnsi="Century" w:cs="Miriam"/>
          <w:b/>
          <w:spacing w:val="0"/>
          <w:sz w:val="22"/>
          <w:szCs w:val="24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בערעור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מכאן לערעור שלפנינו המופנה כאמור הן נגד הכרעת הדין והן נגד גזר הדין</w:t>
      </w:r>
      <w:r>
        <w:rPr>
          <w:rtl w:val="true"/>
        </w:rPr>
        <w:t xml:space="preserve">. </w:t>
      </w:r>
      <w:r>
        <w:rPr>
          <w:rtl w:val="true"/>
        </w:rPr>
        <w:t>המערער טען כי הליך שמיעת הראיות בעניינו היה הליך חריג ובלתי שגרתי</w:t>
      </w:r>
      <w:r>
        <w:rPr>
          <w:rtl w:val="true"/>
        </w:rPr>
        <w:t xml:space="preserve">, </w:t>
      </w:r>
      <w:r>
        <w:rPr>
          <w:rtl w:val="true"/>
        </w:rPr>
        <w:t>שכן בית המשפט נטל לעצמו את תפקידו של החוקר המשטרתי</w:t>
      </w:r>
      <w:r>
        <w:rPr>
          <w:rtl w:val="true"/>
        </w:rPr>
        <w:t xml:space="preserve">, </w:t>
      </w:r>
      <w:r>
        <w:rPr>
          <w:rtl w:val="true"/>
        </w:rPr>
        <w:t xml:space="preserve">כשהוא </w:t>
      </w:r>
      <w:r>
        <w:rPr>
          <w:rtl w:val="true"/>
        </w:rPr>
        <w:t>"</w:t>
      </w:r>
      <w:r>
        <w:rPr>
          <w:rtl w:val="true"/>
        </w:rPr>
        <w:t>גובה ראיות</w:t>
      </w:r>
      <w:r>
        <w:rPr>
          <w:rtl w:val="true"/>
        </w:rPr>
        <w:t xml:space="preserve">" </w:t>
      </w:r>
      <w:r>
        <w:rPr>
          <w:rtl w:val="true"/>
        </w:rPr>
        <w:t>בכדי לבסס קיומה של ראיה עיקרית ומשמעותית אשר שימשה כנדבך מרכזי לביסוס אשמתו</w:t>
      </w:r>
      <w:r>
        <w:rPr>
          <w:rtl w:val="true"/>
        </w:rPr>
        <w:t xml:space="preserve">. </w:t>
      </w:r>
      <w:r>
        <w:rPr>
          <w:rtl w:val="true"/>
        </w:rPr>
        <w:t>נטען כי לא היה מקום שבית המשפט יבסס את ממצאיו על טענה בדבר הודאה אשר לא נחקרה על ידי המשטרה והובאה לבית המשפט לראשונה בשלב שמיעת הראיות</w:t>
      </w:r>
      <w:r>
        <w:rPr>
          <w:rtl w:val="true"/>
        </w:rPr>
        <w:t xml:space="preserve">, </w:t>
      </w:r>
      <w:r>
        <w:rPr>
          <w:rtl w:val="true"/>
        </w:rPr>
        <w:t xml:space="preserve">וכן </w:t>
      </w:r>
      <w:r>
        <w:rPr>
          <w:rtl w:val="true"/>
        </w:rPr>
        <w:t>לא היה מקום לקבוע ממצאים לגבי נסיבות אותה הודאה</w:t>
      </w:r>
      <w:r>
        <w:rPr>
          <w:rtl w:val="true"/>
        </w:rPr>
        <w:t xml:space="preserve">. </w:t>
      </w:r>
      <w:r>
        <w:rPr>
          <w:rtl w:val="true"/>
        </w:rPr>
        <w:t>קביעתו של בית המשפט המחוזי בנוגע להודאה הנטענת פגעה באופן חמור בזכותו של המערער להליך הוגן</w:t>
      </w:r>
      <w:r>
        <w:rPr>
          <w:rtl w:val="true"/>
        </w:rPr>
        <w:t xml:space="preserve">. </w:t>
      </w:r>
      <w:r>
        <w:rPr>
          <w:rtl w:val="true"/>
        </w:rPr>
        <w:t>בית המשפט צריך היה לדחות את ניסיונה של המשיבה</w:t>
      </w:r>
      <w:r>
        <w:rPr>
          <w:rtl w:val="true"/>
        </w:rPr>
        <w:t xml:space="preserve">, </w:t>
      </w:r>
      <w:r>
        <w:rPr>
          <w:rtl w:val="true"/>
        </w:rPr>
        <w:t>שנעשה שלא כהוגן</w:t>
      </w:r>
      <w:r>
        <w:rPr>
          <w:rtl w:val="true"/>
        </w:rPr>
        <w:t xml:space="preserve">, </w:t>
      </w:r>
      <w:r>
        <w:rPr>
          <w:rtl w:val="true"/>
        </w:rPr>
        <w:t>להתבסס על הודאה זו</w:t>
      </w:r>
      <w:r>
        <w:rPr>
          <w:rtl w:val="true"/>
        </w:rPr>
        <w:t xml:space="preserve">, </w:t>
      </w:r>
      <w:r>
        <w:rPr>
          <w:rtl w:val="true"/>
        </w:rPr>
        <w:t>כפי שדחה את ניסיונה להחמיר את האישום שיוחס למערער באישום הראשון בהתחשב באותה הודאה</w:t>
      </w:r>
      <w:r>
        <w:rPr>
          <w:rtl w:val="true"/>
        </w:rPr>
        <w:t xml:space="preserve">. </w:t>
      </w:r>
      <w:r>
        <w:rPr>
          <w:rtl w:val="true"/>
        </w:rPr>
        <w:t>כשם שבית המשפט קבע כי הניסיון להחמיר את האישום פוגע קשות בקו ההגנה של המערער</w:t>
      </w:r>
      <w:r>
        <w:rPr>
          <w:rtl w:val="true"/>
        </w:rPr>
        <w:t xml:space="preserve">, </w:t>
      </w:r>
      <w:r>
        <w:rPr>
          <w:rtl w:val="true"/>
        </w:rPr>
        <w:t>היה עליו לקבוע כי גם לא ניתן להסתמך בדרך אחרת על סיפור ההודאה באופן הפוגע בהגנתו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על אף שלרשות המשיבה עמדה תקופה ארוכה של מספר חודשים מעת שנודע לה על סיפור ההודאה</w:t>
      </w:r>
      <w:r>
        <w:rPr>
          <w:rtl w:val="true"/>
        </w:rPr>
        <w:t xml:space="preserve">, </w:t>
      </w:r>
      <w:r>
        <w:rPr>
          <w:rtl w:val="true"/>
        </w:rPr>
        <w:t>במהלכה ניתן היה להורות על ביצוע חקירה משטרתית משלימה</w:t>
      </w:r>
      <w:r>
        <w:rPr>
          <w:rtl w:val="true"/>
        </w:rPr>
        <w:t xml:space="preserve">, </w:t>
      </w:r>
      <w:r>
        <w:rPr>
          <w:rtl w:val="true"/>
        </w:rPr>
        <w:t>הדבר לא נעשה</w:t>
      </w:r>
      <w:r>
        <w:rPr>
          <w:rtl w:val="true"/>
        </w:rPr>
        <w:t xml:space="preserve">. </w:t>
      </w:r>
      <w:r>
        <w:rPr>
          <w:rtl w:val="true"/>
        </w:rPr>
        <w:t>בהיעדר חקירה משטרתית בנוגע להתבטאויות הנטענות</w:t>
      </w:r>
      <w:r>
        <w:rPr>
          <w:rtl w:val="true"/>
        </w:rPr>
        <w:t xml:space="preserve">, </w:t>
      </w:r>
      <w:r>
        <w:rPr>
          <w:rtl w:val="true"/>
        </w:rPr>
        <w:t>היה על בית המשפט לקבוע כי משקלה של ה</w:t>
      </w:r>
      <w:r>
        <w:rPr>
          <w:rtl w:val="true"/>
        </w:rPr>
        <w:t>"</w:t>
      </w:r>
      <w:r>
        <w:rPr>
          <w:rtl w:val="true"/>
        </w:rPr>
        <w:t>הודאה</w:t>
      </w:r>
      <w:r>
        <w:rPr>
          <w:rtl w:val="true"/>
        </w:rPr>
        <w:t xml:space="preserve">" </w:t>
      </w:r>
      <w:r>
        <w:rPr>
          <w:rtl w:val="true"/>
        </w:rPr>
        <w:t>הוא אפסי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כן הצביע המערער על שגיאות רבות נוספות שנפלו לטענתו בהכרעת הדין</w:t>
      </w:r>
      <w:r>
        <w:rPr>
          <w:rtl w:val="true"/>
        </w:rPr>
        <w:t xml:space="preserve">, </w:t>
      </w:r>
      <w:r>
        <w:rPr>
          <w:rtl w:val="true"/>
        </w:rPr>
        <w:t>ובהן העובדה שבית המשפט נתן משקל משמעותי לעדותו של ב</w:t>
      </w:r>
      <w:r>
        <w:rPr>
          <w:rtl w:val="true"/>
        </w:rPr>
        <w:t xml:space="preserve">' </w:t>
      </w:r>
      <w:r>
        <w:rPr>
          <w:rtl w:val="true"/>
        </w:rPr>
        <w:t>שהובאה באמצעות חוקרת הילדים</w:t>
      </w:r>
      <w:r>
        <w:rPr>
          <w:rtl w:val="true"/>
        </w:rPr>
        <w:t xml:space="preserve">, </w:t>
      </w:r>
      <w:r>
        <w:rPr>
          <w:rtl w:val="true"/>
        </w:rPr>
        <w:t>ודחיית טיעוני המערער בקשר לעדותו ובכלל זה דחיית הטענה לזיהום חקירתי שאירע לטענת המערער בטרם שנמסרה עדותו של ב</w:t>
      </w:r>
      <w:r>
        <w:rPr>
          <w:rtl w:val="true"/>
        </w:rPr>
        <w:t xml:space="preserve">' </w:t>
      </w:r>
      <w:r>
        <w:rPr>
          <w:rtl w:val="true"/>
        </w:rPr>
        <w:t>לפני חוקרת הילדים</w:t>
      </w:r>
      <w:r>
        <w:rPr>
          <w:rtl w:val="true"/>
        </w:rPr>
        <w:t xml:space="preserve">. </w:t>
      </w:r>
      <w:r>
        <w:rPr>
          <w:rtl w:val="true"/>
        </w:rPr>
        <w:t>מהראיות ומהעדויות השונות עולה כי ב</w:t>
      </w:r>
      <w:r>
        <w:rPr>
          <w:rtl w:val="true"/>
        </w:rPr>
        <w:t xml:space="preserve">' </w:t>
      </w:r>
      <w:r>
        <w:rPr>
          <w:rtl w:val="true"/>
        </w:rPr>
        <w:t>נחשף לטענות בדבר מעורבות המערער באירועים מיניים עוד טרם חקירתו</w:t>
      </w:r>
      <w:r>
        <w:rPr>
          <w:rtl w:val="true"/>
        </w:rPr>
        <w:t xml:space="preserve">, </w:t>
      </w:r>
      <w:r>
        <w:rPr>
          <w:rtl w:val="true"/>
        </w:rPr>
        <w:t>וכן הובאו ראיות המצביעות על כך שב</w:t>
      </w:r>
      <w:r>
        <w:rPr>
          <w:rtl w:val="true"/>
        </w:rPr>
        <w:t xml:space="preserve">' </w:t>
      </w:r>
      <w:r>
        <w:rPr>
          <w:rtl w:val="true"/>
        </w:rPr>
        <w:t>צפה בסרטונים פורנוגרפיים עם אחרים בטרם האירוע המיוחס למערער</w:t>
      </w:r>
      <w:r>
        <w:rPr>
          <w:rtl w:val="true"/>
        </w:rPr>
        <w:t xml:space="preserve">. </w:t>
      </w:r>
      <w:r>
        <w:rPr>
          <w:rtl w:val="true"/>
        </w:rPr>
        <w:t>כן נטען כי שגה בית המשפט בכך שלא נתן משקל לטיעוני המערער בנוגע לשקריו של ב</w:t>
      </w:r>
      <w:r>
        <w:rPr>
          <w:rtl w:val="true"/>
        </w:rPr>
        <w:t xml:space="preserve">' </w:t>
      </w:r>
      <w:r>
        <w:rPr>
          <w:rtl w:val="true"/>
        </w:rPr>
        <w:t>ולטענות בקשר להתנהגות מינית חריגה מצדו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לא היה מקום לקבוע שקיימת בענייננו תוספת ראייתית מסוג סיוע בהתייחס לשקריו ולידיעתו של ב</w:t>
      </w:r>
      <w:r>
        <w:rPr>
          <w:rtl w:val="true"/>
        </w:rPr>
        <w:t xml:space="preserve">' </w:t>
      </w:r>
      <w:r>
        <w:rPr>
          <w:rtl w:val="true"/>
        </w:rPr>
        <w:t>פרטים מיוחדים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אין בכוחן של הסתירות שפורטו על ידי בית המשפט כדי ללמד על שקרים מצדו של המערער</w:t>
      </w:r>
      <w:r>
        <w:rPr>
          <w:rtl w:val="true"/>
        </w:rPr>
        <w:t xml:space="preserve">, </w:t>
      </w:r>
      <w:r>
        <w:rPr>
          <w:rtl w:val="true"/>
        </w:rPr>
        <w:t>ולכל היותר מדובר בסתירות בעניינים שאינם מהותיים</w:t>
      </w:r>
      <w:r>
        <w:rPr>
          <w:rtl w:val="true"/>
        </w:rPr>
        <w:t xml:space="preserve">. </w:t>
      </w:r>
      <w:r>
        <w:rPr>
          <w:rtl w:val="true"/>
        </w:rPr>
        <w:t>אין מדובר בשקרים ברורים וחד</w:t>
      </w:r>
      <w:r>
        <w:rPr>
          <w:rtl w:val="true"/>
        </w:rPr>
        <w:t>-</w:t>
      </w:r>
      <w:r>
        <w:rPr>
          <w:rtl w:val="true"/>
        </w:rPr>
        <w:t>משמעיים שנעשו בזדון או מתוך כוונה להעלים את האמת מפני בית המשפט</w:t>
      </w:r>
      <w:r>
        <w:rPr>
          <w:rtl w:val="true"/>
        </w:rPr>
        <w:t xml:space="preserve">. </w:t>
      </w:r>
      <w:r>
        <w:rPr>
          <w:rtl w:val="true"/>
        </w:rPr>
        <w:t xml:space="preserve">כך גם קביעתו של בית המשפט כי האופן בו תיאר הקטין את מעשה האוננות ופליטת הזרע עולה כדי </w:t>
      </w:r>
      <w:r>
        <w:rPr>
          <w:rtl w:val="true"/>
        </w:rPr>
        <w:t>"</w:t>
      </w:r>
      <w:r>
        <w:rPr>
          <w:rtl w:val="true"/>
        </w:rPr>
        <w:t>ידיעת פרטים מיוחדים</w:t>
      </w:r>
      <w:r>
        <w:rPr>
          <w:rtl w:val="true"/>
        </w:rPr>
        <w:t xml:space="preserve">" </w:t>
      </w:r>
      <w:r>
        <w:rPr>
          <w:rtl w:val="true"/>
        </w:rPr>
        <w:t>איננה יכולה לעמוד</w:t>
      </w:r>
      <w:r>
        <w:rPr>
          <w:rtl w:val="true"/>
        </w:rPr>
        <w:t xml:space="preserve">, </w:t>
      </w:r>
      <w:r>
        <w:rPr>
          <w:rtl w:val="true"/>
        </w:rPr>
        <w:t>בפרט שעה שלא ניתן לקבוע כקביעה עובדתית</w:t>
      </w:r>
      <w:r>
        <w:rPr>
          <w:rtl w:val="true"/>
        </w:rPr>
        <w:t xml:space="preserve">, </w:t>
      </w:r>
      <w:r>
        <w:rPr>
          <w:rtl w:val="true"/>
        </w:rPr>
        <w:t>ללא בסיס</w:t>
      </w:r>
      <w:r>
        <w:rPr>
          <w:rtl w:val="true"/>
        </w:rPr>
        <w:t xml:space="preserve">, </w:t>
      </w:r>
      <w:r>
        <w:rPr>
          <w:rtl w:val="true"/>
        </w:rPr>
        <w:t>כפי שקבע בית המשפט</w:t>
      </w:r>
      <w:r>
        <w:rPr>
          <w:rtl w:val="true"/>
        </w:rPr>
        <w:t xml:space="preserve">, </w:t>
      </w:r>
      <w:r>
        <w:rPr>
          <w:rtl w:val="true"/>
        </w:rPr>
        <w:t>כי הדגמת עניין זה על ידי ילד בגילו של ב</w:t>
      </w:r>
      <w:r>
        <w:rPr>
          <w:rtl w:val="true"/>
        </w:rPr>
        <w:t xml:space="preserve">', </w:t>
      </w:r>
      <w:r>
        <w:rPr>
          <w:rtl w:val="true"/>
        </w:rPr>
        <w:t>תתאפשר אם לא חווה אותו בעצמו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בערעורו על גזר הדין טען המערער כי העונש שהושת עליו מחמיר עמו יתר על המידה</w:t>
      </w:r>
      <w:r>
        <w:rPr>
          <w:rtl w:val="true"/>
        </w:rPr>
        <w:t xml:space="preserve">, </w:t>
      </w:r>
      <w:r>
        <w:rPr>
          <w:rtl w:val="true"/>
        </w:rPr>
        <w:t>בשים לב לגילו הצעיר בעת האירוע</w:t>
      </w:r>
      <w:r>
        <w:rPr>
          <w:rtl w:val="true"/>
        </w:rPr>
        <w:t xml:space="preserve">, </w:t>
      </w:r>
      <w:r>
        <w:rPr>
          <w:rtl w:val="true"/>
        </w:rPr>
        <w:t>לזמן המשמעותי שחלף מאז</w:t>
      </w:r>
      <w:r>
        <w:rPr>
          <w:rtl w:val="true"/>
        </w:rPr>
        <w:t xml:space="preserve">, </w:t>
      </w:r>
      <w:r>
        <w:rPr>
          <w:rtl w:val="true"/>
        </w:rPr>
        <w:t>לנסיבותיו האישיות הקשות כפי שעלה מתסקיר שירות המבחן וכן לעובדה שכתב האישום הוגש לאחר למעלה משנה אף כי חקירת האירוע לא הייתה כה מורכבת</w:t>
      </w:r>
      <w:r>
        <w:rPr>
          <w:rtl w:val="true"/>
        </w:rPr>
        <w:t xml:space="preserve">. </w:t>
      </w:r>
      <w:r>
        <w:rPr>
          <w:rtl w:val="true"/>
        </w:rPr>
        <w:t>כן לא ניתן משקל מספק לנסיבות מקלות נוספות ובהן כי חרף נסיבותיו האישיות והמשפחתיות המורכבות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הוא הצליח לסיים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מתפרנס בעצמו מעבודות שונות ואין לחובתו עבר פלילי כלשהו</w:t>
      </w:r>
      <w:r>
        <w:rPr>
          <w:rtl w:val="true"/>
        </w:rPr>
        <w:t xml:space="preserve">. </w:t>
      </w:r>
      <w:r>
        <w:rPr>
          <w:rtl w:val="true"/>
        </w:rPr>
        <w:t>כן נטען כי הקושי הצפוי למערער כתוצאה מריצוי עונש המאסר מתעצם נוכח העובדה שהוא כיום בגיר בן למעלה מ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כך שהוא צפוי לרצות את עונשו בבית סוהר שאינו מיועד לקטינים</w:t>
      </w:r>
      <w:r>
        <w:rPr>
          <w:rtl w:val="true"/>
        </w:rPr>
        <w:t xml:space="preserve">. </w:t>
      </w:r>
      <w:r>
        <w:rPr>
          <w:rtl w:val="true"/>
        </w:rPr>
        <w:t>כן צוין כי במקרים אחרים בנסיבות חמורות יותר</w:t>
      </w:r>
      <w:r>
        <w:rPr>
          <w:rtl w:val="true"/>
        </w:rPr>
        <w:t xml:space="preserve">, </w:t>
      </w:r>
      <w:r>
        <w:rPr>
          <w:rtl w:val="true"/>
        </w:rPr>
        <w:t>הושת עונש מקל יותר מהעונש החמור שהושת על המערער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טענה מנגד כי דינו של הערעור</w:t>
      </w:r>
      <w:r>
        <w:rPr>
          <w:rtl w:val="true"/>
        </w:rPr>
        <w:t xml:space="preserve">, </w:t>
      </w:r>
      <w:r>
        <w:rPr>
          <w:rtl w:val="true"/>
        </w:rPr>
        <w:t>על שני חלקיו</w:t>
      </w:r>
      <w:r>
        <w:rPr>
          <w:rtl w:val="true"/>
        </w:rPr>
        <w:t xml:space="preserve">, </w:t>
      </w:r>
      <w:r>
        <w:rPr>
          <w:rtl w:val="true"/>
        </w:rPr>
        <w:t>להידחות</w:t>
      </w:r>
      <w:r>
        <w:rPr>
          <w:rtl w:val="true"/>
        </w:rPr>
        <w:t xml:space="preserve">. </w:t>
      </w:r>
      <w:r>
        <w:rPr>
          <w:rtl w:val="true"/>
        </w:rPr>
        <w:t>הכרעת דינו של בית המשפט המחוזי כתובה באופן מפורט ומנומק כדבעי</w:t>
      </w:r>
      <w:r>
        <w:rPr>
          <w:rtl w:val="true"/>
        </w:rPr>
        <w:t xml:space="preserve">. </w:t>
      </w:r>
      <w:r>
        <w:rPr>
          <w:rtl w:val="true"/>
        </w:rPr>
        <w:t>היא נשענת בראש ובראשונה על ממצאי מהימנות ברורים וחד</w:t>
      </w:r>
      <w:r>
        <w:rPr>
          <w:rtl w:val="true"/>
        </w:rPr>
        <w:t>-</w:t>
      </w:r>
      <w:r>
        <w:rPr>
          <w:rtl w:val="true"/>
        </w:rPr>
        <w:t>משמעיים כאשר הלכה למעשה טענות המערער נסובות כלפי קביעות מהימנות ועובדה של בית המשפט</w:t>
      </w:r>
      <w:r>
        <w:rPr>
          <w:rtl w:val="true"/>
        </w:rPr>
        <w:t xml:space="preserve">. </w:t>
      </w:r>
      <w:r>
        <w:rPr>
          <w:rtl w:val="true"/>
        </w:rPr>
        <w:t>חלק ניכר מהודעת הערעור נסוב על סוגיית הודאתו של המערער באוזני דודותיו</w:t>
      </w:r>
      <w:r>
        <w:rPr>
          <w:rtl w:val="true"/>
        </w:rPr>
        <w:t xml:space="preserve">, </w:t>
      </w:r>
      <w:r>
        <w:rPr>
          <w:rtl w:val="true"/>
        </w:rPr>
        <w:t>אימהותיהן של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אף כי אין מדובר כלל בראיה מרכזית במארג הראיות נגד המערער</w:t>
      </w:r>
      <w:r>
        <w:rPr>
          <w:rtl w:val="true"/>
        </w:rPr>
        <w:t xml:space="preserve">. </w:t>
      </w:r>
      <w:r>
        <w:rPr>
          <w:rtl w:val="true"/>
        </w:rPr>
        <w:t>הראיה המרכזית היא עדותו של ב</w:t>
      </w:r>
      <w:r>
        <w:rPr>
          <w:rtl w:val="true"/>
        </w:rPr>
        <w:t xml:space="preserve">' </w:t>
      </w:r>
      <w:r>
        <w:rPr>
          <w:rtl w:val="true"/>
        </w:rPr>
        <w:t>לפני חוקרת הילדים בה סיפר על מעשיו של המערער</w:t>
      </w:r>
      <w:r>
        <w:rPr>
          <w:rtl w:val="true"/>
        </w:rPr>
        <w:t xml:space="preserve">, </w:t>
      </w:r>
      <w:r>
        <w:rPr>
          <w:rtl w:val="true"/>
        </w:rPr>
        <w:t>ואשר נמצאה מהימנה</w:t>
      </w:r>
      <w:r>
        <w:rPr>
          <w:rtl w:val="true"/>
        </w:rPr>
        <w:t xml:space="preserve">. </w:t>
      </w:r>
      <w:r>
        <w:rPr>
          <w:rtl w:val="true"/>
        </w:rPr>
        <w:t>מכיוון שב</w:t>
      </w:r>
      <w:r>
        <w:rPr>
          <w:rtl w:val="true"/>
        </w:rPr>
        <w:t xml:space="preserve">' </w:t>
      </w:r>
      <w:r>
        <w:rPr>
          <w:rtl w:val="true"/>
        </w:rPr>
        <w:t>לא העיד בעצמו בבית המשפט ודבריו הובאו באמצעות חוקרת הילדים</w:t>
      </w:r>
      <w:r>
        <w:rPr>
          <w:rtl w:val="true"/>
        </w:rPr>
        <w:t xml:space="preserve">, </w:t>
      </w:r>
      <w:r>
        <w:rPr>
          <w:rtl w:val="true"/>
        </w:rPr>
        <w:t>נדרשה תוספת ראייתית מסוג סיוע לשם הרשעה על בסיס עדות זו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בית המשפט מנה את הראיות העולות לכדי סיוע לעדותו של המתלונן</w:t>
      </w:r>
      <w:r>
        <w:rPr>
          <w:rtl w:val="true"/>
        </w:rPr>
        <w:t xml:space="preserve">, </w:t>
      </w:r>
      <w:r>
        <w:rPr>
          <w:rtl w:val="true"/>
        </w:rPr>
        <w:t>ובכך לא נפל כל פגם</w:t>
      </w:r>
      <w:r>
        <w:rPr>
          <w:rtl w:val="true"/>
        </w:rPr>
        <w:t xml:space="preserve">. </w:t>
      </w:r>
      <w:r>
        <w:rPr>
          <w:rtl w:val="true"/>
        </w:rPr>
        <w:t>בית המשפט התייחס בהקשר זה לשקריו של המערער</w:t>
      </w:r>
      <w:r>
        <w:rPr>
          <w:rtl w:val="true"/>
        </w:rPr>
        <w:t xml:space="preserve">, </w:t>
      </w:r>
      <w:r>
        <w:rPr>
          <w:rtl w:val="true"/>
        </w:rPr>
        <w:t>חלקם שקרים מהותיים שאינם זניחים כלל</w:t>
      </w:r>
      <w:r>
        <w:rPr>
          <w:rtl w:val="true"/>
        </w:rPr>
        <w:t xml:space="preserve">. </w:t>
      </w:r>
      <w:r>
        <w:rPr>
          <w:rtl w:val="true"/>
        </w:rPr>
        <w:t>כך גם עמד בית המשפט על ידיעתו של ב</w:t>
      </w:r>
      <w:r>
        <w:rPr>
          <w:rtl w:val="true"/>
        </w:rPr>
        <w:t xml:space="preserve">' </w:t>
      </w:r>
      <w:r>
        <w:rPr>
          <w:rtl w:val="true"/>
        </w:rPr>
        <w:t>על פרטים מיוחדים</w:t>
      </w:r>
      <w:r>
        <w:rPr>
          <w:rtl w:val="true"/>
        </w:rPr>
        <w:t xml:space="preserve">, </w:t>
      </w:r>
      <w:r>
        <w:rPr>
          <w:rtl w:val="true"/>
        </w:rPr>
        <w:t>העולה כדי סיוע</w:t>
      </w:r>
      <w:r>
        <w:rPr>
          <w:rtl w:val="true"/>
        </w:rPr>
        <w:t xml:space="preserve">, </w:t>
      </w:r>
      <w:r>
        <w:rPr>
          <w:rtl w:val="true"/>
        </w:rPr>
        <w:t>כאשר תיאורו את רגע יציאת הזרע מלמד על הפנמה של אקט מיני שלא סביר שיכול היה להשיג כתוצאה מצפייה בסרטים בלבד</w:t>
      </w:r>
      <w:r>
        <w:rPr>
          <w:rtl w:val="true"/>
        </w:rPr>
        <w:t xml:space="preserve">. </w:t>
      </w:r>
      <w:r>
        <w:rPr>
          <w:rtl w:val="true"/>
        </w:rPr>
        <w:t>על כך יש להוסיף כי גם מצבו הנפשי של ב</w:t>
      </w:r>
      <w:r>
        <w:rPr>
          <w:rtl w:val="true"/>
        </w:rPr>
        <w:t xml:space="preserve">' </w:t>
      </w:r>
      <w:r>
        <w:rPr>
          <w:rtl w:val="true"/>
        </w:rPr>
        <w:t>בעת סיפור המעשים</w:t>
      </w:r>
      <w:r>
        <w:rPr>
          <w:rtl w:val="true"/>
        </w:rPr>
        <w:t xml:space="preserve">, </w:t>
      </w:r>
      <w:r>
        <w:rPr>
          <w:rtl w:val="true"/>
        </w:rPr>
        <w:t>כפי שמשתקף מעדותה של אמו</w:t>
      </w:r>
      <w:r>
        <w:rPr>
          <w:rtl w:val="true"/>
        </w:rPr>
        <w:t xml:space="preserve">, </w:t>
      </w:r>
      <w:r>
        <w:rPr>
          <w:rtl w:val="true"/>
        </w:rPr>
        <w:t>יכול לשמש ראיית סיוע התומכת בעדותו לפני חוקרת הילדים</w:t>
      </w:r>
      <w:r>
        <w:rPr>
          <w:rtl w:val="true"/>
        </w:rPr>
        <w:t xml:space="preserve">. </w:t>
      </w:r>
      <w:r>
        <w:rPr>
          <w:rtl w:val="true"/>
        </w:rPr>
        <w:t>שכן מצב נפשי של קרבן עבירות מין משמש ראיה עצמאית אשר יש בה כדי לשמש סיוע התומך בגרסתו ולהעיד על אמיתותה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לכל ראיות אלה המשמשות סיוע התומך בעדותו של ב</w:t>
      </w:r>
      <w:r>
        <w:rPr>
          <w:rtl w:val="true"/>
        </w:rPr>
        <w:t xml:space="preserve">' </w:t>
      </w:r>
      <w:r>
        <w:rPr>
          <w:rtl w:val="true"/>
        </w:rPr>
        <w:t>לפני חוקרת הילדים</w:t>
      </w:r>
      <w:r>
        <w:rPr>
          <w:rtl w:val="true"/>
        </w:rPr>
        <w:t xml:space="preserve">, </w:t>
      </w:r>
      <w:r>
        <w:rPr>
          <w:rtl w:val="true"/>
        </w:rPr>
        <w:t>הצטרפו גם דבריו של המערער לדודותיו</w:t>
      </w:r>
      <w:r>
        <w:rPr>
          <w:rtl w:val="true"/>
        </w:rPr>
        <w:t xml:space="preserve">, </w:t>
      </w:r>
      <w:r>
        <w:rPr>
          <w:rtl w:val="true"/>
        </w:rPr>
        <w:t>עליהם נסוב חלק ניכר מטענותיו בערעור</w:t>
      </w:r>
      <w:r>
        <w:rPr>
          <w:rtl w:val="true"/>
        </w:rPr>
        <w:t xml:space="preserve">. </w:t>
      </w:r>
      <w:r>
        <w:rPr>
          <w:rtl w:val="true"/>
        </w:rPr>
        <w:t xml:space="preserve">זאת אף כי מדובר בראיה שבית המשפט קבע לגביה כי משקלה </w:t>
      </w:r>
      <w:r>
        <w:rPr>
          <w:rtl w:val="true"/>
        </w:rPr>
        <w:t>"</w:t>
      </w:r>
      <w:r>
        <w:rPr>
          <w:rtl w:val="true"/>
        </w:rPr>
        <w:t>אינו מירבי</w:t>
      </w:r>
      <w:r>
        <w:rPr>
          <w:rtl w:val="true"/>
        </w:rPr>
        <w:t xml:space="preserve">", </w:t>
      </w:r>
      <w:r>
        <w:rPr>
          <w:rtl w:val="true"/>
        </w:rPr>
        <w:t>ומקומה במארג הראיות הכולל נגד המערער אינו עיקרי ומרכזי כלל</w:t>
      </w:r>
      <w:r>
        <w:rPr>
          <w:rtl w:val="true"/>
        </w:rPr>
        <w:t xml:space="preserve">. </w:t>
      </w:r>
      <w:r>
        <w:rPr>
          <w:rtl w:val="true"/>
        </w:rPr>
        <w:t>בכל מקרה</w:t>
      </w:r>
      <w:r>
        <w:rPr>
          <w:rtl w:val="true"/>
        </w:rPr>
        <w:t xml:space="preserve">, </w:t>
      </w:r>
      <w:r>
        <w:rPr>
          <w:rtl w:val="true"/>
        </w:rPr>
        <w:t>קביעת בית המשפט המחוזי כי המערער הודה בפני דודותיו בביצוע המעשים היא קביעה מובהקת של מהימנות ועובדה שאין מקום להתערב בה</w:t>
      </w:r>
      <w:r>
        <w:rPr>
          <w:rtl w:val="true"/>
        </w:rPr>
        <w:t xml:space="preserve">. </w:t>
      </w:r>
      <w:r>
        <w:rPr>
          <w:rtl w:val="true"/>
        </w:rPr>
        <w:t>יש גם לדחות את טענות המערער בקשר לפגיעה בהגנתו בשל השתלשלות העניינים הנוגעת לגילוי המידע בעניין סיפור ההודאה</w:t>
      </w:r>
      <w:r>
        <w:rPr>
          <w:rtl w:val="true"/>
        </w:rPr>
        <w:t xml:space="preserve">. </w:t>
      </w:r>
      <w:r>
        <w:rPr>
          <w:rtl w:val="true"/>
        </w:rPr>
        <w:t>המערער לא הצביע כיצד נפגעה הגנתו בפועל</w:t>
      </w:r>
      <w:r>
        <w:rPr>
          <w:rtl w:val="true"/>
        </w:rPr>
        <w:t xml:space="preserve">, </w:t>
      </w:r>
      <w:r>
        <w:rPr>
          <w:rtl w:val="true"/>
        </w:rPr>
        <w:t>שכן בא</w:t>
      </w:r>
      <w:r>
        <w:rPr>
          <w:rtl w:val="true"/>
        </w:rPr>
        <w:t>-</w:t>
      </w:r>
      <w:r>
        <w:rPr>
          <w:rtl w:val="true"/>
        </w:rPr>
        <w:t>כוחו חקר את אימהותיהן של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בחקירה נגדית בעניין הדברים שמסרו על סיפור ההודאה ולא העלה כל טענה כי יש לדחות את מועד עדותן לצורך היערכות לחקירתן</w:t>
      </w:r>
      <w:r>
        <w:rPr>
          <w:rtl w:val="true"/>
        </w:rPr>
        <w:t xml:space="preserve">. </w:t>
      </w:r>
      <w:r>
        <w:rPr>
          <w:rtl w:val="true"/>
        </w:rPr>
        <w:t>להגנה גם היה די זמן להיערך לכך נוכח העובדה שעדותה של ק</w:t>
      </w:r>
      <w:r>
        <w:rPr>
          <w:rtl w:val="true"/>
        </w:rPr>
        <w:t xml:space="preserve">' </w:t>
      </w:r>
      <w:r>
        <w:rPr>
          <w:rtl w:val="true"/>
        </w:rPr>
        <w:t>נשמעה יותר מארבעה חודשים לאחר שנשמעה עדותה של ס</w:t>
      </w:r>
      <w:r>
        <w:rPr>
          <w:rtl w:val="true"/>
        </w:rPr>
        <w:t xml:space="preserve">' </w:t>
      </w:r>
      <w:r>
        <w:rPr>
          <w:rtl w:val="true"/>
        </w:rPr>
        <w:t>שהזכירה לראשונה את סיפור ההודאה</w:t>
      </w:r>
      <w:r>
        <w:rPr>
          <w:rtl w:val="true"/>
        </w:rPr>
        <w:t xml:space="preserve">. </w:t>
      </w:r>
      <w:r>
        <w:rPr>
          <w:rtl w:val="true"/>
        </w:rPr>
        <w:t>מה גם</w:t>
      </w:r>
      <w:r>
        <w:rPr>
          <w:rtl w:val="true"/>
        </w:rPr>
        <w:t xml:space="preserve">, </w:t>
      </w:r>
      <w:r>
        <w:rPr>
          <w:rtl w:val="true"/>
        </w:rPr>
        <w:t>בהינתן העובדה שהמערער אישר בעצמו את עצם קיום האירוע עליו העידו ס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', </w:t>
      </w:r>
      <w:r>
        <w:rPr>
          <w:rtl w:val="true"/>
        </w:rPr>
        <w:t>והמחלוקת בהקשר זה צומצמה אך ורק לשאלה האם הוא הודה במעשיו אם לאו</w:t>
      </w:r>
      <w:r>
        <w:rPr>
          <w:rtl w:val="true"/>
        </w:rPr>
        <w:t xml:space="preserve">, </w:t>
      </w:r>
      <w:r>
        <w:rPr>
          <w:rtl w:val="true"/>
        </w:rPr>
        <w:t>קשה לתת משקל לטענה בדבר פגיעה בהגנתו</w:t>
      </w:r>
      <w:r>
        <w:rPr>
          <w:rtl w:val="true"/>
        </w:rPr>
        <w:t xml:space="preserve">. </w:t>
      </w:r>
      <w:r>
        <w:rPr>
          <w:rtl w:val="true"/>
        </w:rPr>
        <w:t>כך גם ביחס לטרוניית המערער כי לא נערכה השלמת חקירה לאחר שס</w:t>
      </w:r>
      <w:r>
        <w:rPr>
          <w:rtl w:val="true"/>
        </w:rPr>
        <w:t xml:space="preserve">' </w:t>
      </w:r>
      <w:r>
        <w:rPr>
          <w:rtl w:val="true"/>
        </w:rPr>
        <w:t>העלתה לראשונה את סיפור ההודאה</w:t>
      </w:r>
      <w:r>
        <w:rPr>
          <w:rtl w:val="true"/>
        </w:rPr>
        <w:t xml:space="preserve">, </w:t>
      </w:r>
      <w:r>
        <w:rPr>
          <w:rtl w:val="true"/>
        </w:rPr>
        <w:t>לא הראה המערער כיצד הדבר פגע בהגנתו</w:t>
      </w:r>
      <w:r>
        <w:rPr>
          <w:rtl w:val="true"/>
        </w:rPr>
        <w:t xml:space="preserve">. </w:t>
      </w:r>
      <w:r>
        <w:rPr>
          <w:rtl w:val="true"/>
        </w:rPr>
        <w:t>וגם הטענות בקשר להתנהלות בית המשפט במהלך עדות אביו של ב</w:t>
      </w:r>
      <w:r>
        <w:rPr>
          <w:rtl w:val="true"/>
        </w:rPr>
        <w:t xml:space="preserve">', </w:t>
      </w:r>
      <w:r>
        <w:rPr>
          <w:rtl w:val="true"/>
        </w:rPr>
        <w:t>בכך שהעלה את נושא הגעת הדודות לביתו להתעמת עם המערער</w:t>
      </w:r>
      <w:r>
        <w:rPr>
          <w:rtl w:val="true"/>
        </w:rPr>
        <w:t xml:space="preserve">, </w:t>
      </w:r>
      <w:r>
        <w:rPr>
          <w:rtl w:val="true"/>
        </w:rPr>
        <w:t>דינן להידחות</w:t>
      </w:r>
      <w:r>
        <w:rPr>
          <w:rtl w:val="true"/>
        </w:rPr>
        <w:t xml:space="preserve">. </w:t>
      </w:r>
      <w:r>
        <w:rPr>
          <w:rtl w:val="true"/>
        </w:rPr>
        <w:t>אין גם כל ממש בטענות בעניין קבילותה ומשקלה של התוודות המערער בפני אימהותיהן של א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'. </w:t>
      </w:r>
      <w:r>
        <w:rPr>
          <w:rtl w:val="true"/>
        </w:rPr>
        <w:t>נסיבות המפגש אינן מעלות חשש שרצונו החופשי של המערער נפגע</w:t>
      </w:r>
      <w:r>
        <w:rPr>
          <w:rtl w:val="true"/>
        </w:rPr>
        <w:t xml:space="preserve">, </w:t>
      </w:r>
      <w:r>
        <w:rPr>
          <w:rtl w:val="true"/>
        </w:rPr>
        <w:t>ואין מדובר בראיה שהתקבלה שלא כדין</w:t>
      </w:r>
      <w:r>
        <w:rPr>
          <w:rtl w:val="true"/>
        </w:rPr>
        <w:t xml:space="preserve">. </w:t>
      </w:r>
      <w:r>
        <w:rPr>
          <w:rtl w:val="true"/>
        </w:rPr>
        <w:t>בית המשפט גם נתן דעתו לנסיבות מתן ההודאה</w:t>
      </w:r>
      <w:r>
        <w:rPr>
          <w:rtl w:val="true"/>
        </w:rPr>
        <w:t xml:space="preserve">, </w:t>
      </w:r>
      <w:r>
        <w:rPr>
          <w:rtl w:val="true"/>
        </w:rPr>
        <w:t>לעובדת היות המערער קטין באותה עת וגם להתרשמותו מאופיו וממבנה אישיותו של המערער</w:t>
      </w:r>
      <w:r>
        <w:rPr>
          <w:rtl w:val="true"/>
        </w:rPr>
        <w:t xml:space="preserve">, </w:t>
      </w:r>
      <w:r>
        <w:rPr>
          <w:rtl w:val="true"/>
        </w:rPr>
        <w:t>בקבעו באופן זהיר כי המשקל שיש לתת להודאה הוא מוגבל</w:t>
      </w:r>
      <w:r>
        <w:rPr>
          <w:rtl w:val="true"/>
        </w:rPr>
        <w:t xml:space="preserve">, </w:t>
      </w:r>
      <w:r>
        <w:rPr>
          <w:rtl w:val="true"/>
        </w:rPr>
        <w:t>הגם כי אין מדובר במשקל אפסי או נמוך</w:t>
      </w:r>
      <w:r>
        <w:rPr>
          <w:rtl w:val="true"/>
        </w:rPr>
        <w:t xml:space="preserve">. </w:t>
      </w:r>
      <w:r>
        <w:rPr>
          <w:rtl w:val="true"/>
        </w:rPr>
        <w:t>קביעה זו מדגישה כי ניתן משקל מתאים לשיקולים השונים באופן שאינו מצדיק התערבות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 טענה גם כי אין הצדקה להתערב בגזר דינו של בית המשפט המחוזי אשר שקל את כלל השיקולים הרלוונטיים לעניין</w:t>
      </w:r>
      <w:r>
        <w:rPr>
          <w:rtl w:val="true"/>
        </w:rPr>
        <w:t xml:space="preserve">, </w:t>
      </w:r>
      <w:r>
        <w:rPr>
          <w:rtl w:val="true"/>
        </w:rPr>
        <w:t>ובכלל זה את אופי המעשים בהם הורשע המערער והנזק שנגרם לב</w:t>
      </w:r>
      <w:r>
        <w:rPr>
          <w:rtl w:val="true"/>
        </w:rPr>
        <w:t xml:space="preserve">'. </w:t>
      </w:r>
      <w:r>
        <w:rPr>
          <w:rtl w:val="true"/>
        </w:rPr>
        <w:t>כן נבחנו השיקולים לקולא</w:t>
      </w:r>
      <w:r>
        <w:rPr>
          <w:rtl w:val="true"/>
        </w:rPr>
        <w:t xml:space="preserve">, </w:t>
      </w:r>
      <w:r>
        <w:rPr>
          <w:rtl w:val="true"/>
        </w:rPr>
        <w:t>ובהם בין היתר העובדה שהמערער היה קטין בעת ביצוע המעשים ונסיבותיו האישיות</w:t>
      </w:r>
      <w:r>
        <w:rPr>
          <w:rtl w:val="true"/>
        </w:rPr>
        <w:t xml:space="preserve">. </w:t>
      </w:r>
      <w:r>
        <w:rPr>
          <w:rtl w:val="true"/>
        </w:rPr>
        <w:t>העונש שהושת הוא עונש ראוי המאזן נכונה את השיקולים השונים</w:t>
      </w:r>
      <w:r>
        <w:rPr>
          <w:rtl w:val="true"/>
        </w:rPr>
        <w:t xml:space="preserve">, </w:t>
      </w:r>
      <w:r>
        <w:rPr>
          <w:rtl w:val="true"/>
        </w:rPr>
        <w:t>וודאי שאינו סוטה באופן ממשי ממדיניות הענישה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ראשית יש לחזור על הכלל הבסיסי לפיו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דרכה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להתערב</w:t>
      </w:r>
      <w:r>
        <w:rPr>
          <w:rtl w:val="true"/>
        </w:rPr>
        <w:t xml:space="preserve"> </w:t>
      </w:r>
      <w:r>
        <w:rPr>
          <w:rtl w:val="true"/>
        </w:rPr>
        <w:t>בממצאי</w:t>
      </w:r>
      <w:r>
        <w:rPr>
          <w:rtl w:val="true"/>
        </w:rPr>
        <w:t xml:space="preserve"> </w:t>
      </w:r>
      <w:r>
        <w:rPr>
          <w:rtl w:val="true"/>
        </w:rPr>
        <w:t>עובדה</w:t>
      </w:r>
      <w:r>
        <w:rPr>
          <w:rtl w:val="true"/>
        </w:rPr>
        <w:t xml:space="preserve"> </w:t>
      </w:r>
      <w:r>
        <w:rPr>
          <w:rtl w:val="true"/>
        </w:rPr>
        <w:t>וקביעות</w:t>
      </w:r>
      <w:r>
        <w:rPr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 </w:t>
      </w:r>
      <w:r>
        <w:rPr>
          <w:rtl w:val="true"/>
        </w:rPr>
        <w:t>שקבעה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 </w:t>
      </w:r>
      <w:r>
        <w:rPr>
          <w:rtl w:val="true"/>
        </w:rPr>
        <w:t>התרשמה</w:t>
      </w:r>
      <w:r>
        <w:rPr>
          <w:rtl w:val="true"/>
        </w:rPr>
        <w:t xml:space="preserve"> </w:t>
      </w:r>
      <w:r>
        <w:rPr>
          <w:rtl w:val="true"/>
        </w:rPr>
        <w:t>באופן</w:t>
      </w:r>
      <w:r>
        <w:rPr>
          <w:rtl w:val="true"/>
        </w:rPr>
        <w:t xml:space="preserve"> </w:t>
      </w:r>
      <w:r>
        <w:rPr>
          <w:rtl w:val="true"/>
        </w:rPr>
        <w:t>בלתי</w:t>
      </w:r>
      <w:r>
        <w:rPr>
          <w:rtl w:val="true"/>
        </w:rPr>
        <w:t xml:space="preserve"> </w:t>
      </w:r>
      <w:r>
        <w:rPr>
          <w:rtl w:val="true"/>
        </w:rPr>
        <w:t>אמצעי</w:t>
      </w:r>
      <w:r>
        <w:rPr>
          <w:rtl w:val="true"/>
        </w:rPr>
        <w:t xml:space="preserve"> </w:t>
      </w:r>
      <w:r>
        <w:rPr>
          <w:rtl w:val="true"/>
        </w:rPr>
        <w:t>מהעדויות</w:t>
      </w:r>
      <w:r>
        <w:rPr>
          <w:rtl w:val="true"/>
        </w:rPr>
        <w:t xml:space="preserve"> </w:t>
      </w:r>
      <w:r>
        <w:rPr>
          <w:rtl w:val="true"/>
        </w:rPr>
        <w:t>שנשמעו</w:t>
      </w:r>
      <w:r>
        <w:rPr>
          <w:rtl w:val="true"/>
        </w:rPr>
        <w:t xml:space="preserve"> </w:t>
      </w:r>
      <w:r>
        <w:rPr>
          <w:rtl w:val="true"/>
        </w:rPr>
        <w:t>בפניה</w:t>
      </w:r>
      <w:r>
        <w:rPr>
          <w:rtl w:val="true"/>
        </w:rPr>
        <w:t xml:space="preserve"> </w:t>
      </w:r>
      <w:r>
        <w:rPr>
          <w:rtl w:val="true"/>
        </w:rPr>
        <w:t>ומהשתלבותן</w:t>
      </w:r>
      <w:r>
        <w:rPr>
          <w:rtl w:val="true"/>
        </w:rPr>
        <w:t xml:space="preserve"> </w:t>
      </w:r>
      <w:r>
        <w:rPr>
          <w:rtl w:val="true"/>
        </w:rPr>
        <w:t>במארג</w:t>
      </w:r>
      <w:r>
        <w:rPr>
          <w:rtl w:val="true"/>
        </w:rPr>
        <w:t xml:space="preserve"> </w:t>
      </w:r>
      <w:r>
        <w:rPr>
          <w:rtl w:val="true"/>
        </w:rPr>
        <w:t>הראייתי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 מיני רבים</w:t>
      </w:r>
      <w:r>
        <w:rPr>
          <w:rtl w:val="true"/>
        </w:rPr>
        <w:t xml:space="preserve">: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6637/22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בגיו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8.1.2024</w:t>
      </w:r>
      <w:r>
        <w:rPr>
          <w:rtl w:val="true"/>
        </w:rPr>
        <w:t xml:space="preserve">);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5914/22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רומי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24.4.2023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8577/22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יפימוב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21.4.2024</w:t>
      </w:r>
      <w:r>
        <w:rPr>
          <w:rtl w:val="true"/>
        </w:rPr>
        <w:t xml:space="preserve">)). </w:t>
      </w:r>
      <w:r>
        <w:rPr>
          <w:rtl w:val="true"/>
        </w:rPr>
        <w:t>כלל זה שריר וקיים גם במקרים של עבירות מין ככלל</w:t>
      </w:r>
      <w:r>
        <w:rPr>
          <w:rtl w:val="true"/>
        </w:rPr>
        <w:t xml:space="preserve">, </w:t>
      </w:r>
      <w:r>
        <w:rPr>
          <w:rtl w:val="true"/>
        </w:rPr>
        <w:t>ובעבירות מין במשפחה הנעשות מטבע הדברים בחדרי חדרים הנסתרים מן העין</w:t>
      </w:r>
      <w:r>
        <w:rPr>
          <w:rtl w:val="true"/>
        </w:rPr>
        <w:t xml:space="preserve">, </w:t>
      </w:r>
      <w:r>
        <w:rPr>
          <w:rtl w:val="true"/>
        </w:rPr>
        <w:t xml:space="preserve">בפרט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8120/19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וייספיש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2.12.2021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5167/22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26.1.2023</w:t>
      </w:r>
      <w:r>
        <w:rPr>
          <w:rtl w:val="true"/>
        </w:rPr>
        <w:t xml:space="preserve">); </w:t>
      </w:r>
      <w:hyperlink r:id="rId4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2783/22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דאבוש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12.5.2023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דאבוש</w:t>
      </w:r>
      <w:r>
        <w:rPr>
          <w:rtl w:val="true"/>
        </w:rPr>
        <w:t xml:space="preserve">); 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6722/22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10.9.2023</w:t>
      </w:r>
      <w:r>
        <w:rPr>
          <w:rtl w:val="true"/>
        </w:rPr>
        <w:t xml:space="preserve">)); </w:t>
      </w:r>
      <w:r>
        <w:rPr>
          <w:rtl w:val="true"/>
        </w:rPr>
        <w:t xml:space="preserve">הגם כי בפסיקה נשמעו עמדות שונות ביחס לאופן יישומו של הכלל האמור כשמדובר בבחינת מהימנותו של מתלונן בעבירות מין </w:t>
      </w:r>
      <w:r>
        <w:rPr>
          <w:rtl w:val="true"/>
        </w:rPr>
        <w:t>(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3250/10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סה</w:t>
      </w:r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482</w:t>
      </w:r>
      <w:r>
        <w:rPr>
          <w:rtl w:val="true"/>
        </w:rPr>
        <w:t xml:space="preserve">, </w:t>
      </w:r>
      <w:r>
        <w:rPr/>
        <w:t>539-538</w:t>
      </w:r>
      <w:r>
        <w:rPr>
          <w:rtl w:val="true"/>
        </w:rPr>
        <w:t xml:space="preserve"> (</w:t>
      </w:r>
      <w:r>
        <w:rPr/>
        <w:t>2012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1139/23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34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13.3.2024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51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1139/23</w:t>
        </w:r>
      </w:hyperlink>
      <w:r>
        <w:rPr>
          <w:rtl w:val="true"/>
        </w:rPr>
        <w:t xml:space="preserve">); </w:t>
      </w:r>
      <w:hyperlink r:id="rId5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814/12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סויסה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25.10.2012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 </w:t>
      </w:r>
      <w:r>
        <w:rPr>
          <w:rtl w:val="true"/>
        </w:rPr>
        <w:t>והעדתו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נאסרה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חוקר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עדות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נשמעת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מתועדת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החוקר</w:t>
      </w:r>
      <w:r>
        <w:rPr>
          <w:rtl w:val="true"/>
        </w:rPr>
        <w:t xml:space="preserve">. </w:t>
      </w:r>
      <w:r>
        <w:rPr>
          <w:rtl w:val="true"/>
        </w:rPr>
        <w:t>במצבים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ההתערבות</w:t>
      </w:r>
      <w:r>
        <w:rPr>
          <w:rtl w:val="true"/>
        </w:rPr>
        <w:t xml:space="preserve"> </w:t>
      </w:r>
      <w:r>
        <w:rPr>
          <w:rtl w:val="true"/>
        </w:rPr>
        <w:t>אינו בעל אותה עוצמה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שכן בכל הנוגע ל</w:t>
      </w:r>
      <w:r>
        <w:rPr>
          <w:rtl w:val="true"/>
        </w:rPr>
        <w:t>קביעות</w:t>
      </w:r>
      <w:r>
        <w:rPr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 </w:t>
      </w:r>
      <w:r>
        <w:rPr>
          <w:rtl w:val="true"/>
        </w:rPr>
        <w:t>המבוססות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צפייה</w:t>
      </w:r>
      <w:r>
        <w:rPr>
          <w:rtl w:val="true"/>
        </w:rPr>
        <w:t xml:space="preserve"> </w:t>
      </w:r>
      <w:r>
        <w:rPr>
          <w:rtl w:val="true"/>
        </w:rPr>
        <w:t>בתיעוד</w:t>
      </w:r>
      <w:r>
        <w:rPr>
          <w:rtl w:val="true"/>
        </w:rPr>
        <w:t xml:space="preserve"> </w:t>
      </w:r>
      <w:r>
        <w:rPr>
          <w:rtl w:val="true"/>
        </w:rPr>
        <w:t>חקירת</w:t>
      </w:r>
      <w:r>
        <w:rPr>
          <w:rtl w:val="true"/>
        </w:rPr>
        <w:t xml:space="preserve"> </w:t>
      </w:r>
      <w:r>
        <w:rPr>
          <w:rtl w:val="true"/>
        </w:rPr>
        <w:t>חוקר</w:t>
      </w:r>
      <w:r>
        <w:rPr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לערכאה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יתרון</w:t>
      </w:r>
      <w:r>
        <w:rPr>
          <w:rtl w:val="true"/>
        </w:rPr>
        <w:t xml:space="preserve"> </w:t>
      </w:r>
      <w:r>
        <w:rPr>
          <w:rtl w:val="true"/>
        </w:rPr>
        <w:t>מובנה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פני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בהערכת</w:t>
      </w:r>
      <w:r>
        <w:rPr>
          <w:rtl w:val="true"/>
        </w:rPr>
        <w:t xml:space="preserve"> </w:t>
      </w:r>
      <w:r>
        <w:rPr>
          <w:rtl w:val="true"/>
        </w:rPr>
        <w:t>טיב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2973/21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13.1.2022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5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2973/21</w:t>
        </w:r>
      </w:hyperlink>
      <w:r>
        <w:rPr>
          <w:rtl w:val="true"/>
        </w:rPr>
        <w:t>)</w:t>
      </w:r>
      <w:r>
        <w:rPr>
          <w:rtl w:val="true"/>
        </w:rPr>
        <w:t xml:space="preserve">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7508/10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27.8.2012</w:t>
      </w:r>
      <w:r>
        <w:rPr>
          <w:rtl w:val="true"/>
        </w:rPr>
        <w:t xml:space="preserve">)).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אין זו חזות הכל</w:t>
      </w:r>
      <w:r>
        <w:rPr>
          <w:rtl w:val="true"/>
        </w:rPr>
        <w:t xml:space="preserve">. </w:t>
      </w:r>
      <w:r>
        <w:rPr>
          <w:rtl w:val="true"/>
        </w:rPr>
        <w:t>ההכרעה</w:t>
      </w:r>
      <w:r>
        <w:rPr>
          <w:rtl w:val="true"/>
        </w:rPr>
        <w:t xml:space="preserve"> </w:t>
      </w:r>
      <w:r>
        <w:rPr>
          <w:rtl w:val="true"/>
        </w:rPr>
        <w:t>בטענות</w:t>
      </w:r>
      <w:r>
        <w:rPr>
          <w:rtl w:val="true"/>
        </w:rPr>
        <w:t xml:space="preserve"> </w:t>
      </w:r>
      <w:r>
        <w:rPr>
          <w:rtl w:val="true"/>
        </w:rPr>
        <w:t xml:space="preserve">שמעלה נאשם </w:t>
      </w:r>
      <w:r>
        <w:rPr>
          <w:rtl w:val="true"/>
        </w:rPr>
        <w:t>כלפי</w:t>
      </w:r>
      <w:r>
        <w:rPr>
          <w:rtl w:val="true"/>
        </w:rPr>
        <w:t xml:space="preserve"> </w:t>
      </w:r>
      <w:r>
        <w:rPr>
          <w:rtl w:val="true"/>
        </w:rPr>
        <w:t>קביעות</w:t>
      </w:r>
      <w:r>
        <w:rPr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 </w:t>
      </w:r>
      <w:r>
        <w:rPr>
          <w:rtl w:val="true"/>
        </w:rPr>
        <w:t>וממצאי</w:t>
      </w:r>
      <w:r>
        <w:rPr>
          <w:rtl w:val="true"/>
        </w:rPr>
        <w:t xml:space="preserve"> </w:t>
      </w:r>
      <w:r>
        <w:rPr>
          <w:rtl w:val="true"/>
        </w:rPr>
        <w:t>המהימנות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 xml:space="preserve">הערכאה הדיונית נעשית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מארג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בכללותו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ובתוך כך על בסיס התרשמותו הישירה של בית המשפט מעדויות נוספות שבראשן עדותו של חוקר הילדים עצמו</w:t>
      </w:r>
      <w:r>
        <w:rPr>
          <w:rtl w:val="true"/>
        </w:rPr>
        <w:t xml:space="preserve">, </w:t>
      </w:r>
      <w:r>
        <w:rPr>
          <w:rtl w:val="true"/>
        </w:rPr>
        <w:t xml:space="preserve">כמו גם עדות הנאשם ועדותם של גורמים נוספים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1697/20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שורדיקר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24.8.2021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שורדיקר</w:t>
      </w:r>
      <w:r>
        <w:rPr>
          <w:rtl w:val="true"/>
        </w:rPr>
        <w:t xml:space="preserve">);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2480/09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פדלון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7.9.2011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אף אם כוחו של כלל אי</w:t>
      </w:r>
      <w:r>
        <w:rPr>
          <w:rtl w:val="true"/>
        </w:rPr>
        <w:t>-</w:t>
      </w:r>
      <w:r>
        <w:rPr>
          <w:rtl w:val="true"/>
        </w:rPr>
        <w:t>ההתערבות נחלש בכל הנוגע לעדות מתלונן קטין שנאסרה עדותו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ליתר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והעדויות</w:t>
      </w:r>
      <w:r>
        <w:rPr>
          <w:rtl w:val="true"/>
        </w:rPr>
        <w:t xml:space="preserve">, </w:t>
      </w:r>
      <w:r>
        <w:rPr>
          <w:rtl w:val="true"/>
        </w:rPr>
        <w:t>אשר גם עליהן מתבססים ממצאי העובדה והמהימנות</w:t>
      </w:r>
      <w:r>
        <w:rPr>
          <w:rtl w:val="true"/>
        </w:rPr>
        <w:t xml:space="preserve">, </w:t>
      </w:r>
      <w:r>
        <w:rPr>
          <w:rtl w:val="true"/>
        </w:rPr>
        <w:t>כלל אי</w:t>
      </w:r>
      <w:r>
        <w:rPr>
          <w:rtl w:val="true"/>
        </w:rPr>
        <w:t>-</w:t>
      </w:r>
      <w:r>
        <w:rPr>
          <w:rtl w:val="true"/>
        </w:rPr>
        <w:t xml:space="preserve">ההתערבות ממשיך לחול במלוא תוקפו </w:t>
      </w:r>
      <w:r>
        <w:rPr>
          <w:rtl w:val="true"/>
        </w:rPr>
        <w:t>(</w:t>
      </w:r>
      <w:hyperlink r:id="rId5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1139/23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35</w:t>
      </w:r>
      <w:r>
        <w:rPr>
          <w:rtl w:val="true"/>
        </w:rPr>
        <w:t xml:space="preserve">). </w:t>
      </w:r>
      <w:r>
        <w:rPr>
          <w:rtl w:val="true"/>
        </w:rPr>
        <w:t>לא פעם</w:t>
      </w:r>
      <w:r>
        <w:rPr>
          <w:rtl w:val="true"/>
        </w:rPr>
        <w:t xml:space="preserve">, </w:t>
      </w:r>
      <w:r>
        <w:rPr>
          <w:rtl w:val="true"/>
        </w:rPr>
        <w:t>התמונה הגדולה עולה על סך חלקיה</w:t>
      </w:r>
      <w:r>
        <w:rPr>
          <w:rtl w:val="true"/>
        </w:rPr>
        <w:t xml:space="preserve">. </w:t>
      </w:r>
      <w:r>
        <w:rPr>
          <w:rtl w:val="true"/>
        </w:rPr>
        <w:t>וכך גם במקרה זה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בית המשפט מצא כי עדותו של ב</w:t>
      </w:r>
      <w:r>
        <w:rPr>
          <w:rtl w:val="true"/>
        </w:rPr>
        <w:t xml:space="preserve">', </w:t>
      </w:r>
      <w:r>
        <w:rPr>
          <w:rtl w:val="true"/>
        </w:rPr>
        <w:t xml:space="preserve">כפי שתועדה על ידי חוקרת הילדים </w:t>
      </w:r>
      <w:r>
        <w:rPr>
          <w:rtl w:val="true"/>
        </w:rPr>
        <w:t>–</w:t>
      </w:r>
      <w:r>
        <w:rPr>
          <w:rtl w:val="true"/>
        </w:rPr>
        <w:t xml:space="preserve"> תיעוד אשר בו צפה בית המשפט וגם אני </w:t>
      </w:r>
      <w:r>
        <w:rPr>
          <w:rtl w:val="true"/>
        </w:rPr>
        <w:t>(</w:t>
      </w:r>
      <w:r>
        <w:rPr>
          <w:rtl w:val="true"/>
        </w:rPr>
        <w:t>תוך מעקב שוטף של תמליל החקירה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אופיינה בספונטניות</w:t>
      </w:r>
      <w:r>
        <w:rPr>
          <w:rtl w:val="true"/>
        </w:rPr>
        <w:t xml:space="preserve">, </w:t>
      </w:r>
      <w:r>
        <w:rPr>
          <w:rtl w:val="true"/>
        </w:rPr>
        <w:t>עקביות וקוהרנטיות</w:t>
      </w:r>
      <w:r>
        <w:rPr>
          <w:rtl w:val="true"/>
        </w:rPr>
        <w:t xml:space="preserve">; </w:t>
      </w:r>
      <w:r>
        <w:rPr>
          <w:rtl w:val="true"/>
        </w:rPr>
        <w:t xml:space="preserve">כי הוא הדגים במדויק כיצד שכב במיטה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דקה </w:t>
      </w:r>
      <w:r>
        <w:rPr/>
        <w:t>59:54</w:t>
      </w:r>
      <w:r>
        <w:rPr>
          <w:rtl w:val="true"/>
        </w:rPr>
        <w:t xml:space="preserve"> </w:t>
      </w:r>
      <w:r>
        <w:rPr>
          <w:rtl w:val="true"/>
        </w:rPr>
        <w:t>לחקירה</w:t>
      </w:r>
      <w:r>
        <w:rPr>
          <w:rtl w:val="true"/>
        </w:rPr>
        <w:t xml:space="preserve">; </w:t>
      </w:r>
      <w:r>
        <w:rPr>
          <w:rtl w:val="true"/>
        </w:rPr>
        <w:t xml:space="preserve">דקה </w:t>
      </w:r>
      <w:r>
        <w:rPr/>
        <w:t>59:51</w:t>
      </w:r>
      <w:r>
        <w:rPr>
          <w:rtl w:val="true"/>
        </w:rPr>
        <w:t xml:space="preserve">) </w:t>
      </w:r>
      <w:r>
        <w:rPr>
          <w:rtl w:val="true"/>
        </w:rPr>
        <w:t xml:space="preserve">כיצד הופשלו מכנסיו על ידי המערער וכיצד המערער אחז באיבר מינו בעת שאונן עד שהגיע לסיפוקו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דקה </w:t>
      </w:r>
      <w:r>
        <w:rPr/>
        <w:t>41:56</w:t>
      </w:r>
      <w:r>
        <w:rPr>
          <w:rtl w:val="true"/>
        </w:rPr>
        <w:t xml:space="preserve"> </w:t>
      </w:r>
      <w:r>
        <w:rPr>
          <w:rtl w:val="true"/>
        </w:rPr>
        <w:t xml:space="preserve">עד דקה </w:t>
      </w:r>
      <w:r>
        <w:rPr/>
        <w:t>42:34</w:t>
      </w:r>
      <w:r>
        <w:rPr>
          <w:rtl w:val="true"/>
        </w:rPr>
        <w:t xml:space="preserve">; </w:t>
      </w:r>
      <w:r>
        <w:rPr>
          <w:rtl w:val="true"/>
        </w:rPr>
        <w:t xml:space="preserve">דקה </w:t>
      </w:r>
      <w:r>
        <w:rPr/>
        <w:t>48:47</w:t>
      </w:r>
      <w:r>
        <w:rPr>
          <w:rtl w:val="true"/>
        </w:rPr>
        <w:t xml:space="preserve"> </w:t>
      </w:r>
      <w:r>
        <w:rPr>
          <w:rtl w:val="true"/>
        </w:rPr>
        <w:t xml:space="preserve">עד דקה </w:t>
      </w:r>
      <w:r>
        <w:rPr/>
        <w:t>49:35</w:t>
      </w:r>
      <w:r>
        <w:rPr>
          <w:rtl w:val="true"/>
        </w:rPr>
        <w:t xml:space="preserve">) </w:t>
      </w:r>
      <w:r>
        <w:rPr>
          <w:rtl w:val="true"/>
        </w:rPr>
        <w:t>באופן שאינו עולה בקנה אחד עם הטענה כי מדובר בתולדה של דמיון או כתוצאה מזיהום</w:t>
      </w:r>
      <w:r>
        <w:rPr>
          <w:rtl w:val="true"/>
        </w:rPr>
        <w:t xml:space="preserve">; </w:t>
      </w:r>
      <w:r>
        <w:rPr>
          <w:rtl w:val="true"/>
        </w:rPr>
        <w:t>וכי במסגרת החקירה בהזדמנויות שונות ב</w:t>
      </w:r>
      <w:r>
        <w:rPr>
          <w:rtl w:val="true"/>
        </w:rPr>
        <w:t xml:space="preserve">' </w:t>
      </w:r>
      <w:r>
        <w:rPr>
          <w:rtl w:val="true"/>
        </w:rPr>
        <w:t xml:space="preserve">העמיד דברים על דיוקם כשהוא עומד על קוצו של יוד ביחס לפרטי הדברים שסיפר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 xml:space="preserve">דקה </w:t>
      </w:r>
      <w:r>
        <w:rPr/>
        <w:t>1:00:00</w:t>
      </w:r>
      <w:r>
        <w:rPr>
          <w:rtl w:val="true"/>
        </w:rPr>
        <w:t xml:space="preserve">; </w:t>
      </w:r>
      <w:r>
        <w:rPr>
          <w:rtl w:val="true"/>
        </w:rPr>
        <w:t xml:space="preserve">דקה </w:t>
      </w:r>
      <w:r>
        <w:rPr/>
        <w:t>1:01:24</w:t>
      </w:r>
      <w:r>
        <w:rPr>
          <w:rtl w:val="true"/>
        </w:rPr>
        <w:t xml:space="preserve"> </w:t>
      </w:r>
      <w:r>
        <w:rPr>
          <w:rtl w:val="true"/>
        </w:rPr>
        <w:t xml:space="preserve">עד דקה </w:t>
      </w:r>
      <w:r>
        <w:rPr/>
        <w:t>1:01:35</w:t>
      </w:r>
      <w:r>
        <w:rPr>
          <w:rtl w:val="true"/>
        </w:rPr>
        <w:t xml:space="preserve">) </w:t>
      </w:r>
      <w:r>
        <w:rPr>
          <w:rtl w:val="true"/>
        </w:rPr>
        <w:t>למרות שהביע מורת רוח מלהמשיך בחקירה</w:t>
      </w:r>
      <w:r>
        <w:rPr>
          <w:rtl w:val="true"/>
        </w:rPr>
        <w:t xml:space="preserve">. </w:t>
      </w:r>
      <w:r>
        <w:rPr>
          <w:rtl w:val="true"/>
        </w:rPr>
        <w:t>מסקנות אלו מקובלות עליי לחלוטין ועולות בקנה אחד עם התרשמותי מהצפייה הישירה בחקירה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מהימנותו של ב</w:t>
      </w:r>
      <w:r>
        <w:rPr>
          <w:rtl w:val="true"/>
        </w:rPr>
        <w:t xml:space="preserve">' </w:t>
      </w:r>
      <w:r>
        <w:rPr>
          <w:rtl w:val="true"/>
        </w:rPr>
        <w:t>נבחנה גם בראי עדותה של חוקרת הילדים</w:t>
      </w:r>
      <w:r>
        <w:rPr>
          <w:rtl w:val="true"/>
        </w:rPr>
        <w:t xml:space="preserve">, </w:t>
      </w:r>
      <w:r>
        <w:rPr>
          <w:rtl w:val="true"/>
        </w:rPr>
        <w:t>אשר בית המשפט עמד על מקצועיותה כפי שהשתקפה מחקירתה</w:t>
      </w:r>
      <w:r>
        <w:rPr>
          <w:rtl w:val="true"/>
        </w:rPr>
        <w:t xml:space="preserve">. </w:t>
      </w:r>
      <w:r>
        <w:rPr>
          <w:rtl w:val="true"/>
        </w:rPr>
        <w:t>נקבע כי מעדותה ניתן היה לעמוד על מהימנותה והגיונה</w:t>
      </w:r>
      <w:r>
        <w:rPr>
          <w:rtl w:val="true"/>
        </w:rPr>
        <w:t xml:space="preserve">, </w:t>
      </w:r>
      <w:r>
        <w:rPr>
          <w:rtl w:val="true"/>
        </w:rPr>
        <w:t>כאשר בעדותה פירטה את התנהלות החקירות</w:t>
      </w:r>
      <w:r>
        <w:rPr>
          <w:rtl w:val="true"/>
        </w:rPr>
        <w:t xml:space="preserve">, </w:t>
      </w:r>
      <w:r>
        <w:rPr>
          <w:rtl w:val="true"/>
        </w:rPr>
        <w:t>הסבירה את הלך רוחה ואת האדנים עליהם נשענה בקביעת ממצאיה בקשר להערכת מהימנותם של המתלוננים</w:t>
      </w:r>
      <w:r>
        <w:rPr>
          <w:rtl w:val="true"/>
        </w:rPr>
        <w:t xml:space="preserve">, </w:t>
      </w:r>
      <w:r>
        <w:rPr>
          <w:rtl w:val="true"/>
        </w:rPr>
        <w:t xml:space="preserve">והדגישה כי ההערכה נעשית בהתאם לקריטריונים ברורים ומקצועיים </w:t>
      </w:r>
      <w:r>
        <w:rPr>
          <w:rtl w:val="true"/>
        </w:rPr>
        <w:t>(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r>
        <w:rPr>
          <w:rtl w:val="true"/>
        </w:rPr>
        <w:t xml:space="preserve">פרוטוקול מיום </w:t>
      </w:r>
      <w:r>
        <w:rPr/>
        <w:t>18.11.2021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74-73</w:t>
      </w:r>
      <w:r>
        <w:rPr>
          <w:rtl w:val="true"/>
        </w:rPr>
        <w:t xml:space="preserve">). </w:t>
      </w:r>
      <w:r>
        <w:rPr>
          <w:rtl w:val="true"/>
        </w:rPr>
        <w:t xml:space="preserve">כן צוין כי החוקרת לא חששה להביע ספק לגבי נתונים שלא הייתה נחרצת לגביהם ולא היססה לציין קשיים שעלו בעדויות </w:t>
      </w:r>
      <w:r>
        <w:rPr>
          <w:rtl w:val="true"/>
        </w:rPr>
        <w:t>(</w:t>
      </w:r>
      <w:r>
        <w:rPr>
          <w:rtl w:val="true"/>
        </w:rPr>
        <w:t>כגון הצורך בהשלמת חקירה שלא נעשתה לבסוף לאור התנגדות אמו של ב</w:t>
      </w:r>
      <w:r>
        <w:rPr>
          <w:rtl w:val="true"/>
        </w:rPr>
        <w:t xml:space="preserve">', </w:t>
      </w:r>
      <w:r>
        <w:rPr>
          <w:rtl w:val="true"/>
        </w:rPr>
        <w:t>בנוגע לפרטים נוספים שלגביהם נקבע כי לא ניתן להעריך את מהימנותו של ב</w:t>
      </w:r>
      <w:r>
        <w:rPr>
          <w:rtl w:val="true"/>
        </w:rPr>
        <w:t xml:space="preserve">' </w:t>
      </w:r>
      <w:r>
        <w:rPr>
          <w:rtl w:val="true"/>
        </w:rPr>
        <w:t>ביחס אליהם</w:t>
      </w:r>
      <w:r>
        <w:rPr>
          <w:rtl w:val="true"/>
        </w:rPr>
        <w:t xml:space="preserve">: </w:t>
      </w:r>
      <w:r>
        <w:rPr>
          <w:rtl w:val="true"/>
        </w:rPr>
        <w:t xml:space="preserve">פרוטוקול מיום </w:t>
      </w:r>
      <w:r>
        <w:rPr/>
        <w:t>18.11.2021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83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דייקה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חווה</w:t>
      </w:r>
      <w:r>
        <w:rPr>
          <w:rtl w:val="true"/>
        </w:rPr>
        <w:t xml:space="preserve">, </w:t>
      </w:r>
      <w:r>
        <w:rPr>
          <w:rtl w:val="true"/>
        </w:rPr>
        <w:t>בציינה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ועקבי</w:t>
      </w:r>
      <w:r>
        <w:rPr>
          <w:rtl w:val="true"/>
        </w:rPr>
        <w:t xml:space="preserve">, </w:t>
      </w:r>
      <w:r>
        <w:rPr>
          <w:rtl w:val="true"/>
        </w:rPr>
        <w:t>המשולב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בקונטקסט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וזמן</w:t>
      </w:r>
      <w:r>
        <w:rPr>
          <w:rtl w:val="true"/>
        </w:rPr>
        <w:t xml:space="preserve">;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תוארו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ושלגביהם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'. </w:t>
      </w:r>
      <w:r>
        <w:rPr>
          <w:rtl w:val="true"/>
        </w:rPr>
        <w:t>החוקרת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', </w:t>
      </w:r>
      <w:r>
        <w:rPr>
          <w:rtl w:val="true"/>
        </w:rPr>
        <w:t>בציינה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דל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ומקשיי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ריכוז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18.11.2021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73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בשים לב לתיעוד חקירתו של ב</w:t>
      </w:r>
      <w:r>
        <w:rPr>
          <w:rtl w:val="true"/>
        </w:rPr>
        <w:t xml:space="preserve">' </w:t>
      </w:r>
      <w:r>
        <w:rPr>
          <w:rtl w:val="true"/>
        </w:rPr>
        <w:t>ממנה עולה כי הוא סיפר את שהתרחש באופן עקבי וקוהרנטי</w:t>
      </w:r>
      <w:r>
        <w:rPr>
          <w:rtl w:val="true"/>
        </w:rPr>
        <w:t xml:space="preserve">; </w:t>
      </w:r>
      <w:r>
        <w:rPr>
          <w:rtl w:val="true"/>
        </w:rPr>
        <w:t>להערכתו של בית המשפט בדבר מומחיותה ומקצועיותה של חוקרת הילדים</w:t>
      </w:r>
      <w:r>
        <w:rPr>
          <w:rtl w:val="true"/>
        </w:rPr>
        <w:t xml:space="preserve">; </w:t>
      </w:r>
      <w:r>
        <w:rPr>
          <w:rtl w:val="true"/>
        </w:rPr>
        <w:t>להערכת המהימנות המפורטת שניתנה על ידה</w:t>
      </w:r>
      <w:r>
        <w:rPr>
          <w:rtl w:val="true"/>
        </w:rPr>
        <w:t xml:space="preserve">; </w:t>
      </w:r>
      <w:r>
        <w:rPr>
          <w:rtl w:val="true"/>
        </w:rPr>
        <w:t>ולעדותה שהותירה רושם מהימן</w:t>
      </w:r>
      <w:r>
        <w:rPr>
          <w:rtl w:val="true"/>
        </w:rPr>
        <w:t xml:space="preserve">, </w:t>
      </w:r>
      <w:r>
        <w:rPr>
          <w:rtl w:val="true"/>
        </w:rPr>
        <w:t>מצא בית המשפט כי עדותו של ב</w:t>
      </w:r>
      <w:r>
        <w:rPr>
          <w:rtl w:val="true"/>
        </w:rPr>
        <w:t xml:space="preserve">' </w:t>
      </w:r>
      <w:r>
        <w:rPr>
          <w:rtl w:val="true"/>
        </w:rPr>
        <w:t>בקשר לאירוע מעשה הסדום שביצע בו המערער היא מהימנה</w:t>
      </w:r>
      <w:r>
        <w:rPr>
          <w:rtl w:val="true"/>
        </w:rPr>
        <w:t xml:space="preserve">. </w:t>
      </w:r>
      <w:r>
        <w:rPr>
          <w:rtl w:val="true"/>
        </w:rPr>
        <w:t>למהימנות זו נמצאו תימוכין נוספים בדמות עדותה של אמו</w:t>
      </w:r>
      <w:r>
        <w:rPr>
          <w:rtl w:val="true"/>
        </w:rPr>
        <w:t xml:space="preserve">, </w:t>
      </w:r>
      <w:r>
        <w:rPr>
          <w:rtl w:val="true"/>
        </w:rPr>
        <w:t>שנמצאה מהימנה</w:t>
      </w:r>
      <w:r>
        <w:rPr>
          <w:rtl w:val="true"/>
        </w:rPr>
        <w:t xml:space="preserve">, </w:t>
      </w:r>
      <w:r>
        <w:rPr>
          <w:rtl w:val="true"/>
        </w:rPr>
        <w:t>ואשר פירטה את אשר סיפר לה בנה לגבי מעללי המערער בסמוך לאחר התרחשותו של האירוע</w:t>
      </w:r>
      <w:r>
        <w:rPr>
          <w:rtl w:val="true"/>
        </w:rPr>
        <w:t xml:space="preserve">, </w:t>
      </w:r>
      <w:r>
        <w:rPr>
          <w:rtl w:val="true"/>
        </w:rPr>
        <w:t>באופן כמעט זהה לנסיבות שפורטו על ידי ב</w:t>
      </w:r>
      <w:r>
        <w:rPr>
          <w:rtl w:val="true"/>
        </w:rPr>
        <w:t xml:space="preserve">'; </w:t>
      </w:r>
      <w:r>
        <w:rPr>
          <w:rtl w:val="true"/>
        </w:rPr>
        <w:t>ועדותה של א</w:t>
      </w:r>
      <w:r>
        <w:rPr>
          <w:rtl w:val="true"/>
        </w:rPr>
        <w:t>.</w:t>
      </w:r>
      <w:r>
        <w:rPr>
          <w:rtl w:val="true"/>
        </w:rPr>
        <w:t>ח</w:t>
      </w:r>
      <w:r>
        <w:rPr>
          <w:rtl w:val="true"/>
        </w:rPr>
        <w:t xml:space="preserve">., </w:t>
      </w:r>
      <w:r>
        <w:rPr>
          <w:rtl w:val="true"/>
        </w:rPr>
        <w:t>בת דודתו של ב</w:t>
      </w:r>
      <w:r>
        <w:rPr>
          <w:rtl w:val="true"/>
        </w:rPr>
        <w:t xml:space="preserve">', </w:t>
      </w:r>
      <w:r>
        <w:rPr>
          <w:rtl w:val="true"/>
        </w:rPr>
        <w:t>שהעידה גם כן לפני חוקרת הילדים ונמצאה מהימנה על ידה</w:t>
      </w:r>
      <w:r>
        <w:rPr>
          <w:rtl w:val="true"/>
        </w:rPr>
        <w:t xml:space="preserve">, </w:t>
      </w:r>
      <w:r>
        <w:rPr>
          <w:rtl w:val="true"/>
        </w:rPr>
        <w:t>כי ב</w:t>
      </w:r>
      <w:r>
        <w:rPr>
          <w:rtl w:val="true"/>
        </w:rPr>
        <w:t xml:space="preserve">' </w:t>
      </w:r>
      <w:r>
        <w:rPr>
          <w:rtl w:val="true"/>
        </w:rPr>
        <w:t>ניסה לגעת בה באופן אינטימי</w:t>
      </w:r>
      <w:r>
        <w:rPr>
          <w:rtl w:val="true"/>
        </w:rPr>
        <w:t xml:space="preserve">, </w:t>
      </w:r>
      <w:r>
        <w:rPr>
          <w:rtl w:val="true"/>
        </w:rPr>
        <w:t>דבר העולה בקנה אחד עם עדותו של ב</w:t>
      </w:r>
      <w:r>
        <w:rPr>
          <w:rtl w:val="true"/>
        </w:rPr>
        <w:t xml:space="preserve">' </w:t>
      </w:r>
      <w:r>
        <w:rPr>
          <w:rtl w:val="true"/>
        </w:rPr>
        <w:t>לפיה המערער איים עליו שיספר לאמו על המעשה שעשה ביחס לא</w:t>
      </w:r>
      <w:r>
        <w:rPr>
          <w:rtl w:val="true"/>
        </w:rPr>
        <w:t>.</w:t>
      </w:r>
      <w:r>
        <w:rPr>
          <w:rtl w:val="true"/>
        </w:rPr>
        <w:t>ח</w:t>
      </w:r>
      <w:r>
        <w:rPr>
          <w:rtl w:val="true"/>
        </w:rPr>
        <w:t xml:space="preserve">.. </w:t>
      </w:r>
      <w:r>
        <w:rPr>
          <w:rtl w:val="true"/>
        </w:rPr>
        <w:t>זאת כאשר גם המערער עצמו העיד כי ביום האירוע התעמת עם ב</w:t>
      </w:r>
      <w:r>
        <w:rPr>
          <w:rtl w:val="true"/>
        </w:rPr>
        <w:t xml:space="preserve">' </w:t>
      </w:r>
      <w:r>
        <w:rPr>
          <w:rtl w:val="true"/>
        </w:rPr>
        <w:t>בנוגע למעשיו עם א</w:t>
      </w:r>
      <w:r>
        <w:rPr>
          <w:rtl w:val="true"/>
        </w:rPr>
        <w:t>.</w:t>
      </w:r>
      <w:r>
        <w:rPr>
          <w:rtl w:val="true"/>
        </w:rPr>
        <w:t>ח</w:t>
      </w:r>
      <w:r>
        <w:rPr>
          <w:rtl w:val="true"/>
        </w:rPr>
        <w:t>..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לא למותר לציין כי על פי הוראת 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לחוק הגנת ילדים</w:t>
      </w:r>
      <w:r>
        <w:rPr>
          <w:rtl w:val="true"/>
        </w:rPr>
        <w:t xml:space="preserve">, </w:t>
      </w:r>
      <w:r>
        <w:rPr>
          <w:rtl w:val="true"/>
        </w:rPr>
        <w:t xml:space="preserve">עדותו של חוקר הילדים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התרשמותו</w:t>
      </w:r>
      <w:r>
        <w:rPr>
          <w:rtl w:val="true"/>
        </w:rPr>
        <w:t xml:space="preserve"> </w:t>
      </w:r>
      <w:r>
        <w:rPr>
          <w:rtl w:val="true"/>
        </w:rPr>
        <w:t>מעדות</w:t>
      </w:r>
      <w:r>
        <w:rPr>
          <w:rtl w:val="true"/>
        </w:rPr>
        <w:t xml:space="preserve"> </w:t>
      </w:r>
      <w:r>
        <w:rPr>
          <w:rtl w:val="true"/>
        </w:rPr>
        <w:t xml:space="preserve">הקטין לפניו </w:t>
      </w:r>
      <w:r>
        <w:rPr>
          <w:rtl w:val="true"/>
        </w:rPr>
        <w:t>הינה</w:t>
      </w:r>
      <w:r>
        <w:rPr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 </w:t>
      </w:r>
      <w:r>
        <w:rPr>
          <w:rtl w:val="true"/>
        </w:rPr>
        <w:t>קבילה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 xml:space="preserve">אף משמשת כלי עזר משמעותי </w:t>
      </w:r>
      <w:r>
        <w:rPr>
          <w:rtl w:val="true"/>
        </w:rPr>
        <w:t>בגיבוש</w:t>
      </w:r>
      <w:r>
        <w:rPr>
          <w:rtl w:val="true"/>
        </w:rPr>
        <w:t xml:space="preserve"> </w:t>
      </w:r>
      <w:r>
        <w:rPr>
          <w:rtl w:val="true"/>
        </w:rPr>
        <w:t xml:space="preserve">המסקנה בדבר </w:t>
      </w:r>
      <w:r>
        <w:rPr>
          <w:rtl w:val="true"/>
        </w:rPr>
        <w:t>מהימנות</w:t>
      </w:r>
      <w:r>
        <w:rPr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 xml:space="preserve">הקטין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 למשל</w:t>
      </w:r>
      <w:r>
        <w:rPr>
          <w:rtl w:val="true"/>
        </w:rPr>
        <w:t xml:space="preserve">: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1121/96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353</w:t>
      </w:r>
      <w:r>
        <w:rPr>
          <w:rtl w:val="true"/>
        </w:rPr>
        <w:t xml:space="preserve">, </w:t>
      </w:r>
      <w:r>
        <w:rPr/>
        <w:t>360</w:t>
      </w:r>
      <w:r>
        <w:rPr>
          <w:rtl w:val="true"/>
        </w:rPr>
        <w:t xml:space="preserve"> (</w:t>
      </w:r>
      <w:r>
        <w:rPr/>
        <w:t>1996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6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446/02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קובי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נז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769</w:t>
      </w:r>
      <w:r>
        <w:rPr>
          <w:rtl w:val="true"/>
        </w:rPr>
        <w:t xml:space="preserve">, </w:t>
      </w:r>
      <w:r>
        <w:rPr/>
        <w:t>777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שורדיקר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34</w:t>
      </w:r>
      <w:r>
        <w:rPr>
          <w:rtl w:val="true"/>
        </w:rPr>
        <w:t xml:space="preserve">). </w:t>
      </w:r>
      <w:r>
        <w:rPr>
          <w:rtl w:val="true"/>
        </w:rPr>
        <w:t>בשים לב לאמור</w:t>
      </w:r>
      <w:r>
        <w:rPr>
          <w:rtl w:val="true"/>
        </w:rPr>
        <w:t xml:space="preserve">, </w:t>
      </w:r>
      <w:r>
        <w:rPr>
          <w:rtl w:val="true"/>
        </w:rPr>
        <w:t>לא נפל כל פגם באופן שבו בחן בית המשפט את עדותה של חוקרת הילדים</w:t>
      </w:r>
      <w:r>
        <w:rPr>
          <w:rtl w:val="true"/>
        </w:rPr>
        <w:t xml:space="preserve">, </w:t>
      </w:r>
      <w:r>
        <w:rPr>
          <w:rtl w:val="true"/>
        </w:rPr>
        <w:t>באופן שבו קיבל כממצא את מהימנותה וכפועל יוצא מכך את קביעתה בדבר מהימנות הדברים שמסר ב</w:t>
      </w:r>
      <w:r>
        <w:rPr>
          <w:rtl w:val="true"/>
        </w:rPr>
        <w:t xml:space="preserve">', </w:t>
      </w:r>
      <w:r>
        <w:rPr>
          <w:rtl w:val="true"/>
        </w:rPr>
        <w:t>ובקביעתו כי ממכלול העדויות עלה שעדותו של ב</w:t>
      </w:r>
      <w:r>
        <w:rPr>
          <w:rtl w:val="true"/>
        </w:rPr>
        <w:t xml:space="preserve">' </w:t>
      </w:r>
      <w:r>
        <w:rPr>
          <w:rtl w:val="true"/>
        </w:rPr>
        <w:t>מהימנה וניתן לבסס עליה ממצאים</w:t>
      </w:r>
      <w:r>
        <w:rPr>
          <w:rtl w:val="true"/>
        </w:rPr>
        <w:t xml:space="preserve">. </w:t>
      </w:r>
      <w:r>
        <w:rPr>
          <w:rtl w:val="true"/>
        </w:rPr>
        <w:t>ומכאן לסיוע הנדרש על פי הדין במקרים כגון אלו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דרישת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הסיוע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לפי </w:t>
      </w:r>
      <w:hyperlink r:id="rId6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11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 </w:t>
      </w:r>
      <w:r>
        <w:rPr>
          <w:rtl w:val="true"/>
        </w:rPr>
        <w:t>הגנת ילדים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סמך</w:t>
      </w:r>
      <w:r>
        <w:rPr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 </w:t>
      </w:r>
      <w:r>
        <w:rPr>
          <w:rtl w:val="true"/>
        </w:rPr>
        <w:t>קטין שנאסרה העדתו</w:t>
      </w:r>
      <w:r>
        <w:rPr>
          <w:rtl w:val="true"/>
        </w:rPr>
        <w:t xml:space="preserve">, </w:t>
      </w:r>
      <w:r>
        <w:rPr>
          <w:rtl w:val="true"/>
        </w:rPr>
        <w:t>נדרשת</w:t>
      </w:r>
      <w:r>
        <w:rPr>
          <w:rtl w:val="true"/>
        </w:rPr>
        <w:t xml:space="preserve"> </w:t>
      </w:r>
      <w:r>
        <w:rPr>
          <w:rtl w:val="true"/>
        </w:rPr>
        <w:t>תוספת</w:t>
      </w:r>
      <w:r>
        <w:rPr>
          <w:rtl w:val="true"/>
        </w:rPr>
        <w:t xml:space="preserve"> </w:t>
      </w:r>
      <w:r>
        <w:rPr>
          <w:rtl w:val="true"/>
        </w:rPr>
        <w:t>ראייתית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סיוע</w:t>
      </w:r>
      <w:r>
        <w:rPr>
          <w:rtl w:val="true"/>
        </w:rPr>
        <w:t xml:space="preserve">". </w:t>
      </w:r>
      <w:r>
        <w:rPr>
          <w:rtl w:val="true"/>
        </w:rPr>
        <w:t>על טיבה של דרישת הסיוע עמד בית משפט זה לא אחת</w:t>
      </w:r>
      <w:r>
        <w:rPr>
          <w:rtl w:val="true"/>
        </w:rPr>
        <w:t xml:space="preserve">, </w:t>
      </w:r>
      <w:r>
        <w:rPr>
          <w:rtl w:val="true"/>
        </w:rPr>
        <w:t xml:space="preserve">ונקבע כי עליה להגיע </w:t>
      </w:r>
      <w:r>
        <w:rPr>
          <w:rtl w:val="true"/>
        </w:rPr>
        <w:t>ממקור</w:t>
      </w:r>
      <w:r>
        <w:rPr>
          <w:rtl w:val="true"/>
        </w:rPr>
        <w:t xml:space="preserve"> </w:t>
      </w:r>
      <w:r>
        <w:rPr>
          <w:rtl w:val="true"/>
        </w:rPr>
        <w:t>נפרד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עצמאי</w:t>
      </w:r>
      <w:r>
        <w:rPr>
          <w:rtl w:val="true"/>
        </w:rPr>
        <w:t xml:space="preserve"> </w:t>
      </w:r>
      <w:r>
        <w:rPr>
          <w:rtl w:val="true"/>
        </w:rPr>
        <w:t>ביחס לעדות הטעונה סיוע</w:t>
      </w:r>
      <w:r>
        <w:rPr>
          <w:rtl w:val="true"/>
        </w:rPr>
        <w:t xml:space="preserve">; </w:t>
      </w:r>
      <w:r>
        <w:rPr>
          <w:rtl w:val="true"/>
        </w:rPr>
        <w:t>עליה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לסבך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במובן זה שהיא אינה מתיישבת עם גרסתו</w:t>
      </w:r>
      <w:r>
        <w:rPr>
          <w:rtl w:val="true"/>
        </w:rPr>
        <w:t xml:space="preserve">; </w:t>
      </w:r>
      <w:r>
        <w:rPr>
          <w:rtl w:val="true"/>
        </w:rPr>
        <w:t>והיא</w:t>
      </w:r>
      <w:r>
        <w:rPr>
          <w:rtl w:val="true"/>
        </w:rPr>
        <w:t xml:space="preserve"> </w:t>
      </w:r>
      <w:r>
        <w:rPr>
          <w:rtl w:val="true"/>
        </w:rPr>
        <w:t>צריכה</w:t>
      </w:r>
      <w:r>
        <w:rPr>
          <w:rtl w:val="true"/>
        </w:rPr>
        <w:t xml:space="preserve"> </w:t>
      </w:r>
      <w:r>
        <w:rPr>
          <w:rtl w:val="true"/>
        </w:rPr>
        <w:t>להתייחס</w:t>
      </w:r>
      <w:r>
        <w:rPr>
          <w:rtl w:val="true"/>
        </w:rPr>
        <w:t xml:space="preserve"> </w:t>
      </w:r>
      <w:r>
        <w:rPr>
          <w:rtl w:val="true"/>
        </w:rPr>
        <w:t>לנקודה</w:t>
      </w:r>
      <w:r>
        <w:rPr>
          <w:rtl w:val="true"/>
        </w:rPr>
        <w:t xml:space="preserve"> </w:t>
      </w:r>
      <w:r>
        <w:rPr>
          <w:rtl w:val="true"/>
        </w:rPr>
        <w:t>ממשית</w:t>
      </w:r>
      <w:r>
        <w:rPr>
          <w:rtl w:val="true"/>
        </w:rPr>
        <w:t xml:space="preserve"> </w:t>
      </w:r>
      <w:r>
        <w:rPr>
          <w:rtl w:val="true"/>
        </w:rPr>
        <w:t>השנויה</w:t>
      </w:r>
      <w:r>
        <w:rPr>
          <w:rtl w:val="true"/>
        </w:rPr>
        <w:t xml:space="preserve"> </w:t>
      </w:r>
      <w:r>
        <w:rPr>
          <w:rtl w:val="true"/>
        </w:rPr>
        <w:t>במחלוקת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</w:t>
      </w:r>
      <w:r>
        <w:rPr>
          <w:rtl w:val="true"/>
        </w:rPr>
        <w:t>ראו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4203/19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29.7.2020</w:t>
      </w:r>
      <w:r>
        <w:rPr>
          <w:rtl w:val="true"/>
        </w:rPr>
        <w:t xml:space="preserve">);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8631/13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10.3.2016</w:t>
      </w:r>
      <w:r>
        <w:rPr>
          <w:rtl w:val="true"/>
        </w:rPr>
        <w:t xml:space="preserve">);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6140/11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41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9.5.2012</w:t>
      </w:r>
      <w:r>
        <w:rPr>
          <w:rtl w:val="true"/>
        </w:rPr>
        <w:t>)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6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6140/11</w:t>
        </w:r>
      </w:hyperlink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 xml:space="preserve">בפסיקה גם נקבע כי קיים קשר הדוק בין משקלה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ראיית</w:t>
      </w:r>
      <w:r>
        <w:rPr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משקלה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 </w:t>
      </w:r>
      <w:r>
        <w:rPr>
          <w:rtl w:val="true"/>
        </w:rPr>
        <w:t>הטעונה</w:t>
      </w:r>
      <w:r>
        <w:rPr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.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tl w:val="true"/>
        </w:rPr>
        <w:t xml:space="preserve"> </w:t>
      </w:r>
      <w:r>
        <w:rPr>
          <w:rtl w:val="true"/>
        </w:rPr>
        <w:t>שניתן</w:t>
      </w:r>
      <w:r>
        <w:rPr>
          <w:rtl w:val="true"/>
        </w:rPr>
        <w:t xml:space="preserve"> </w:t>
      </w:r>
      <w:r>
        <w:rPr>
          <w:rtl w:val="true"/>
        </w:rPr>
        <w:t>לעדות</w:t>
      </w:r>
      <w:r>
        <w:rPr>
          <w:rtl w:val="true"/>
        </w:rPr>
        <w:t xml:space="preserve"> </w:t>
      </w:r>
      <w:r>
        <w:rPr>
          <w:rtl w:val="true"/>
        </w:rPr>
        <w:t>העיקרית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גבוה</w:t>
      </w:r>
      <w:r>
        <w:rPr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כך ניתן להסתפק בראיית סיוע שמשקלה מועט</w:t>
      </w:r>
      <w:r>
        <w:rPr>
          <w:rtl w:val="true"/>
        </w:rPr>
        <w:t xml:space="preserve">; </w:t>
      </w:r>
      <w:r>
        <w:rPr>
          <w:rtl w:val="true"/>
        </w:rPr>
        <w:t xml:space="preserve">וככל שהכחשתו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כללית</w:t>
      </w:r>
      <w:r>
        <w:rPr>
          <w:rtl w:val="true"/>
        </w:rPr>
        <w:t xml:space="preserve"> </w:t>
      </w:r>
      <w:r>
        <w:rPr>
          <w:rtl w:val="true"/>
        </w:rPr>
        <w:t>וגורפת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היקפה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ראיית</w:t>
      </w:r>
      <w:r>
        <w:rPr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 </w:t>
      </w:r>
      <w:r>
        <w:rPr>
          <w:rtl w:val="true"/>
        </w:rPr>
        <w:t>הדרושה</w:t>
      </w:r>
      <w:r>
        <w:rPr>
          <w:rtl w:val="true"/>
        </w:rPr>
        <w:t xml:space="preserve"> </w:t>
      </w:r>
      <w:r>
        <w:rPr>
          <w:rtl w:val="true"/>
        </w:rPr>
        <w:t xml:space="preserve">יהיה </w:t>
      </w:r>
      <w:r>
        <w:rPr>
          <w:rtl w:val="true"/>
        </w:rPr>
        <w:t>מצומצם</w:t>
      </w:r>
      <w:r>
        <w:rPr>
          <w:rtl w:val="true"/>
        </w:rPr>
        <w:t xml:space="preserve"> יותר </w:t>
      </w:r>
      <w:r>
        <w:rPr>
          <w:rtl w:val="true"/>
        </w:rPr>
        <w:t>(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2686/15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בנטו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53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5.3.2017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בנטו</w:t>
      </w:r>
      <w:r>
        <w:rPr>
          <w:rtl w:val="true"/>
        </w:rPr>
        <w:t xml:space="preserve">); </w:t>
      </w:r>
      <w:hyperlink r:id="rId68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2973/21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33</w:t>
      </w:r>
      <w:r>
        <w:rPr>
          <w:rtl w:val="true"/>
        </w:rPr>
        <w:t xml:space="preserve">; 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8579/20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29.3.2022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ילדים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וחד</w:t>
      </w:r>
      <w:r>
        <w:rPr>
          <w:rtl w:val="true"/>
        </w:rPr>
        <w:t>-</w:t>
      </w:r>
      <w:r>
        <w:rPr>
          <w:rtl w:val="true"/>
        </w:rPr>
        <w:t>משמעיים</w:t>
      </w:r>
      <w:r>
        <w:rPr>
          <w:rtl w:val="true"/>
        </w:rPr>
        <w:t xml:space="preserve">;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מתייחסים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שולי</w:t>
      </w:r>
      <w:r>
        <w:rPr>
          <w:rtl w:val="true"/>
        </w:rPr>
        <w:t xml:space="preserve">;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;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והם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6813/16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נחמני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17.9.2018</w:t>
      </w:r>
      <w:r>
        <w:rPr>
          <w:rtl w:val="true"/>
        </w:rPr>
        <w:t xml:space="preserve">);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2854/18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27.8.2019</w:t>
      </w:r>
      <w:r>
        <w:rPr>
          <w:rtl w:val="true"/>
        </w:rPr>
        <w:t xml:space="preserve">); 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5705/20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25.8.2021</w:t>
      </w:r>
      <w:r>
        <w:rPr>
          <w:rtl w:val="true"/>
        </w:rPr>
        <w:t xml:space="preserve">); </w:t>
      </w:r>
      <w:hyperlink r:id="rId73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1139/23</w:t>
        </w:r>
      </w:hyperlink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).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מסבכים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6279/03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5.2.2004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hyperlink r:id="rId7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Cs w:val="24"/>
            <w:u w:val="single"/>
          </w:rPr>
          <w:t>6279/03</w:t>
        </w:r>
      </w:hyperlink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</w:t>
      </w:r>
      <w:r>
        <w:rPr>
          <w:rtl w:val="true"/>
        </w:rPr>
        <w:t>נייננו</w:t>
      </w:r>
      <w:r>
        <w:rPr>
          <w:rtl w:val="true"/>
        </w:rPr>
        <w:t xml:space="preserve">, </w:t>
      </w:r>
      <w:r>
        <w:rPr>
          <w:rtl w:val="true"/>
        </w:rPr>
        <w:t>בית המשפט מצא את גרסת המערער כבלתי מהימנה</w:t>
      </w:r>
      <w:r>
        <w:rPr>
          <w:rtl w:val="true"/>
        </w:rPr>
        <w:t xml:space="preserve">, </w:t>
      </w:r>
      <w:r>
        <w:rPr>
          <w:rtl w:val="true"/>
        </w:rPr>
        <w:t>לעומת גרסתו של ב</w:t>
      </w:r>
      <w:r>
        <w:rPr>
          <w:rtl w:val="true"/>
        </w:rPr>
        <w:t xml:space="preserve">' </w:t>
      </w:r>
      <w:r>
        <w:rPr>
          <w:rtl w:val="true"/>
        </w:rPr>
        <w:t>אשר נמצאה כאמור מהימנה בכל הנוגע לאירוע מעשה הסדום מושא כתב האישום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מכחיש</w:t>
      </w:r>
      <w:r>
        <w:rPr>
          <w:rtl w:val="true"/>
        </w:rPr>
        <w:t xml:space="preserve"> </w:t>
      </w:r>
      <w:r>
        <w:rPr>
          <w:rtl w:val="true"/>
        </w:rPr>
        <w:t>מכל</w:t>
      </w:r>
      <w:r>
        <w:rPr>
          <w:rtl w:val="true"/>
        </w:rPr>
        <w:t xml:space="preserve"> </w:t>
      </w:r>
      <w:r>
        <w:rPr>
          <w:rtl w:val="true"/>
        </w:rPr>
        <w:t>וכל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המיוחסים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ראיית </w:t>
      </w:r>
      <w:r>
        <w:rPr>
          <w:rtl w:val="true"/>
        </w:rPr>
        <w:t>סיוע</w:t>
      </w:r>
      <w:r>
        <w:rPr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נמוך</w:t>
      </w:r>
      <w:r>
        <w:rPr>
          <w:rtl w:val="true"/>
        </w:rPr>
        <w:t xml:space="preserve"> </w:t>
      </w:r>
      <w:r>
        <w:rPr>
          <w:rtl w:val="true"/>
        </w:rPr>
        <w:t>באופן יחסי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לקיים את מצוות המחוקק</w:t>
      </w:r>
      <w:r>
        <w:rPr>
          <w:rtl w:val="true"/>
        </w:rPr>
        <w:t xml:space="preserve">. </w:t>
      </w:r>
      <w:r>
        <w:rPr>
          <w:rtl w:val="true"/>
        </w:rPr>
        <w:t>זאת למרות שבמקרה זה</w:t>
      </w:r>
      <w:r>
        <w:rPr>
          <w:rtl w:val="true"/>
        </w:rPr>
        <w:t xml:space="preserve">, </w:t>
      </w:r>
      <w:r>
        <w:rPr>
          <w:rtl w:val="true"/>
        </w:rPr>
        <w:t>כמפורט להלן</w:t>
      </w:r>
      <w:r>
        <w:rPr>
          <w:rtl w:val="true"/>
        </w:rPr>
        <w:t xml:space="preserve">, </w:t>
      </w:r>
      <w:r>
        <w:rPr>
          <w:rtl w:val="true"/>
        </w:rPr>
        <w:t>קיימות ראיות סיוע שמשקלן אכן משמעותי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בשקרי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עליהם</w:t>
      </w:r>
      <w:r>
        <w:rPr>
          <w:rtl w:val="true"/>
        </w:rPr>
        <w:t xml:space="preserve"> </w:t>
      </w:r>
      <w:r>
        <w:rPr>
          <w:rtl w:val="true"/>
        </w:rPr>
        <w:t>הצביע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לקיים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דרישת</w:t>
      </w:r>
      <w:r>
        <w:rPr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טענתו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מדובר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היותר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סתירות</w:t>
      </w:r>
      <w:r>
        <w:rPr>
          <w:rtl w:val="true"/>
        </w:rPr>
        <w:t xml:space="preserve"> </w:t>
      </w:r>
      <w:r>
        <w:rPr>
          <w:rtl w:val="true"/>
        </w:rPr>
        <w:t>בעניינים</w:t>
      </w:r>
      <w:r>
        <w:rPr>
          <w:rtl w:val="true"/>
        </w:rPr>
        <w:t xml:space="preserve"> </w:t>
      </w:r>
      <w:r>
        <w:rPr>
          <w:rtl w:val="true"/>
        </w:rPr>
        <w:t>שאינם</w:t>
      </w:r>
      <w:r>
        <w:rPr>
          <w:rtl w:val="true"/>
        </w:rPr>
        <w:t xml:space="preserve"> </w:t>
      </w:r>
      <w:r>
        <w:rPr>
          <w:rtl w:val="true"/>
        </w:rPr>
        <w:t>מהותיים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בחקירתו</w:t>
      </w:r>
      <w:r>
        <w:rPr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12.10.2019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שראה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בפעם</w:t>
      </w:r>
      <w:r>
        <w:rPr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כשבועיים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בביתו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'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17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tl w:val="true"/>
        </w:rPr>
        <w:t xml:space="preserve"> </w:t>
      </w:r>
      <w:r>
        <w:rPr/>
        <w:t>169-168</w:t>
      </w:r>
      <w:r>
        <w:rPr>
          <w:rtl w:val="true"/>
        </w:rPr>
        <w:t xml:space="preserve">). </w:t>
      </w:r>
      <w:r>
        <w:rPr>
          <w:rtl w:val="true"/>
        </w:rPr>
        <w:t>זאת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 </w:t>
      </w:r>
      <w:r>
        <w:rPr>
          <w:rtl w:val="true"/>
        </w:rPr>
        <w:t>ידע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 </w:t>
      </w:r>
      <w:r>
        <w:rPr>
          <w:rtl w:val="true"/>
        </w:rPr>
        <w:t>שפגע</w:t>
      </w:r>
      <w:r>
        <w:rPr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ימים</w:t>
      </w:r>
      <w:r>
        <w:rPr>
          <w:rtl w:val="true"/>
        </w:rPr>
        <w:t xml:space="preserve"> </w:t>
      </w:r>
      <w:r>
        <w:rPr>
          <w:rtl w:val="true"/>
        </w:rPr>
        <w:t>קודם</w:t>
      </w:r>
      <w:r>
        <w:rPr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בחקירתו</w:t>
      </w:r>
      <w:r>
        <w:rPr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21.10.2019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 </w:t>
      </w:r>
      <w:r>
        <w:rPr>
          <w:rtl w:val="true"/>
        </w:rPr>
        <w:t>שפגש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בביתו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6.10.2019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הראה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באותו</w:t>
      </w:r>
      <w:r>
        <w:rPr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צופה</w:t>
      </w:r>
      <w:r>
        <w:rPr>
          <w:rtl w:val="true"/>
        </w:rPr>
        <w:t xml:space="preserve"> </w:t>
      </w:r>
      <w:r>
        <w:rPr>
          <w:rtl w:val="true"/>
        </w:rPr>
        <w:t>במכשיר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פלייסטיישן</w:t>
      </w:r>
      <w:r>
        <w:rPr>
          <w:rtl w:val="true"/>
        </w:rPr>
        <w:t xml:space="preserve">" </w:t>
      </w:r>
      <w:r>
        <w:rPr>
          <w:rtl w:val="true"/>
        </w:rPr>
        <w:t>בסרטים</w:t>
      </w:r>
      <w:r>
        <w:rPr>
          <w:rtl w:val="true"/>
        </w:rPr>
        <w:t xml:space="preserve"> </w:t>
      </w:r>
      <w:r>
        <w:rPr>
          <w:rtl w:val="true"/>
        </w:rPr>
        <w:t>פורנוגרפיים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tl w:val="true"/>
        </w:rPr>
        <w:t xml:space="preserve"> </w:t>
      </w:r>
      <w:r>
        <w:rPr/>
        <w:t>125-122</w:t>
      </w:r>
      <w:r>
        <w:rPr>
          <w:rtl w:val="true"/>
        </w:rPr>
        <w:t xml:space="preserve">).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להיות</w:t>
      </w:r>
      <w:r>
        <w:rPr>
          <w:rtl w:val="true"/>
        </w:rPr>
        <w:t xml:space="preserve"> </w:t>
      </w:r>
      <w:r>
        <w:rPr>
          <w:rtl w:val="true"/>
        </w:rPr>
        <w:t>חולק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שקר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בנוגע</w:t>
      </w:r>
      <w:r>
        <w:rPr>
          <w:rtl w:val="true"/>
        </w:rPr>
        <w:t xml:space="preserve"> </w:t>
      </w:r>
      <w:r>
        <w:rPr>
          <w:rtl w:val="true"/>
        </w:rPr>
        <w:t>לעצם</w:t>
      </w:r>
      <w:r>
        <w:rPr>
          <w:rtl w:val="true"/>
        </w:rPr>
        <w:t xml:space="preserve"> </w:t>
      </w:r>
      <w:r>
        <w:rPr>
          <w:rtl w:val="true"/>
        </w:rPr>
        <w:t>הימצאותו</w:t>
      </w:r>
      <w:r>
        <w:rPr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במועד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המיוחסים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שקר</w:t>
      </w:r>
      <w:r>
        <w:rPr>
          <w:rtl w:val="true"/>
        </w:rPr>
        <w:t xml:space="preserve"> </w:t>
      </w:r>
      <w:r>
        <w:rPr>
          <w:rtl w:val="true"/>
        </w:rPr>
        <w:t>בנושא</w:t>
      </w:r>
      <w:r>
        <w:rPr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 </w:t>
      </w:r>
      <w:r>
        <w:rPr>
          <w:rtl w:val="true"/>
        </w:rPr>
        <w:t>לעניין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tl w:val="true"/>
        </w:rPr>
        <w:t xml:space="preserve"> </w:t>
      </w:r>
      <w:r>
        <w:rPr>
          <w:rtl w:val="true"/>
        </w:rPr>
        <w:t>שינה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גרסתו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נלווה</w:t>
      </w:r>
      <w:r>
        <w:rPr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 </w:t>
      </w:r>
      <w:r>
        <w:rPr>
          <w:rtl w:val="true"/>
        </w:rPr>
        <w:t>להציג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באור</w:t>
      </w:r>
      <w:r>
        <w:rPr>
          <w:rtl w:val="true"/>
        </w:rPr>
        <w:t xml:space="preserve"> </w:t>
      </w:r>
      <w:r>
        <w:rPr>
          <w:rtl w:val="true"/>
        </w:rPr>
        <w:t>שלילי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להתנהלותו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 </w:t>
      </w:r>
      <w:r>
        <w:rPr>
          <w:rtl w:val="true"/>
        </w:rPr>
        <w:t>ולחזק</w:t>
      </w:r>
      <w:r>
        <w:rPr>
          <w:rtl w:val="true"/>
        </w:rPr>
        <w:t xml:space="preserve"> </w:t>
      </w:r>
      <w:r>
        <w:rPr>
          <w:rtl w:val="true"/>
        </w:rPr>
        <w:t>טענתו</w:t>
      </w:r>
      <w:r>
        <w:rPr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בדה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מלבו</w:t>
      </w:r>
      <w:r>
        <w:rPr>
          <w:rtl w:val="true"/>
        </w:rPr>
        <w:t xml:space="preserve">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חשיפתו</w:t>
      </w:r>
      <w:r>
        <w:rPr>
          <w:rtl w:val="true"/>
        </w:rPr>
        <w:t xml:space="preserve"> </w:t>
      </w:r>
      <w:r>
        <w:rPr>
          <w:rtl w:val="true"/>
        </w:rPr>
        <w:t>לתכנים</w:t>
      </w:r>
      <w:r>
        <w:rPr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 xml:space="preserve">. </w:t>
      </w:r>
      <w:r>
        <w:rPr>
          <w:rtl w:val="true"/>
        </w:rPr>
        <w:t>שקר</w:t>
      </w:r>
      <w:r>
        <w:rPr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 </w:t>
      </w:r>
      <w:r>
        <w:rPr>
          <w:rtl w:val="true"/>
        </w:rPr>
        <w:t>נעוץ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 </w:t>
      </w:r>
      <w:r>
        <w:rPr>
          <w:rtl w:val="true"/>
        </w:rPr>
        <w:t>שבחקירתו</w:t>
      </w:r>
      <w:r>
        <w:rPr>
          <w:rtl w:val="true"/>
        </w:rPr>
        <w:t xml:space="preserve"> </w:t>
      </w:r>
      <w:r>
        <w:rPr>
          <w:rtl w:val="true"/>
        </w:rPr>
        <w:t>השנייה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ביקש</w:t>
      </w:r>
      <w:r>
        <w:rPr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ייקח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למשחקיה</w:t>
      </w:r>
      <w:r>
        <w:rPr>
          <w:rtl w:val="true"/>
        </w:rPr>
        <w:t xml:space="preserve"> </w:t>
      </w:r>
      <w:r>
        <w:rPr>
          <w:rtl w:val="true"/>
        </w:rPr>
        <w:t>והוא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לקח</w:t>
      </w:r>
      <w:r>
        <w:rPr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שורות</w:t>
      </w:r>
      <w:r>
        <w:rPr>
          <w:rtl w:val="true"/>
        </w:rPr>
        <w:t xml:space="preserve"> </w:t>
      </w:r>
      <w:r>
        <w:rPr/>
        <w:t>139-135</w:t>
      </w:r>
      <w:r>
        <w:rPr>
          <w:rtl w:val="true"/>
        </w:rPr>
        <w:t xml:space="preserve">); </w:t>
      </w:r>
      <w:r>
        <w:rPr>
          <w:rtl w:val="true"/>
        </w:rPr>
        <w:t>בעוד</w:t>
      </w:r>
      <w:r>
        <w:rPr>
          <w:rtl w:val="true"/>
        </w:rPr>
        <w:t xml:space="preserve"> </w:t>
      </w:r>
      <w:r>
        <w:rPr>
          <w:rtl w:val="true"/>
        </w:rPr>
        <w:t>שבעדותו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לקח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למשחקייה</w:t>
      </w:r>
      <w:r>
        <w:rPr>
          <w:rtl w:val="true"/>
        </w:rPr>
        <w:t xml:space="preserve"> </w:t>
      </w:r>
      <w:r>
        <w:rPr>
          <w:rtl w:val="true"/>
        </w:rPr>
        <w:t>משום</w:t>
      </w:r>
      <w:r>
        <w:rPr>
          <w:rtl w:val="true"/>
        </w:rPr>
        <w:t xml:space="preserve"> </w:t>
      </w:r>
      <w:r>
        <w:rPr>
          <w:rtl w:val="true"/>
        </w:rPr>
        <w:t>שהעדיף</w:t>
      </w:r>
      <w:r>
        <w:rPr>
          <w:rtl w:val="true"/>
        </w:rPr>
        <w:t xml:space="preserve"> </w:t>
      </w:r>
      <w:r>
        <w:rPr>
          <w:rtl w:val="true"/>
        </w:rPr>
        <w:t>להמשיך</w:t>
      </w:r>
      <w:r>
        <w:rPr>
          <w:rtl w:val="true"/>
        </w:rPr>
        <w:t xml:space="preserve"> </w:t>
      </w:r>
      <w:r>
        <w:rPr>
          <w:rtl w:val="true"/>
        </w:rPr>
        <w:t>ולשחק</w:t>
      </w:r>
      <w:r>
        <w:rPr>
          <w:rtl w:val="true"/>
        </w:rPr>
        <w:t xml:space="preserve"> </w:t>
      </w:r>
      <w:r>
        <w:rPr>
          <w:rtl w:val="true"/>
        </w:rPr>
        <w:t>במכשיר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פלייסטיישן</w:t>
      </w:r>
      <w:r>
        <w:rPr>
          <w:rtl w:val="true"/>
        </w:rPr>
        <w:t>" (</w:t>
      </w:r>
      <w:r>
        <w:rPr>
          <w:rtl w:val="true"/>
        </w:rPr>
        <w:t>פרוטוקול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13.2.2022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313-312</w:t>
      </w:r>
      <w:r>
        <w:rPr>
          <w:rtl w:val="true"/>
        </w:rPr>
        <w:t xml:space="preserve">).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שינוי</w:t>
      </w:r>
      <w:r>
        <w:rPr>
          <w:rtl w:val="true"/>
        </w:rPr>
        <w:t xml:space="preserve"> </w:t>
      </w:r>
      <w:r>
        <w:rPr>
          <w:rtl w:val="true"/>
        </w:rPr>
        <w:t>גרסה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הנוגע</w:t>
      </w:r>
      <w:r>
        <w:rPr>
          <w:rtl w:val="true"/>
        </w:rPr>
        <w:t xml:space="preserve"> </w:t>
      </w:r>
      <w:r>
        <w:rPr>
          <w:rtl w:val="true"/>
        </w:rPr>
        <w:t>למעשי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 </w:t>
      </w:r>
      <w:r>
        <w:rPr>
          <w:rtl w:val="true"/>
        </w:rPr>
        <w:t>המיוחסים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נוגע</w:t>
      </w:r>
      <w:r>
        <w:rPr>
          <w:rtl w:val="true"/>
        </w:rPr>
        <w:t xml:space="preserve"> </w:t>
      </w:r>
      <w:r>
        <w:rPr>
          <w:rtl w:val="true"/>
        </w:rPr>
        <w:t>ללב</w:t>
      </w:r>
      <w:r>
        <w:rPr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 </w:t>
      </w:r>
      <w:r>
        <w:rPr>
          <w:rtl w:val="true"/>
        </w:rPr>
        <w:t>ולא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לומר</w:t>
      </w:r>
      <w:r>
        <w:rPr>
          <w:rtl w:val="true"/>
        </w:rPr>
        <w:t xml:space="preserve"> </w:t>
      </w:r>
      <w:r>
        <w:rPr>
          <w:rtl w:val="true"/>
        </w:rPr>
        <w:t>שאינו</w:t>
      </w:r>
      <w:r>
        <w:rPr>
          <w:rtl w:val="true"/>
        </w:rPr>
        <w:t xml:space="preserve"> </w:t>
      </w:r>
      <w:r>
        <w:rPr>
          <w:rtl w:val="true"/>
        </w:rPr>
        <w:t>מהותי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בצדק טענה המשיבה כי </w:t>
      </w:r>
      <w:r>
        <w:rPr>
          <w:rtl w:val="true"/>
        </w:rPr>
        <w:t>סיוע</w:t>
      </w:r>
      <w:r>
        <w:rPr>
          <w:rtl w:val="true"/>
        </w:rPr>
        <w:t xml:space="preserve"> </w:t>
      </w:r>
      <w:r>
        <w:rPr>
          <w:rtl w:val="true"/>
        </w:rPr>
        <w:t>לעדותו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קורבן</w:t>
      </w:r>
      <w:r>
        <w:rPr>
          <w:rtl w:val="true"/>
        </w:rPr>
        <w:t xml:space="preserve"> </w:t>
      </w:r>
      <w:r>
        <w:rPr>
          <w:rtl w:val="true"/>
        </w:rPr>
        <w:t>עבירת</w:t>
      </w:r>
      <w:r>
        <w:rPr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יכול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לבוא</w:t>
      </w:r>
      <w:r>
        <w:rPr>
          <w:rtl w:val="true"/>
        </w:rPr>
        <w:t xml:space="preserve"> </w:t>
      </w:r>
      <w:r>
        <w:rPr>
          <w:rtl w:val="true"/>
        </w:rPr>
        <w:t>מתוך</w:t>
      </w:r>
      <w:r>
        <w:rPr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 xml:space="preserve"> </w:t>
      </w:r>
      <w:r>
        <w:rPr>
          <w:rtl w:val="true"/>
        </w:rPr>
        <w:t>ומצבו</w:t>
      </w:r>
      <w:r>
        <w:rPr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 </w:t>
      </w:r>
      <w:r>
        <w:rPr>
          <w:rtl w:val="true"/>
        </w:rPr>
        <w:t xml:space="preserve">שהתגלה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וב</w:t>
      </w:r>
      <w:r>
        <w:rPr>
          <w:rtl w:val="true"/>
        </w:rPr>
        <w:t>עת</w:t>
      </w:r>
      <w:r>
        <w:rPr>
          <w:rtl w:val="true"/>
        </w:rPr>
        <w:t xml:space="preserve"> </w:t>
      </w:r>
      <w:r>
        <w:rPr>
          <w:rtl w:val="true"/>
        </w:rPr>
        <w:t>שהוא</w:t>
      </w:r>
      <w:r>
        <w:rPr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 </w:t>
      </w:r>
      <w:r>
        <w:rPr>
          <w:rtl w:val="true"/>
        </w:rPr>
        <w:t>להתייחס</w:t>
      </w:r>
      <w:r>
        <w:rPr>
          <w:rtl w:val="true"/>
        </w:rPr>
        <w:t xml:space="preserve"> </w:t>
      </w:r>
      <w:r>
        <w:rPr>
          <w:rtl w:val="true"/>
        </w:rPr>
        <w:t xml:space="preserve">אליה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76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6140/11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; 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3619/14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3.9.2015</w:t>
      </w:r>
      <w:r>
        <w:rPr>
          <w:rtl w:val="true"/>
        </w:rPr>
        <w:t xml:space="preserve">);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4121/20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1.7.2021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מכאן שגם עדותה של ס</w:t>
      </w:r>
      <w:r>
        <w:rPr>
          <w:rtl w:val="true"/>
        </w:rPr>
        <w:t xml:space="preserve">' </w:t>
      </w:r>
      <w:r>
        <w:rPr>
          <w:rtl w:val="true"/>
        </w:rPr>
        <w:t>אמו של ב</w:t>
      </w:r>
      <w:r>
        <w:rPr>
          <w:rtl w:val="true"/>
        </w:rPr>
        <w:t xml:space="preserve">', </w:t>
      </w:r>
      <w:r>
        <w:rPr>
          <w:rtl w:val="true"/>
        </w:rPr>
        <w:t>שנמצאה מהימנה</w:t>
      </w:r>
      <w:r>
        <w:rPr>
          <w:rtl w:val="true"/>
        </w:rPr>
        <w:t xml:space="preserve">, </w:t>
      </w:r>
      <w:r>
        <w:rPr>
          <w:rtl w:val="true"/>
        </w:rPr>
        <w:t>על מצבו הנפשי של ב</w:t>
      </w:r>
      <w:r>
        <w:rPr>
          <w:rtl w:val="true"/>
        </w:rPr>
        <w:t xml:space="preserve">' </w:t>
      </w:r>
      <w:r>
        <w:rPr>
          <w:rtl w:val="true"/>
        </w:rPr>
        <w:t>בעת חשיפת המעשים והתנהגותו בקשר לכך עולה אף היא כדי סיוע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מעדותה עולה כי כאשר ב</w:t>
      </w:r>
      <w:r>
        <w:rPr>
          <w:rtl w:val="true"/>
        </w:rPr>
        <w:t xml:space="preserve">' </w:t>
      </w:r>
      <w:r>
        <w:rPr>
          <w:rtl w:val="true"/>
        </w:rPr>
        <w:t>סיפר על מעשיו של המערער הוא חשש מתגובתה וביקש כי לא תכעס עליו ואמר לה</w:t>
      </w:r>
      <w:r>
        <w:rPr>
          <w:rtl w:val="true"/>
        </w:rPr>
        <w:t>: "</w:t>
      </w:r>
      <w:r>
        <w:rPr>
          <w:rtl w:val="true"/>
        </w:rPr>
        <w:t>אל תתעצבני עליי ואל תרביצי לי</w:t>
      </w:r>
      <w:r>
        <w:rPr>
          <w:rtl w:val="true"/>
        </w:rPr>
        <w:t>" (</w:t>
      </w:r>
      <w:r>
        <w:rPr>
          <w:rtl w:val="true"/>
        </w:rPr>
        <w:t xml:space="preserve">פרוטוקול הדיון מיום </w:t>
      </w:r>
      <w:r>
        <w:rPr/>
        <w:t>18.7.2021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26-21</w:t>
      </w:r>
      <w:r>
        <w:rPr>
          <w:rtl w:val="true"/>
        </w:rPr>
        <w:t xml:space="preserve">) </w:t>
      </w:r>
      <w:r>
        <w:rPr>
          <w:rtl w:val="true"/>
        </w:rPr>
        <w:t xml:space="preserve">וכן פחד מתגובתה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33</w:t>
      </w:r>
      <w:r>
        <w:rPr>
          <w:rtl w:val="true"/>
        </w:rPr>
        <w:t xml:space="preserve">).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כאשר סיפר את הדברים היה נראה ש</w:t>
      </w:r>
      <w:r>
        <w:rPr>
          <w:rtl w:val="true"/>
        </w:rPr>
        <w:t>"</w:t>
      </w:r>
      <w:r>
        <w:rPr>
          <w:rtl w:val="true"/>
        </w:rPr>
        <w:t>משהו כאילו כבד לו</w:t>
      </w:r>
      <w:r>
        <w:rPr>
          <w:rtl w:val="true"/>
        </w:rPr>
        <w:t>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 xml:space="preserve">והוא אף צעק והיה נסער </w:t>
      </w:r>
      <w:r>
        <w:rPr>
          <w:rtl w:val="true"/>
        </w:rPr>
        <w:t>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3-2</w:t>
      </w:r>
      <w:r>
        <w:rPr>
          <w:rtl w:val="true"/>
        </w:rPr>
        <w:t xml:space="preserve">). </w:t>
      </w:r>
      <w:r>
        <w:rPr>
          <w:rtl w:val="true"/>
        </w:rPr>
        <w:t>חששו של ב</w:t>
      </w:r>
      <w:r>
        <w:rPr>
          <w:rtl w:val="true"/>
        </w:rPr>
        <w:t xml:space="preserve">' </w:t>
      </w:r>
      <w:r>
        <w:rPr>
          <w:rtl w:val="true"/>
        </w:rPr>
        <w:t>מתגובת אמו אם יספר לה על המעשים נראית כתגובה אותנטית ומתיישבת גם היא עם אמירת אמת</w:t>
      </w:r>
      <w:r>
        <w:rPr>
          <w:rtl w:val="true"/>
        </w:rPr>
        <w:t xml:space="preserve">, </w:t>
      </w:r>
      <w:r>
        <w:rPr>
          <w:rtl w:val="true"/>
        </w:rPr>
        <w:t>וכך גם סערת הרגשות בה היה מצוי בעת שתיאר את אשר עבר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בכל הנוגע לראיית הסיוע הנוספת</w:t>
      </w:r>
      <w:r>
        <w:rPr>
          <w:rtl w:val="true"/>
        </w:rPr>
        <w:t xml:space="preserve">, </w:t>
      </w:r>
      <w:r>
        <w:rPr>
          <w:rtl w:val="true"/>
        </w:rPr>
        <w:t xml:space="preserve">מוכן אני להניח לטובת המערער כי ידיעת פרטים מיוחדים </w:t>
      </w:r>
      <w:r>
        <w:rPr>
          <w:rtl w:val="true"/>
        </w:rPr>
        <w:t>(</w:t>
      </w:r>
      <w:r>
        <w:rPr>
          <w:rtl w:val="true"/>
        </w:rPr>
        <w:t>או מוכמנים</w:t>
      </w:r>
      <w:r>
        <w:rPr>
          <w:rtl w:val="true"/>
        </w:rPr>
        <w:t xml:space="preserve">) </w:t>
      </w:r>
      <w:r>
        <w:rPr>
          <w:rtl w:val="true"/>
        </w:rPr>
        <w:t xml:space="preserve">לרוב מתייחסת לקיומו של </w:t>
      </w:r>
      <w:r>
        <w:rPr>
          <w:rFonts w:ascii="Century" w:hAnsi="Century" w:cs="Century"/>
          <w:sz w:val="22"/>
          <w:sz w:val="22"/>
          <w:rtl w:val="true"/>
        </w:rPr>
        <w:t>נתון אובייקטיבי</w:t>
      </w:r>
      <w:r>
        <w:rPr>
          <w:rtl w:val="true"/>
        </w:rPr>
        <w:t xml:space="preserve"> אשר מתיישב עם גרסת העד ומוכחש על ידי הנאשם </w:t>
      </w:r>
      <w:r>
        <w:rPr>
          <w:rtl w:val="true"/>
        </w:rPr>
        <w:t>(</w:t>
      </w:r>
      <w:r>
        <w:rPr>
          <w:rtl w:val="true"/>
        </w:rPr>
        <w:t xml:space="preserve">למשל כאשר מתלונן יודע לזהות את ביתו של הנאשם בעוד הנאשם מכחיש כי המתלונן ביקר בו אי פעם </w:t>
      </w:r>
      <w:r>
        <w:rPr>
          <w:rtl w:val="true"/>
        </w:rPr>
        <w:t>(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8805/14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54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7.1.2016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tl w:val="true"/>
        </w:rPr>
        <w:t>);</w:t>
      </w:r>
      <w:r>
        <w:rPr>
          <w:rtl w:val="true"/>
        </w:rPr>
        <w:t xml:space="preserve"> </w:t>
      </w:r>
      <w:r>
        <w:rPr>
          <w:rtl w:val="true"/>
        </w:rPr>
        <w:t xml:space="preserve">או כאשר מתלונן מצביע על </w:t>
      </w:r>
      <w:r>
        <w:rPr>
          <w:rtl w:val="true"/>
        </w:rPr>
        <w:t>סימנים</w:t>
      </w:r>
      <w:r>
        <w:rPr>
          <w:rtl w:val="true"/>
        </w:rPr>
        <w:t xml:space="preserve"> </w:t>
      </w:r>
      <w:r>
        <w:rPr>
          <w:rtl w:val="true"/>
        </w:rPr>
        <w:t>מיוחדים</w:t>
      </w:r>
      <w:r>
        <w:rPr>
          <w:rtl w:val="true"/>
        </w:rPr>
        <w:t xml:space="preserve"> </w:t>
      </w:r>
      <w:r>
        <w:rPr>
          <w:rtl w:val="true"/>
        </w:rPr>
        <w:t>במקומות</w:t>
      </w:r>
      <w:r>
        <w:rPr>
          <w:rtl w:val="true"/>
        </w:rPr>
        <w:t xml:space="preserve"> </w:t>
      </w:r>
      <w:r>
        <w:rPr>
          <w:rtl w:val="true"/>
        </w:rPr>
        <w:t>אינטימיים</w:t>
      </w:r>
      <w:r>
        <w:rPr>
          <w:rtl w:val="true"/>
        </w:rPr>
        <w:t xml:space="preserve"> </w:t>
      </w:r>
      <w:r>
        <w:rPr>
          <w:rtl w:val="true"/>
        </w:rPr>
        <w:t>בגוף</w:t>
      </w:r>
      <w:r>
        <w:rPr>
          <w:rtl w:val="true"/>
        </w:rPr>
        <w:t xml:space="preserve"> </w:t>
      </w:r>
      <w:r>
        <w:rPr>
          <w:rtl w:val="true"/>
        </w:rPr>
        <w:t xml:space="preserve">הנאשם </w:t>
      </w:r>
      <w:r>
        <w:rPr>
          <w:rtl w:val="true"/>
        </w:rPr>
        <w:t>ואילו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מכחיש</w:t>
      </w:r>
      <w:r>
        <w:rPr>
          <w:rtl w:val="true"/>
        </w:rPr>
        <w:t xml:space="preserve"> </w:t>
      </w:r>
      <w:r>
        <w:rPr>
          <w:rtl w:val="true"/>
        </w:rPr>
        <w:t>קיומו</w:t>
      </w:r>
      <w:r>
        <w:rPr>
          <w:rtl w:val="true"/>
        </w:rPr>
        <w:t xml:space="preserve"> </w:t>
      </w:r>
      <w:r>
        <w:rPr>
          <w:rtl w:val="true"/>
        </w:rPr>
        <w:t xml:space="preserve">של </w:t>
      </w:r>
      <w:r>
        <w:rPr>
          <w:rtl w:val="true"/>
        </w:rPr>
        <w:t>מגע</w:t>
      </w:r>
      <w:r>
        <w:rPr>
          <w:rtl w:val="true"/>
        </w:rPr>
        <w:t xml:space="preserve"> </w:t>
      </w:r>
      <w:r>
        <w:rPr>
          <w:rtl w:val="true"/>
        </w:rPr>
        <w:t xml:space="preserve">כלשהו </w:t>
      </w:r>
      <w:r>
        <w:rPr>
          <w:rtl w:val="true"/>
        </w:rPr>
        <w:t>א</w:t>
      </w:r>
      <w:r>
        <w:rPr>
          <w:rtl w:val="true"/>
        </w:rPr>
        <w:t>י</w:t>
      </w:r>
      <w:r>
        <w:rPr>
          <w:rtl w:val="true"/>
        </w:rPr>
        <w:t>ת</w:t>
      </w:r>
      <w:r>
        <w:rPr>
          <w:rtl w:val="true"/>
        </w:rPr>
        <w:t xml:space="preserve">ו </w:t>
      </w:r>
      <w:r>
        <w:rPr>
          <w:rtl w:val="true"/>
        </w:rPr>
        <w:t>(</w:t>
      </w:r>
      <w:r>
        <w:rPr>
          <w:rtl w:val="true"/>
        </w:rPr>
        <w:t>וראו למשל</w:t>
      </w:r>
      <w:r>
        <w:rPr>
          <w:rtl w:val="true"/>
        </w:rPr>
        <w:t xml:space="preserve">: </w:t>
      </w:r>
      <w:hyperlink r:id="rId80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</w:rPr>
          <w:t>6279/03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10</w:t>
      </w:r>
      <w:r>
        <w:rPr>
          <w:rtl w:val="true"/>
        </w:rPr>
        <w:t xml:space="preserve">; 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9804/08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14.4.2011</w:t>
      </w:r>
      <w:r>
        <w:rPr>
          <w:rtl w:val="true"/>
        </w:rPr>
        <w:t xml:space="preserve">))). </w:t>
      </w:r>
      <w:r>
        <w:rPr>
          <w:rtl w:val="true"/>
        </w:rPr>
        <w:t>ברם גם אם היה ניתן לקבל את טענת המערער כי בענייננו תיאורו של ב</w:t>
      </w:r>
      <w:r>
        <w:rPr>
          <w:rtl w:val="true"/>
        </w:rPr>
        <w:t xml:space="preserve">' </w:t>
      </w:r>
      <w:r>
        <w:rPr>
          <w:rtl w:val="true"/>
        </w:rPr>
        <w:t xml:space="preserve">בדבר אופן יציאת הזרע איננו פרט מיוחד אשר ממלא אחר דרישת הסיוע כשלעצמו </w:t>
      </w:r>
      <w:r>
        <w:rPr>
          <w:rtl w:val="true"/>
        </w:rPr>
        <w:t>(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בנטו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61</w:t>
      </w:r>
      <w:r>
        <w:rPr>
          <w:rtl w:val="true"/>
        </w:rPr>
        <w:t xml:space="preserve">), </w:t>
      </w:r>
      <w:r>
        <w:rPr>
          <w:rtl w:val="true"/>
        </w:rPr>
        <w:t>די בענייננו באמור לעיל לצורך מילוי דרישת הסיוע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בשולי עניין זה אוסיף כי לא מצאתי ממש בטענותיו הנוספות של המערער בקשר לקביעותיו של בית המשפט המחוזי</w:t>
      </w:r>
      <w:r>
        <w:rPr>
          <w:rtl w:val="true"/>
        </w:rPr>
        <w:t xml:space="preserve">. </w:t>
      </w:r>
      <w:r>
        <w:rPr>
          <w:rtl w:val="true"/>
        </w:rPr>
        <w:t>כך ביחס לטענת זיהום עדותו של ב</w:t>
      </w:r>
      <w:r>
        <w:rPr>
          <w:rtl w:val="true"/>
        </w:rPr>
        <w:t xml:space="preserve">' </w:t>
      </w:r>
      <w:r>
        <w:rPr>
          <w:rtl w:val="true"/>
        </w:rPr>
        <w:t>על ידי האם</w:t>
      </w:r>
      <w:r>
        <w:rPr>
          <w:rtl w:val="true"/>
        </w:rPr>
        <w:t xml:space="preserve">, </w:t>
      </w:r>
      <w:r>
        <w:rPr>
          <w:rtl w:val="true"/>
        </w:rPr>
        <w:t>טענה אשר אליה התייחס בית המשפט בהרחבה</w:t>
      </w:r>
      <w:r>
        <w:rPr>
          <w:rtl w:val="true"/>
        </w:rPr>
        <w:t xml:space="preserve">, </w:t>
      </w:r>
      <w:r>
        <w:rPr>
          <w:rtl w:val="true"/>
        </w:rPr>
        <w:t>ולגביה נחקרה באריכות חוקרת הילדים</w:t>
      </w:r>
      <w:r>
        <w:rPr>
          <w:rtl w:val="true"/>
        </w:rPr>
        <w:t xml:space="preserve">, </w:t>
      </w:r>
      <w:r>
        <w:rPr>
          <w:rtl w:val="true"/>
        </w:rPr>
        <w:t>אשר לא זיהתה סממנים במקרה זה ל</w:t>
      </w:r>
      <w:r>
        <w:rPr>
          <w:rtl w:val="true"/>
        </w:rPr>
        <w:t>"</w:t>
      </w:r>
      <w:r>
        <w:rPr>
          <w:rtl w:val="true"/>
        </w:rPr>
        <w:t>זיהום חקירתי</w:t>
      </w:r>
      <w:r>
        <w:rPr>
          <w:rtl w:val="true"/>
        </w:rPr>
        <w:t xml:space="preserve">". </w:t>
      </w:r>
      <w:r>
        <w:rPr>
          <w:rtl w:val="true"/>
        </w:rPr>
        <w:t>כפי שנפסק לא אחת</w:t>
      </w:r>
      <w:r>
        <w:rPr>
          <w:rtl w:val="true"/>
        </w:rPr>
        <w:t xml:space="preserve">, </w:t>
      </w:r>
      <w:r>
        <w:rPr>
          <w:rtl w:val="true"/>
        </w:rPr>
        <w:t xml:space="preserve">לא כל </w:t>
      </w:r>
      <w:r>
        <w:rPr>
          <w:rtl w:val="true"/>
        </w:rPr>
        <w:t>שיחה</w:t>
      </w:r>
      <w:r>
        <w:rPr>
          <w:rtl w:val="true"/>
        </w:rPr>
        <w:t xml:space="preserve"> </w:t>
      </w:r>
      <w:r>
        <w:rPr>
          <w:rtl w:val="true"/>
        </w:rPr>
        <w:t>שמתקיימת</w:t>
      </w:r>
      <w:r>
        <w:rPr>
          <w:rtl w:val="true"/>
        </w:rPr>
        <w:t xml:space="preserve"> </w:t>
      </w:r>
      <w:r>
        <w:rPr>
          <w:rtl w:val="true"/>
        </w:rPr>
        <w:t>לפני</w:t>
      </w:r>
      <w:r>
        <w:rPr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בעלת</w:t>
      </w:r>
      <w:r>
        <w:rPr>
          <w:rtl w:val="true"/>
        </w:rPr>
        <w:t xml:space="preserve"> </w:t>
      </w:r>
      <w:r>
        <w:rPr>
          <w:rtl w:val="true"/>
        </w:rPr>
        <w:t>פוטנציאל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זיהומי</w:t>
      </w:r>
      <w:r>
        <w:rPr>
          <w:rtl w:val="true"/>
        </w:rPr>
        <w:t>",</w:t>
      </w:r>
      <w:r>
        <w:rPr>
          <w:rtl w:val="true"/>
        </w:rPr>
        <w:t xml:space="preserve"> </w:t>
      </w:r>
      <w:r>
        <w:rPr>
          <w:rtl w:val="true"/>
        </w:rPr>
        <w:t>וודאי שעה שמדובר ב</w:t>
      </w:r>
      <w:r>
        <w:rPr>
          <w:rtl w:val="true"/>
        </w:rPr>
        <w:t>שיחה</w:t>
      </w:r>
      <w:r>
        <w:rPr>
          <w:rtl w:val="true"/>
        </w:rPr>
        <w:t xml:space="preserve"> </w:t>
      </w:r>
      <w:r>
        <w:rPr>
          <w:rtl w:val="true"/>
        </w:rPr>
        <w:t>שבמסגרתה</w:t>
      </w:r>
      <w:r>
        <w:rPr>
          <w:rtl w:val="true"/>
        </w:rPr>
        <w:t xml:space="preserve"> </w:t>
      </w:r>
      <w:r>
        <w:rPr>
          <w:rtl w:val="true"/>
        </w:rPr>
        <w:t>מבוגר</w:t>
      </w:r>
      <w:r>
        <w:rPr>
          <w:rtl w:val="true"/>
        </w:rPr>
        <w:t xml:space="preserve"> </w:t>
      </w:r>
      <w:r>
        <w:rPr>
          <w:rtl w:val="true"/>
        </w:rPr>
        <w:t>מעודד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הילד</w:t>
      </w:r>
      <w:r>
        <w:rPr>
          <w:rtl w:val="true"/>
        </w:rPr>
        <w:t xml:space="preserve"> </w:t>
      </w:r>
      <w:r>
        <w:rPr>
          <w:rtl w:val="true"/>
        </w:rPr>
        <w:t>לחשוף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הפגיעה</w:t>
      </w:r>
      <w:r>
        <w:rPr>
          <w:rtl w:val="true"/>
        </w:rPr>
        <w:t xml:space="preserve"> </w:t>
      </w:r>
      <w:r>
        <w:rPr>
          <w:rtl w:val="true"/>
        </w:rPr>
        <w:t xml:space="preserve">בו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32</w:t>
      </w:r>
      <w:r>
        <w:rPr>
          <w:rtl w:val="true"/>
        </w:rPr>
        <w:t xml:space="preserve">). </w:t>
      </w:r>
      <w:r>
        <w:rPr>
          <w:rtl w:val="true"/>
        </w:rPr>
        <w:t xml:space="preserve">כך גם בנוגע לטענת המערער כי הוצגו ראיות בדבר </w:t>
      </w:r>
      <w:r>
        <w:rPr>
          <w:rtl w:val="true"/>
        </w:rPr>
        <w:t>"</w:t>
      </w:r>
      <w:r>
        <w:rPr>
          <w:rtl w:val="true"/>
        </w:rPr>
        <w:t>התנהגות מינית חריגה</w:t>
      </w:r>
      <w:r>
        <w:rPr>
          <w:rtl w:val="true"/>
        </w:rPr>
        <w:t xml:space="preserve">" </w:t>
      </w:r>
      <w:r>
        <w:rPr>
          <w:rtl w:val="true"/>
        </w:rPr>
        <w:t>מצדו של ב</w:t>
      </w:r>
      <w:r>
        <w:rPr>
          <w:rtl w:val="true"/>
        </w:rPr>
        <w:t xml:space="preserve">'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אשר עשויה לטענתו להסביר את תיאור המעשה שב</w:t>
      </w:r>
      <w:r>
        <w:rPr>
          <w:rtl w:val="true"/>
        </w:rPr>
        <w:t xml:space="preserve">' </w:t>
      </w:r>
      <w:r>
        <w:rPr>
          <w:rtl w:val="true"/>
        </w:rPr>
        <w:t xml:space="preserve">מייחס לו </w:t>
      </w:r>
      <w:r>
        <w:rPr>
          <w:rtl w:val="true"/>
        </w:rPr>
        <w:t>–</w:t>
      </w:r>
      <w:r>
        <w:rPr>
          <w:rtl w:val="true"/>
        </w:rPr>
        <w:t xml:space="preserve"> אין בה כדי להשפיע במאומה על המכלול הראייתי שפורט בעניין המעשים שביצע</w:t>
      </w:r>
      <w:r>
        <w:rPr>
          <w:rtl w:val="true"/>
        </w:rPr>
        <w:t xml:space="preserve">. </w:t>
      </w:r>
      <w:r>
        <w:rPr>
          <w:rtl w:val="true"/>
        </w:rPr>
        <w:t>זאת כאשר הטענה ל</w:t>
      </w:r>
      <w:r>
        <w:rPr>
          <w:rtl w:val="true"/>
        </w:rPr>
        <w:t>"</w:t>
      </w:r>
      <w:r>
        <w:rPr>
          <w:rtl w:val="true"/>
        </w:rPr>
        <w:t>התנהגות מינית חריגה</w:t>
      </w:r>
      <w:r>
        <w:rPr>
          <w:rtl w:val="true"/>
        </w:rPr>
        <w:t xml:space="preserve">" </w:t>
      </w:r>
      <w:r>
        <w:rPr>
          <w:rtl w:val="true"/>
        </w:rPr>
        <w:t>נחלקת לשני עניינים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tl w:val="true"/>
        </w:rPr>
        <w:t xml:space="preserve">, </w:t>
      </w:r>
      <w:r>
        <w:rPr>
          <w:rtl w:val="true"/>
        </w:rPr>
        <w:t>צפייה בסרטים פורנוגרפיים</w:t>
      </w:r>
      <w:r>
        <w:rPr>
          <w:rtl w:val="true"/>
        </w:rPr>
        <w:t xml:space="preserve">, </w:t>
      </w:r>
      <w:r>
        <w:rPr>
          <w:rtl w:val="true"/>
        </w:rPr>
        <w:t>שנקבע כקביעה עובדתית על ידי בית המשפט המחוזי כי המערער הוא זה שהראה לב</w:t>
      </w:r>
      <w:r>
        <w:rPr>
          <w:rtl w:val="true"/>
        </w:rPr>
        <w:t xml:space="preserve">' </w:t>
      </w:r>
      <w:r>
        <w:rPr>
          <w:rtl w:val="true"/>
        </w:rPr>
        <w:t>סרטים אלו ועל כן טענה זו אינה יכולה להישמע</w:t>
      </w:r>
      <w:r>
        <w:rPr>
          <w:rtl w:val="true"/>
        </w:rPr>
        <w:t xml:space="preserve">; </w:t>
      </w:r>
      <w:r>
        <w:rPr>
          <w:rtl w:val="true"/>
        </w:rPr>
        <w:t>והשנייה</w:t>
      </w:r>
      <w:r>
        <w:rPr>
          <w:rtl w:val="true"/>
        </w:rPr>
        <w:t xml:space="preserve">, </w:t>
      </w:r>
      <w:r>
        <w:rPr>
          <w:rtl w:val="true"/>
        </w:rPr>
        <w:t>בקשר ל</w:t>
      </w:r>
      <w:r>
        <w:rPr>
          <w:rtl w:val="true"/>
        </w:rPr>
        <w:t>"</w:t>
      </w:r>
      <w:r>
        <w:rPr>
          <w:rtl w:val="true"/>
        </w:rPr>
        <w:t>משחק</w:t>
      </w:r>
      <w:r>
        <w:rPr>
          <w:rtl w:val="true"/>
        </w:rPr>
        <w:t xml:space="preserve">" </w:t>
      </w:r>
      <w:r>
        <w:rPr>
          <w:rtl w:val="true"/>
        </w:rPr>
        <w:t>של רופא</w:t>
      </w:r>
      <w:r>
        <w:rPr>
          <w:rtl w:val="true"/>
        </w:rPr>
        <w:t>-</w:t>
      </w:r>
      <w:r>
        <w:rPr>
          <w:rtl w:val="true"/>
        </w:rPr>
        <w:t>חולה בין ב</w:t>
      </w:r>
      <w:r>
        <w:rPr>
          <w:rtl w:val="true"/>
        </w:rPr>
        <w:t xml:space="preserve">' </w:t>
      </w:r>
      <w:r>
        <w:rPr>
          <w:rtl w:val="true"/>
        </w:rPr>
        <w:t>לבין בת דודתו א</w:t>
      </w:r>
      <w:r>
        <w:rPr>
          <w:rtl w:val="true"/>
        </w:rPr>
        <w:t>.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שכלל נגיעה במקומות אינטימיים</w:t>
      </w:r>
      <w:r>
        <w:rPr>
          <w:rtl w:val="true"/>
        </w:rPr>
        <w:t xml:space="preserve">, </w:t>
      </w:r>
      <w:r>
        <w:rPr>
          <w:rtl w:val="true"/>
        </w:rPr>
        <w:t>שאין לו קשר לאירוע מושא כתב האישום</w:t>
      </w:r>
      <w:r>
        <w:rPr>
          <w:rtl w:val="true"/>
        </w:rPr>
        <w:t xml:space="preserve">, </w:t>
      </w:r>
      <w:r>
        <w:rPr>
          <w:rtl w:val="true"/>
        </w:rPr>
        <w:t>למעט העובדה שהמערער איים על ב</w:t>
      </w:r>
      <w:r>
        <w:rPr>
          <w:rtl w:val="true"/>
        </w:rPr>
        <w:t xml:space="preserve">' </w:t>
      </w:r>
      <w:r>
        <w:rPr>
          <w:rtl w:val="true"/>
        </w:rPr>
        <w:t>כי יספר לאמו על כך</w:t>
      </w:r>
      <w:r>
        <w:rPr>
          <w:rtl w:val="true"/>
        </w:rPr>
        <w:t xml:space="preserve">. </w:t>
      </w:r>
      <w:r>
        <w:rPr>
          <w:rtl w:val="true"/>
        </w:rPr>
        <w:t>אין בכך אפוא כדי לשנות מן המסקנה אליה הגיע בית המשפט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ובטרם סיום אציין כי אמנם הטענות שנדונו לעיל הן טענות שוליות באופן יחסי לערעור כולו </w:t>
      </w:r>
      <w:r>
        <w:rPr>
          <w:rtl w:val="true"/>
        </w:rPr>
        <w:t>–</w:t>
      </w:r>
      <w:r>
        <w:rPr>
          <w:rtl w:val="true"/>
        </w:rPr>
        <w:t xml:space="preserve"> שהתמקד בעיקר בסיפור ההודאה </w:t>
      </w:r>
      <w:r>
        <w:rPr>
          <w:rtl w:val="true"/>
        </w:rPr>
        <w:t>–</w:t>
      </w:r>
      <w:r>
        <w:rPr>
          <w:rtl w:val="true"/>
        </w:rPr>
        <w:t xml:space="preserve"> אך סילוקן מעל פני השטח דרוש לצורך הבהרת התמונה כולה</w:t>
      </w:r>
      <w:r>
        <w:rPr>
          <w:rtl w:val="true"/>
        </w:rPr>
        <w:t xml:space="preserve">. </w:t>
      </w:r>
      <w:r>
        <w:rPr>
          <w:rtl w:val="true"/>
        </w:rPr>
        <w:t>ומכאן אפוא ל</w:t>
      </w:r>
      <w:r>
        <w:rPr>
          <w:rtl w:val="true"/>
        </w:rPr>
        <w:t>"</w:t>
      </w:r>
      <w:r>
        <w:rPr>
          <w:rtl w:val="true"/>
        </w:rPr>
        <w:t>סיפור ההודאה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סיפור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ההודאה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במוקד הערעור עומדות כאמור טענות המערער בקשר לסיפור ההודאה</w:t>
      </w:r>
      <w:r>
        <w:rPr>
          <w:rtl w:val="true"/>
        </w:rPr>
        <w:t xml:space="preserve">, </w:t>
      </w:r>
      <w:r>
        <w:rPr>
          <w:rtl w:val="true"/>
        </w:rPr>
        <w:t>קבילותו ומשקלו</w:t>
      </w:r>
      <w:r>
        <w:rPr>
          <w:rtl w:val="true"/>
        </w:rPr>
        <w:t xml:space="preserve">. </w:t>
      </w:r>
      <w:r>
        <w:rPr>
          <w:rtl w:val="true"/>
        </w:rPr>
        <w:t>אלא שיש לזכור כי הכרעת הדין מתבססת בעיקר על עדותו של ב</w:t>
      </w:r>
      <w:r>
        <w:rPr>
          <w:rtl w:val="true"/>
        </w:rPr>
        <w:t xml:space="preserve">' </w:t>
      </w:r>
      <w:r>
        <w:rPr>
          <w:rtl w:val="true"/>
        </w:rPr>
        <w:t>לפני חוקרת הילדים שמתקיימת לגביה כאמור לעיל דרישת הסיוע</w:t>
      </w:r>
      <w:r>
        <w:rPr>
          <w:rtl w:val="true"/>
        </w:rPr>
        <w:t xml:space="preserve">; </w:t>
      </w:r>
      <w:r>
        <w:rPr>
          <w:rtl w:val="true"/>
        </w:rPr>
        <w:t>ועל הערכת מהימנות הנוגעת לא רק לחוקרת הילדים</w:t>
      </w:r>
      <w:r>
        <w:rPr>
          <w:rtl w:val="true"/>
        </w:rPr>
        <w:t xml:space="preserve">, </w:t>
      </w:r>
      <w:r>
        <w:rPr>
          <w:rtl w:val="true"/>
        </w:rPr>
        <w:t>אלא גם לעדויותיהם של עדים נוספים בהם המערער עצמו</w:t>
      </w:r>
      <w:r>
        <w:rPr>
          <w:rtl w:val="true"/>
        </w:rPr>
        <w:t xml:space="preserve">, </w:t>
      </w:r>
      <w:r>
        <w:rPr>
          <w:rtl w:val="true"/>
        </w:rPr>
        <w:t>אביו ודודותיו</w:t>
      </w:r>
      <w:r>
        <w:rPr>
          <w:rtl w:val="true"/>
        </w:rPr>
        <w:t xml:space="preserve">. </w:t>
      </w:r>
      <w:r>
        <w:rPr>
          <w:rtl w:val="true"/>
        </w:rPr>
        <w:t xml:space="preserve">על כן הדיון להלן הוא רק על דרך </w:t>
      </w:r>
      <w:r>
        <w:rPr>
          <w:rtl w:val="true"/>
        </w:rPr>
        <w:t>"</w:t>
      </w:r>
      <w:r>
        <w:rPr>
          <w:rtl w:val="true"/>
        </w:rPr>
        <w:t>למעלה מן הצורך</w:t>
      </w:r>
      <w:r>
        <w:rPr>
          <w:rtl w:val="true"/>
        </w:rPr>
        <w:t xml:space="preserve">", </w:t>
      </w:r>
      <w:r>
        <w:rPr>
          <w:rtl w:val="true"/>
        </w:rPr>
        <w:t xml:space="preserve">שכן הרשעתו של המערער התבססה כדבעי גם ללא </w:t>
      </w:r>
      <w:r>
        <w:rPr>
          <w:rtl w:val="true"/>
        </w:rPr>
        <w:t>"</w:t>
      </w:r>
      <w:r>
        <w:rPr>
          <w:rtl w:val="true"/>
        </w:rPr>
        <w:t>סיפור ההודאה</w:t>
      </w:r>
      <w:r>
        <w:rPr>
          <w:rtl w:val="true"/>
        </w:rPr>
        <w:t>".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ראשית ייאמר</w:t>
      </w:r>
      <w:r>
        <w:rPr>
          <w:rtl w:val="true"/>
        </w:rPr>
        <w:t xml:space="preserve">, </w:t>
      </w:r>
      <w:r>
        <w:rPr>
          <w:rtl w:val="true"/>
        </w:rPr>
        <w:t>כי הדגש המוסב על טענותיו של המערער בקשר לסיפור ההודאה אינו הולם כלל את משקלה של ראיה זו בהכרעת דינו של בית המשפט</w:t>
      </w:r>
      <w:r>
        <w:rPr>
          <w:rtl w:val="true"/>
        </w:rPr>
        <w:t xml:space="preserve">, </w:t>
      </w:r>
      <w:r>
        <w:rPr>
          <w:rtl w:val="true"/>
        </w:rPr>
        <w:t xml:space="preserve">לגביה נקבע כי </w:t>
      </w:r>
      <w:r>
        <w:rPr>
          <w:rtl w:val="true"/>
        </w:rPr>
        <w:t>"</w:t>
      </w:r>
      <w:r>
        <w:rPr>
          <w:rtl w:val="true"/>
        </w:rPr>
        <w:t xml:space="preserve">משקלה הפנימי </w:t>
      </w:r>
      <w:r>
        <w:rPr>
          <w:rtl w:val="true"/>
        </w:rPr>
        <w:t xml:space="preserve">[...] </w:t>
      </w:r>
      <w:r>
        <w:rPr>
          <w:rtl w:val="true"/>
        </w:rPr>
        <w:t>איננו מירבי</w:t>
      </w:r>
      <w:r>
        <w:rPr>
          <w:rtl w:val="true"/>
        </w:rPr>
        <w:t>" (</w:t>
      </w:r>
      <w:r>
        <w:rPr>
          <w:rtl w:val="true"/>
        </w:rPr>
        <w:t xml:space="preserve">פסקה </w:t>
      </w:r>
      <w:r>
        <w:rPr/>
        <w:t>365</w:t>
      </w:r>
      <w:r>
        <w:rPr>
          <w:rtl w:val="true"/>
        </w:rPr>
        <w:t xml:space="preserve"> </w:t>
      </w:r>
      <w:r>
        <w:rPr>
          <w:rtl w:val="true"/>
        </w:rPr>
        <w:t>להכרעת הדין</w:t>
      </w:r>
      <w:r>
        <w:rPr>
          <w:rtl w:val="true"/>
        </w:rPr>
        <w:t xml:space="preserve">). </w:t>
      </w:r>
      <w:r>
        <w:rPr>
          <w:rtl w:val="true"/>
        </w:rPr>
        <w:t xml:space="preserve">בכך די כדי לסתום את הגולל על טענת המערער כי </w:t>
      </w:r>
      <w:r>
        <w:rPr>
          <w:rtl w:val="true"/>
        </w:rPr>
        <w:t>"</w:t>
      </w:r>
      <w:r>
        <w:rPr>
          <w:rtl w:val="true"/>
        </w:rPr>
        <w:t xml:space="preserve">ראיה זו שימשה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כנדבך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מרכזי</w:t>
      </w:r>
      <w:r>
        <w:rPr>
          <w:rtl w:val="true"/>
        </w:rPr>
        <w:t xml:space="preserve"> עליו ביסס ביהמ</w:t>
      </w:r>
      <w:r>
        <w:rPr>
          <w:rtl w:val="true"/>
        </w:rPr>
        <w:t>"</w:t>
      </w:r>
      <w:r>
        <w:rPr>
          <w:rtl w:val="true"/>
        </w:rPr>
        <w:t>ש קמא את נימוקיו העיקריים לקביעה כי המערער אחראי למעשים המיוחסים בפרט האישום השני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לעיקרי הטיעון</w:t>
      </w:r>
      <w:r>
        <w:rPr>
          <w:rtl w:val="true"/>
        </w:rPr>
        <w:t xml:space="preserve">; </w:t>
      </w:r>
      <w:r>
        <w:rPr>
          <w:rtl w:val="true"/>
        </w:rPr>
        <w:t>ההדגשה אינה במקור</w:t>
      </w:r>
      <w:r>
        <w:rPr>
          <w:rtl w:val="true"/>
        </w:rPr>
        <w:t xml:space="preserve">). </w:t>
      </w:r>
      <w:r>
        <w:rPr>
          <w:rtl w:val="true"/>
        </w:rPr>
        <w:t xml:space="preserve">בצדק גם טענה המשיבה כי על משקלה המוגבל והשלכותיה המצומצמות של ראיה זו ניתן ללמוד אף מכך שלמרות שההודאה מתייחסת למעשיו של המערער </w:t>
      </w:r>
      <w:r>
        <w:rPr>
          <w:rFonts w:ascii="Century" w:hAnsi="Century" w:cs="Century"/>
          <w:sz w:val="22"/>
          <w:sz w:val="22"/>
          <w:rtl w:val="true"/>
        </w:rPr>
        <w:t>הן כלפי א</w:t>
      </w:r>
      <w:r>
        <w:rPr>
          <w:rFonts w:cs="Century" w:ascii="Century" w:hAnsi="Century"/>
          <w:sz w:val="22"/>
          <w:rtl w:val="true"/>
        </w:rPr>
        <w:t xml:space="preserve">' </w:t>
      </w:r>
      <w:r>
        <w:rPr>
          <w:rFonts w:ascii="Century" w:hAnsi="Century" w:cs="Century"/>
          <w:sz w:val="22"/>
          <w:sz w:val="22"/>
          <w:rtl w:val="true"/>
        </w:rPr>
        <w:t>והן כלפי ב</w:t>
      </w:r>
      <w:r>
        <w:rPr>
          <w:rFonts w:cs="Century" w:ascii="Century" w:hAnsi="Century"/>
          <w:sz w:val="22"/>
          <w:rtl w:val="true"/>
        </w:rPr>
        <w:t xml:space="preserve">', </w:t>
      </w:r>
      <w:r>
        <w:rPr>
          <w:rFonts w:ascii="Century" w:hAnsi="Century" w:cs="Century"/>
          <w:sz w:val="22"/>
          <w:sz w:val="22"/>
          <w:rtl w:val="true"/>
        </w:rPr>
        <w:t>לא</w:t>
      </w:r>
      <w:r>
        <w:rPr>
          <w:rtl w:val="true"/>
        </w:rPr>
        <w:t xml:space="preserve"> היה בכוחה כדי להשליך על זיכויו של המערער מהמעשים המיוחסים לו כלפי א</w:t>
      </w:r>
      <w:r>
        <w:rPr>
          <w:rtl w:val="true"/>
        </w:rPr>
        <w:t xml:space="preserve">', </w:t>
      </w:r>
      <w:r>
        <w:rPr>
          <w:rtl w:val="true"/>
        </w:rPr>
        <w:t>לאחר שנמצא כי עדותו לפני חוקרת הילדים לא הייתה מפורטת דיה ולא משכנעת ברמת הוודאות הנדרשת בהליך הפלילי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גם לגופו של עניין אין ממש בטענות</w:t>
      </w:r>
      <w:r>
        <w:rPr>
          <w:rtl w:val="true"/>
        </w:rPr>
        <w:t xml:space="preserve">. </w:t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כ</w:t>
      </w:r>
      <w:r>
        <w:rPr>
          <w:rtl w:val="true"/>
        </w:rPr>
        <w:t>חריג</w:t>
      </w:r>
      <w:r>
        <w:rPr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 </w:t>
      </w:r>
      <w:r>
        <w:rPr>
          <w:rtl w:val="true"/>
        </w:rPr>
        <w:t>הרשעת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מוגבלת</w:t>
      </w:r>
      <w:r>
        <w:rPr>
          <w:rtl w:val="true"/>
        </w:rPr>
        <w:t xml:space="preserve"> </w:t>
      </w:r>
      <w:r>
        <w:rPr>
          <w:rtl w:val="true"/>
        </w:rPr>
        <w:t>לעובדות</w:t>
      </w:r>
      <w:r>
        <w:rPr>
          <w:rtl w:val="true"/>
        </w:rPr>
        <w:t xml:space="preserve"> </w:t>
      </w:r>
      <w:r>
        <w:rPr>
          <w:rtl w:val="true"/>
        </w:rPr>
        <w:t>ולאישומים</w:t>
      </w:r>
      <w:r>
        <w:rPr>
          <w:rtl w:val="true"/>
        </w:rPr>
        <w:t xml:space="preserve"> </w:t>
      </w:r>
      <w:r>
        <w:rPr>
          <w:rtl w:val="true"/>
        </w:rPr>
        <w:t>שנכללו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המחוקק הכיר באפשרות כי יחולו התפתחויות בהליך באופן שבו יידרש בית המשפט לעובדות שלא פורטו בכתב האישום אך הוכחו במהלך המשפט</w:t>
      </w:r>
      <w:r>
        <w:rPr>
          <w:rtl w:val="true"/>
        </w:rPr>
        <w:t xml:space="preserve">, </w:t>
      </w:r>
      <w:r>
        <w:rPr>
          <w:rtl w:val="true"/>
        </w:rPr>
        <w:t>ואף ירשיע בעקבות זאת בעבירה שהאשמה בה נתגלתה מן העובדות שהוכחו לפניו</w:t>
      </w:r>
      <w:r>
        <w:rPr>
          <w:rtl w:val="true"/>
        </w:rPr>
        <w:t xml:space="preserve">, </w:t>
      </w:r>
      <w:r>
        <w:rPr>
          <w:rtl w:val="true"/>
        </w:rPr>
        <w:t xml:space="preserve">אם </w:t>
      </w:r>
      <w:r>
        <w:rPr>
          <w:rtl w:val="true"/>
        </w:rPr>
        <w:t>ניתנה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הזדמנות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סבירה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להתגונן</w:t>
      </w:r>
      <w:r>
        <w:rPr>
          <w:rtl w:val="true"/>
        </w:rPr>
        <w:t>"</w:t>
      </w:r>
      <w:r>
        <w:rPr>
          <w:rtl w:val="true"/>
        </w:rPr>
        <w:t xml:space="preserve"> (</w:t>
      </w:r>
      <w:hyperlink r:id="rId8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</w:t>
      </w:r>
      <w:hyperlink r:id="rId8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חסד</w:t>
        </w:r>
        <w:r>
          <w:rPr>
            <w:rStyle w:val="Hyperlink"/>
            <w:rFonts w:cs="Miriam" w:ascii="Century" w:hAnsi="Century"/>
            <w:b/>
            <w:color w:val="0000FF"/>
            <w:spacing w:val="0"/>
            <w:sz w:val="22"/>
            <w:szCs w:val="24"/>
            <w:u w:val="single"/>
            <w:rtl w:val="true"/>
          </w:rPr>
          <w:t>"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פ</w:t>
        </w:r>
      </w:hyperlink>
      <w:r>
        <w:rPr>
          <w:rtl w:val="true"/>
        </w:rPr>
        <w:t xml:space="preserve">); </w:t>
      </w:r>
      <w:r>
        <w:rPr>
          <w:rtl w:val="true"/>
        </w:rPr>
        <w:t>וראו בהקשר זה</w:t>
      </w:r>
      <w:r>
        <w:rPr>
          <w:rtl w:val="true"/>
        </w:rPr>
        <w:t xml:space="preserve">: </w:t>
      </w:r>
      <w:hyperlink r:id="rId8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5268/17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שוויש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44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16.2.2022</w:t>
      </w:r>
      <w:r>
        <w:rPr>
          <w:rtl w:val="true"/>
        </w:rPr>
        <w:t>)</w:t>
      </w:r>
      <w:r>
        <w:rPr>
          <w:rtl w:val="true"/>
        </w:rPr>
        <w:t>;</w:t>
      </w:r>
      <w:r>
        <w:rPr>
          <w:rtl w:val="true"/>
        </w:rPr>
        <w:t xml:space="preserve"> </w:t>
      </w:r>
      <w:hyperlink r:id="rId8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3956/21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פסקאות</w:t>
      </w:r>
      <w:r>
        <w:rPr>
          <w:rtl w:val="true"/>
        </w:rPr>
        <w:t xml:space="preserve"> </w:t>
      </w:r>
      <w:r>
        <w:rPr/>
        <w:t>27-26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8.9.2022</w:t>
      </w:r>
      <w:r>
        <w:rPr>
          <w:rtl w:val="true"/>
        </w:rPr>
        <w:t xml:space="preserve">)). </w:t>
      </w:r>
      <w:r>
        <w:rPr>
          <w:rtl w:val="true"/>
        </w:rPr>
        <w:t xml:space="preserve">אכן השימוש בסמכות זו צריך להיעשות בזהירות ובצמצום </w:t>
      </w:r>
      <w:r>
        <w:rPr>
          <w:rtl w:val="true"/>
        </w:rPr>
        <w:t>(</w:t>
      </w:r>
      <w:hyperlink r:id="rId8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3415/23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עוכזי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1.11.2023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8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9288/20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26.5.2022</w:t>
      </w:r>
      <w:r>
        <w:rPr>
          <w:rtl w:val="true"/>
        </w:rPr>
        <w:t xml:space="preserve">)), </w:t>
      </w:r>
      <w:r>
        <w:rPr>
          <w:rtl w:val="true"/>
        </w:rPr>
        <w:t>אך הרשות נתונה</w:t>
      </w:r>
      <w:r>
        <w:rPr>
          <w:rtl w:val="true"/>
        </w:rPr>
        <w:t xml:space="preserve">, </w:t>
      </w:r>
      <w:r>
        <w:rPr>
          <w:rtl w:val="true"/>
        </w:rPr>
        <w:t>בכפוף לבחינה אם ניתנה לנאשם הזדמנות סבירה להתגונן</w:t>
      </w:r>
      <w:r>
        <w:rPr>
          <w:rtl w:val="true"/>
        </w:rPr>
        <w:t xml:space="preserve">, </w:t>
      </w:r>
      <w:r>
        <w:rPr>
          <w:rtl w:val="true"/>
        </w:rPr>
        <w:t xml:space="preserve">הן בפן הדיוני </w:t>
      </w:r>
      <w:r>
        <w:rPr>
          <w:rtl w:val="true"/>
        </w:rPr>
        <w:t>הנוגע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מתן </w:t>
      </w:r>
      <w:r>
        <w:rPr>
          <w:rtl w:val="true"/>
        </w:rPr>
        <w:t>הזדמנות</w:t>
      </w:r>
      <w:r>
        <w:rPr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 </w:t>
      </w:r>
      <w:r>
        <w:rPr>
          <w:rtl w:val="true"/>
        </w:rPr>
        <w:t>להביא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, </w:t>
      </w:r>
      <w:r>
        <w:rPr>
          <w:rtl w:val="true"/>
        </w:rPr>
        <w:t>לחקור</w:t>
      </w:r>
      <w:r>
        <w:rPr>
          <w:rtl w:val="true"/>
        </w:rPr>
        <w:t xml:space="preserve"> </w:t>
      </w:r>
      <w:r>
        <w:rPr>
          <w:rtl w:val="true"/>
        </w:rPr>
        <w:t>עדים</w:t>
      </w:r>
      <w:r>
        <w:rPr>
          <w:rtl w:val="true"/>
        </w:rPr>
        <w:t xml:space="preserve"> </w:t>
      </w:r>
      <w:r>
        <w:rPr>
          <w:rtl w:val="true"/>
        </w:rPr>
        <w:t>וכיוצא</w:t>
      </w:r>
      <w:r>
        <w:rPr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; </w:t>
      </w:r>
      <w:r>
        <w:rPr>
          <w:rtl w:val="true"/>
        </w:rPr>
        <w:t>והן בפן ה</w:t>
      </w:r>
      <w:r>
        <w:rPr>
          <w:rtl w:val="true"/>
        </w:rPr>
        <w:t>מהותי</w:t>
      </w:r>
      <w:r>
        <w:rPr>
          <w:rtl w:val="true"/>
        </w:rPr>
        <w:t xml:space="preserve"> </w:t>
      </w:r>
      <w:r>
        <w:rPr>
          <w:rtl w:val="true"/>
        </w:rPr>
        <w:t xml:space="preserve">שעניינו בשאלה האם ניתנה לנאשם </w:t>
      </w:r>
      <w:r>
        <w:rPr>
          <w:rtl w:val="true"/>
        </w:rPr>
        <w:t>הזדמנות</w:t>
      </w:r>
      <w:r>
        <w:rPr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 </w:t>
      </w:r>
      <w:r>
        <w:rPr>
          <w:rtl w:val="true"/>
        </w:rPr>
        <w:t>לפתח</w:t>
      </w:r>
      <w:r>
        <w:rPr>
          <w:rtl w:val="true"/>
        </w:rPr>
        <w:t xml:space="preserve"> </w:t>
      </w:r>
      <w:r>
        <w:rPr>
          <w:rtl w:val="true"/>
        </w:rPr>
        <w:t>קו</w:t>
      </w:r>
      <w:r>
        <w:rPr>
          <w:rtl w:val="true"/>
        </w:rPr>
        <w:t xml:space="preserve"> </w:t>
      </w:r>
      <w:r>
        <w:rPr>
          <w:rtl w:val="true"/>
        </w:rPr>
        <w:t>הגנה</w:t>
      </w:r>
      <w:r>
        <w:rPr>
          <w:rtl w:val="true"/>
        </w:rPr>
        <w:t xml:space="preserve"> </w:t>
      </w:r>
      <w:r>
        <w:rPr>
          <w:rtl w:val="true"/>
        </w:rPr>
        <w:t>נגד</w:t>
      </w:r>
      <w:r>
        <w:rPr>
          <w:rtl w:val="true"/>
        </w:rPr>
        <w:t xml:space="preserve"> </w:t>
      </w:r>
      <w:r>
        <w:rPr>
          <w:rtl w:val="true"/>
        </w:rPr>
        <w:t xml:space="preserve">האישום ובכלל זה האם הנאשם הופתע מההרשעה </w:t>
      </w:r>
      <w:r>
        <w:rPr>
          <w:rtl w:val="true"/>
        </w:rPr>
        <w:t>(</w:t>
      </w:r>
      <w:r>
        <w:rPr>
          <w:rtl w:val="true"/>
        </w:rPr>
        <w:t>וראו למשל</w:t>
      </w:r>
      <w:r>
        <w:rPr>
          <w:rtl w:val="true"/>
        </w:rPr>
        <w:t xml:space="preserve">: </w:t>
      </w:r>
      <w:hyperlink r:id="rId8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295/10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79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2.4.2012</w:t>
      </w:r>
      <w:r>
        <w:rPr>
          <w:rtl w:val="true"/>
        </w:rPr>
        <w:t xml:space="preserve">); </w:t>
      </w:r>
      <w:hyperlink r:id="rId9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8584/13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שטארה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31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30.6.2014</w:t>
      </w:r>
      <w:r>
        <w:rPr>
          <w:rtl w:val="true"/>
        </w:rPr>
        <w:t>))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הוראת </w:t>
      </w:r>
      <w:hyperlink r:id="rId9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2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המתירה כאמור לבית המשפט </w:t>
      </w:r>
      <w:r>
        <w:rPr>
          <w:rFonts w:ascii="Century" w:hAnsi="Century" w:cs="Century"/>
          <w:sz w:val="22"/>
          <w:sz w:val="22"/>
          <w:rtl w:val="true"/>
        </w:rPr>
        <w:t>להרשיע</w:t>
      </w:r>
      <w:r>
        <w:rPr>
          <w:rtl w:val="true"/>
        </w:rPr>
        <w:t xml:space="preserve"> נאשם בעבירה על בסיס עובדות שהוכחו במשפט</w:t>
      </w:r>
      <w:r>
        <w:rPr>
          <w:rtl w:val="true"/>
        </w:rPr>
        <w:t xml:space="preserve">, </w:t>
      </w:r>
      <w:r>
        <w:rPr>
          <w:rtl w:val="true"/>
        </w:rPr>
        <w:t>מאפשרת הרשעה גם במצב שבו התגלו והוכחו עובדות אשר לא עברו סינון ובדיקה בדרך של חקירה משטרתית</w:t>
      </w:r>
      <w:r>
        <w:rPr>
          <w:rtl w:val="true"/>
        </w:rPr>
        <w:t xml:space="preserve">. </w:t>
      </w:r>
      <w:r>
        <w:rPr>
          <w:rtl w:val="true"/>
        </w:rPr>
        <w:t xml:space="preserve">שכן הכלל הוא כי </w:t>
      </w:r>
      <w:r>
        <w:rPr>
          <w:rtl w:val="true"/>
        </w:rPr>
        <w:t>"</w:t>
      </w:r>
      <w:r>
        <w:rPr>
          <w:rtl w:val="true"/>
        </w:rPr>
        <w:t>מידע</w:t>
      </w:r>
      <w:r>
        <w:rPr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 </w:t>
      </w:r>
      <w:r>
        <w:rPr>
          <w:rtl w:val="true"/>
        </w:rPr>
        <w:t>שהיו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 </w:t>
      </w:r>
      <w:r>
        <w:rPr>
          <w:rtl w:val="true"/>
        </w:rPr>
        <w:t>בשלב</w:t>
      </w:r>
      <w:r>
        <w:rPr>
          <w:rtl w:val="true"/>
        </w:rPr>
        <w:t xml:space="preserve"> </w:t>
      </w:r>
      <w:r>
        <w:rPr>
          <w:rtl w:val="true"/>
        </w:rPr>
        <w:t>שקדם</w:t>
      </w:r>
      <w:r>
        <w:rPr>
          <w:rtl w:val="true"/>
        </w:rPr>
        <w:t xml:space="preserve"> </w:t>
      </w:r>
      <w:r>
        <w:rPr>
          <w:rtl w:val="true"/>
        </w:rPr>
        <w:t>להגשת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tl w:val="true"/>
        </w:rPr>
        <w:t xml:space="preserve"> </w:t>
      </w:r>
      <w:r>
        <w:rPr>
          <w:rtl w:val="true"/>
        </w:rPr>
        <w:t>יכולים</w:t>
      </w:r>
      <w:r>
        <w:rPr>
          <w:rtl w:val="true"/>
        </w:rPr>
        <w:t xml:space="preserve"> </w:t>
      </w:r>
      <w:r>
        <w:rPr>
          <w:rtl w:val="true"/>
        </w:rPr>
        <w:t>לכבול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>-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בבואו</w:t>
      </w:r>
      <w:r>
        <w:rPr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אשמתו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>" (</w:t>
      </w:r>
      <w:hyperlink r:id="rId93">
        <w:r>
          <w:rPr>
            <w:rStyle w:val="Hyperlink"/>
            <w:rtl w:val="true"/>
          </w:rPr>
          <w:t>דנ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4603/97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משולם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 </w:t>
      </w:r>
      <w:r>
        <w:rPr>
          <w:rtl w:val="true"/>
        </w:rPr>
        <w:t>נא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160</w:t>
      </w:r>
      <w:r>
        <w:rPr>
          <w:rtl w:val="true"/>
        </w:rPr>
        <w:t xml:space="preserve">, </w:t>
      </w:r>
      <w:r>
        <w:rPr/>
        <w:t>200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משולם</w:t>
      </w:r>
      <w:r>
        <w:rPr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די אפוא בכך כדי לדחות את מרבית טענות המערער בקשר לאופן בו בחן בית המשפט את סיפור ההודאה</w:t>
      </w:r>
      <w:r>
        <w:rPr>
          <w:rtl w:val="true"/>
        </w:rPr>
        <w:t xml:space="preserve">, </w:t>
      </w:r>
      <w:r>
        <w:rPr>
          <w:rtl w:val="true"/>
        </w:rPr>
        <w:t>המתמקדות בטענה שלא היה כל מקום להידרש לעובדות שנתגלו ולוּ בשל כך שלא בוצעה לגביהן השלמת חקירה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אוסיף ואעיר כי הוראת </w:t>
      </w:r>
      <w:hyperlink r:id="rId9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184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עניינה </w:t>
      </w:r>
      <w:r>
        <w:rPr>
          <w:rFonts w:ascii="Century" w:hAnsi="Century" w:cs="Century"/>
          <w:sz w:val="22"/>
          <w:sz w:val="22"/>
          <w:rtl w:val="true"/>
        </w:rPr>
        <w:t>בהרשעת</w:t>
      </w:r>
      <w:r>
        <w:rPr>
          <w:rtl w:val="true"/>
        </w:rPr>
        <w:t xml:space="preserve"> נאשם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בעבירה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שאשמתו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נתגלתה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 </w:t>
      </w:r>
      <w:r>
        <w:rPr>
          <w:rtl w:val="true"/>
        </w:rPr>
        <w:t>שהוכחו</w:t>
      </w:r>
      <w:r>
        <w:rPr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; </w:t>
      </w:r>
      <w:r>
        <w:rPr>
          <w:rtl w:val="true"/>
        </w:rPr>
        <w:t xml:space="preserve">מה שאין כן בענייננו </w:t>
      </w:r>
      <w:r>
        <w:rPr>
          <w:rtl w:val="true"/>
        </w:rPr>
        <w:t>(</w:t>
      </w:r>
      <w:r>
        <w:rPr>
          <w:rtl w:val="true"/>
        </w:rPr>
        <w:t>זאת כאשר בקשת המשיבה להרשעת המערער בעבירה כלפי א</w:t>
      </w:r>
      <w:r>
        <w:rPr>
          <w:rtl w:val="true"/>
        </w:rPr>
        <w:t xml:space="preserve">' </w:t>
      </w:r>
      <w:r>
        <w:rPr>
          <w:rtl w:val="true"/>
        </w:rPr>
        <w:t xml:space="preserve">שאשמתה נטען כי נתגלתה מן העובדות </w:t>
      </w:r>
      <w:r>
        <w:rPr>
          <w:rtl w:val="true"/>
        </w:rPr>
        <w:t>–</w:t>
      </w:r>
      <w:r>
        <w:rPr>
          <w:rtl w:val="true"/>
        </w:rPr>
        <w:t xml:space="preserve"> נדחתה</w:t>
      </w:r>
      <w:r>
        <w:rPr>
          <w:rtl w:val="true"/>
        </w:rPr>
        <w:t xml:space="preserve">). </w:t>
      </w:r>
      <w:r>
        <w:rPr>
          <w:rtl w:val="true"/>
        </w:rPr>
        <w:t>בית המשפט לא הרשיע את המערער בעבירה שלא פורטה בכתב האישום</w:t>
      </w:r>
      <w:r>
        <w:rPr>
          <w:rtl w:val="true"/>
        </w:rPr>
        <w:t xml:space="preserve">; </w:t>
      </w:r>
      <w:r>
        <w:rPr>
          <w:rtl w:val="true"/>
        </w:rPr>
        <w:t>אלא נתן משקל מוגבל להתבטאויות שהתגלו מתוך העדויות</w:t>
      </w:r>
      <w:r>
        <w:rPr>
          <w:rtl w:val="true"/>
        </w:rPr>
        <w:t xml:space="preserve">, </w:t>
      </w:r>
      <w:r>
        <w:rPr>
          <w:rtl w:val="true"/>
        </w:rPr>
        <w:t>המלמדות על ראשית הודאה שנמסרה על ידי המערער בנוגע לעבירה בה הואשם בכתב האישום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 xml:space="preserve">נקבע זה מכבר בפסיקה כי </w:t>
      </w:r>
      <w:r>
        <w:rPr>
          <w:rtl w:val="true"/>
        </w:rPr>
        <w:t>"</w:t>
      </w:r>
      <w:r>
        <w:rPr>
          <w:rtl w:val="true"/>
        </w:rPr>
        <w:t>עקרון</w:t>
      </w:r>
      <w:r>
        <w:rPr>
          <w:rtl w:val="true"/>
        </w:rPr>
        <w:t>-</w:t>
      </w:r>
      <w:r>
        <w:rPr>
          <w:rtl w:val="true"/>
        </w:rPr>
        <w:t>העל</w:t>
      </w:r>
      <w:r>
        <w:rPr>
          <w:rtl w:val="true"/>
        </w:rPr>
        <w:t xml:space="preserve"> </w:t>
      </w:r>
      <w:r>
        <w:rPr>
          <w:rtl w:val="true"/>
        </w:rPr>
        <w:t>שלפיו</w:t>
      </w:r>
      <w:r>
        <w:rPr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להרשיע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ניתנת</w:t>
      </w:r>
      <w:r>
        <w:rPr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הזדמנות</w:t>
      </w:r>
      <w:r>
        <w:rPr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', </w:t>
      </w:r>
      <w:r>
        <w:rPr>
          <w:rtl w:val="true"/>
        </w:rPr>
        <w:t>יחול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tl w:val="true"/>
        </w:rPr>
        <w:t>המתעורר</w:t>
      </w:r>
      <w:r>
        <w:rPr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 </w:t>
      </w:r>
      <w:r>
        <w:rPr>
          <w:rtl w:val="true"/>
        </w:rPr>
        <w:t>וסופו</w:t>
      </w:r>
      <w:r>
        <w:rPr>
          <w:rtl w:val="true"/>
        </w:rPr>
        <w:t xml:space="preserve"> </w:t>
      </w:r>
      <w:r>
        <w:rPr>
          <w:rtl w:val="true"/>
        </w:rPr>
        <w:t>להוביל</w:t>
      </w:r>
      <w:r>
        <w:rPr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 </w:t>
      </w:r>
      <w:r>
        <w:rPr>
          <w:rtl w:val="true"/>
        </w:rPr>
        <w:t>לחובת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משולם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197</w:t>
      </w:r>
      <w:r>
        <w:rPr>
          <w:rtl w:val="true"/>
        </w:rPr>
        <w:t xml:space="preserve">), </w:t>
      </w:r>
      <w:r>
        <w:rPr>
          <w:rtl w:val="true"/>
        </w:rPr>
        <w:t xml:space="preserve">וזאת גם כאשר מדובר בקביעת ממצא עובדתי לחובתו של נאשם בנושא שלא פורט בכתב האישום </w:t>
      </w:r>
      <w:r>
        <w:rPr>
          <w:rtl w:val="true"/>
        </w:rPr>
        <w:t>(</w:t>
      </w:r>
      <w:r>
        <w:rPr>
          <w:rtl w:val="true"/>
        </w:rPr>
        <w:t>ראו גם</w:t>
      </w:r>
      <w:r>
        <w:rPr>
          <w:rtl w:val="true"/>
        </w:rPr>
        <w:t xml:space="preserve">: </w:t>
      </w:r>
      <w:hyperlink r:id="rId9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9201/18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גורבאן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8.6.2022</w:t>
      </w:r>
      <w:r>
        <w:rPr>
          <w:rtl w:val="true"/>
        </w:rPr>
        <w:t xml:space="preserve">)). </w:t>
      </w:r>
      <w:r>
        <w:rPr>
          <w:rtl w:val="true"/>
        </w:rPr>
        <w:t xml:space="preserve">אולם </w:t>
      </w:r>
      <w:r>
        <w:rPr>
          <w:rtl w:val="true"/>
        </w:rPr>
        <w:t>השאלה</w:t>
      </w:r>
      <w:r>
        <w:rPr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 </w:t>
      </w:r>
      <w:r>
        <w:rPr>
          <w:rtl w:val="true"/>
        </w:rPr>
        <w:t>סבירה</w:t>
      </w:r>
      <w:r>
        <w:rPr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 </w:t>
      </w:r>
      <w:r>
        <w:rPr>
          <w:rtl w:val="true"/>
        </w:rPr>
        <w:t>נבחנת לפי אמות מידה שונות</w:t>
      </w:r>
      <w:r>
        <w:rPr>
          <w:rtl w:val="true"/>
        </w:rPr>
        <w:t xml:space="preserve">, </w:t>
      </w:r>
      <w:r>
        <w:rPr>
          <w:rtl w:val="true"/>
        </w:rPr>
        <w:t>בהתאם לטיב הקביעה העומדת על הפרק</w:t>
      </w:r>
      <w:r>
        <w:rPr>
          <w:rtl w:val="true"/>
        </w:rPr>
        <w:t xml:space="preserve">. </w:t>
      </w:r>
      <w:r>
        <w:rPr>
          <w:rtl w:val="true"/>
        </w:rPr>
        <w:t>כך למשל</w:t>
      </w:r>
      <w:r>
        <w:rPr>
          <w:rtl w:val="true"/>
        </w:rPr>
        <w:t xml:space="preserve">, </w:t>
      </w:r>
      <w:r>
        <w:rPr>
          <w:rtl w:val="true"/>
        </w:rPr>
        <w:t xml:space="preserve">בחינת השאלה אם הייתה לנאשם הזדמנות להתגונן מפני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הרשעה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יוחסה</w:t>
      </w:r>
      <w:r>
        <w:rPr>
          <w:rtl w:val="true"/>
        </w:rPr>
        <w:t xml:space="preserve"> </w:t>
      </w:r>
      <w:r>
        <w:rPr>
          <w:rtl w:val="true"/>
        </w:rPr>
        <w:t xml:space="preserve">לו </w:t>
      </w:r>
      <w:r>
        <w:rPr>
          <w:rtl w:val="true"/>
        </w:rPr>
        <w:t>מלכתחילה</w:t>
      </w:r>
      <w:r>
        <w:rPr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 xml:space="preserve">אינה זהה לבחינה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</w:t>
      </w:r>
      <w:r>
        <w:rPr>
          <w:rtl w:val="true"/>
        </w:rPr>
        <w:t>הזדמנות</w:t>
      </w:r>
      <w:r>
        <w:rPr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מפני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קביעת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עובדתי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חומר</w:t>
      </w:r>
      <w:r>
        <w:rPr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9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6426/21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ביטון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28.1.2024</w:t>
      </w:r>
      <w:r>
        <w:rPr>
          <w:rtl w:val="true"/>
        </w:rPr>
        <w:t xml:space="preserve">);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משולם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197</w:t>
      </w:r>
      <w:r>
        <w:rPr>
          <w:rtl w:val="true"/>
        </w:rPr>
        <w:t xml:space="preserve">). </w:t>
      </w:r>
      <w:r>
        <w:rPr>
          <w:rtl w:val="true"/>
        </w:rPr>
        <w:t xml:space="preserve">וכך גם אינו </w:t>
      </w:r>
      <w:r>
        <w:rPr>
          <w:rtl w:val="true"/>
        </w:rPr>
        <w:t>דומה</w:t>
      </w:r>
      <w:r>
        <w:rPr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 </w:t>
      </w:r>
      <w:r>
        <w:rPr>
          <w:rtl w:val="true"/>
        </w:rPr>
        <w:t>מורשע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</w:t>
      </w:r>
      <w:r>
        <w:rPr>
          <w:rtl w:val="true"/>
        </w:rPr>
        <w:t xml:space="preserve"> </w:t>
      </w:r>
      <w:r>
        <w:rPr>
          <w:rtl w:val="true"/>
        </w:rPr>
        <w:t>מערכת</w:t>
      </w:r>
      <w:r>
        <w:rPr>
          <w:rtl w:val="true"/>
        </w:rPr>
        <w:t xml:space="preserve"> </w:t>
      </w:r>
      <w:r>
        <w:rPr>
          <w:rtl w:val="true"/>
        </w:rPr>
        <w:t>עובדות</w:t>
      </w:r>
      <w:r>
        <w:rPr>
          <w:rtl w:val="true"/>
        </w:rPr>
        <w:t xml:space="preserve"> </w:t>
      </w:r>
      <w:r>
        <w:rPr>
          <w:rtl w:val="true"/>
        </w:rPr>
        <w:t xml:space="preserve">חדשה </w:t>
      </w:r>
      <w:r>
        <w:rPr>
          <w:rtl w:val="true"/>
        </w:rPr>
        <w:t>שזיקתה</w:t>
      </w:r>
      <w:r>
        <w:rPr>
          <w:rtl w:val="true"/>
        </w:rPr>
        <w:t xml:space="preserve"> </w:t>
      </w:r>
      <w:r>
        <w:rPr>
          <w:rtl w:val="true"/>
        </w:rPr>
        <w:t>לגרסה</w:t>
      </w:r>
      <w:r>
        <w:rPr>
          <w:rtl w:val="true"/>
        </w:rPr>
        <w:t xml:space="preserve"> </w:t>
      </w:r>
      <w:r>
        <w:rPr>
          <w:rtl w:val="true"/>
        </w:rPr>
        <w:t>העובדתית</w:t>
      </w:r>
      <w:r>
        <w:rPr>
          <w:rtl w:val="true"/>
        </w:rPr>
        <w:t xml:space="preserve"> </w:t>
      </w:r>
      <w:r>
        <w:rPr>
          <w:rtl w:val="true"/>
        </w:rPr>
        <w:t>עליה</w:t>
      </w:r>
      <w:r>
        <w:rPr>
          <w:rtl w:val="true"/>
        </w:rPr>
        <w:t xml:space="preserve"> </w:t>
      </w:r>
      <w:r>
        <w:rPr>
          <w:rtl w:val="true"/>
        </w:rPr>
        <w:t>התבססה</w:t>
      </w:r>
      <w:r>
        <w:rPr>
          <w:rtl w:val="true"/>
        </w:rPr>
        <w:t xml:space="preserve"> </w:t>
      </w:r>
      <w:r>
        <w:rPr>
          <w:rtl w:val="true"/>
        </w:rPr>
        <w:t>האשמה</w:t>
      </w:r>
      <w:r>
        <w:rPr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 </w:t>
      </w:r>
      <w:r>
        <w:rPr>
          <w:rtl w:val="true"/>
        </w:rPr>
        <w:t>קלושה</w:t>
      </w:r>
      <w:r>
        <w:rPr>
          <w:rtl w:val="true"/>
        </w:rPr>
        <w:t xml:space="preserve">, </w:t>
      </w:r>
      <w:r>
        <w:rPr>
          <w:rtl w:val="true"/>
        </w:rPr>
        <w:t>למקרה</w:t>
      </w:r>
      <w:r>
        <w:rPr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 </w:t>
      </w:r>
      <w:r>
        <w:rPr>
          <w:rtl w:val="true"/>
        </w:rPr>
        <w:t>קיים</w:t>
      </w:r>
      <w:r>
        <w:rPr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 </w:t>
      </w:r>
      <w:r>
        <w:rPr>
          <w:rtl w:val="true"/>
        </w:rPr>
        <w:t>ענייני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הדוק</w:t>
      </w:r>
      <w:r>
        <w:rPr>
          <w:rtl w:val="true"/>
        </w:rPr>
        <w:t xml:space="preserve"> </w:t>
      </w:r>
      <w:r>
        <w:rPr>
          <w:rtl w:val="true"/>
        </w:rPr>
        <w:t>וממשי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 </w:t>
      </w:r>
      <w:r>
        <w:rPr>
          <w:rtl w:val="true"/>
        </w:rPr>
        <w:t>המקוריות ש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פיהן</w:t>
      </w:r>
      <w:r>
        <w:rPr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לבין</w:t>
      </w:r>
      <w:r>
        <w:rPr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 xml:space="preserve"> </w:t>
      </w:r>
      <w:r>
        <w:rPr>
          <w:rtl w:val="true"/>
        </w:rPr>
        <w:t>החדשות</w:t>
      </w:r>
      <w:r>
        <w:rPr>
          <w:rtl w:val="true"/>
        </w:rPr>
        <w:t xml:space="preserve"> </w:t>
      </w:r>
      <w:r>
        <w:rPr>
          <w:rtl w:val="true"/>
        </w:rPr>
        <w:t>שנתגלו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tl w:val="true"/>
        </w:rPr>
        <w:t xml:space="preserve">: </w:t>
      </w:r>
      <w:hyperlink r:id="rId9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5102/03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קליין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4.9.2007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בראי האמור</w:t>
      </w:r>
      <w:r>
        <w:rPr>
          <w:rtl w:val="true"/>
        </w:rPr>
        <w:t xml:space="preserve">, </w:t>
      </w:r>
      <w:r>
        <w:rPr>
          <w:rtl w:val="true"/>
        </w:rPr>
        <w:t>לא מצאתי דבר בטענות המערער המצדיק התערבות באופן שבו בחן בית המשפט את סיפור ההודאה</w:t>
      </w:r>
      <w:r>
        <w:rPr>
          <w:rtl w:val="true"/>
        </w:rPr>
        <w:t xml:space="preserve">. </w:t>
      </w:r>
      <w:r>
        <w:rPr>
          <w:rtl w:val="true"/>
        </w:rPr>
        <w:t>המערער לא ביסס כל טענה ממשית לפגיעה בזכותו להליך הוגן</w:t>
      </w:r>
      <w:r>
        <w:rPr>
          <w:rtl w:val="true"/>
        </w:rPr>
        <w:t xml:space="preserve">. </w:t>
      </w:r>
      <w:r>
        <w:rPr>
          <w:rtl w:val="true"/>
        </w:rPr>
        <w:t xml:space="preserve">בענייננו לא מדובר במערכת עובדות חדשה שהתגלתה במנותק מהתשתית עליה התבססה האשמה </w:t>
      </w:r>
      <w:r>
        <w:rPr>
          <w:rtl w:val="true"/>
        </w:rPr>
        <w:t>(</w:t>
      </w:r>
      <w:r>
        <w:rPr>
          <w:rtl w:val="true"/>
        </w:rPr>
        <w:t>ואף לא בהרשעה על בסיסה</w:t>
      </w:r>
      <w:r>
        <w:rPr>
          <w:rtl w:val="true"/>
        </w:rPr>
        <w:t xml:space="preserve">), </w:t>
      </w:r>
      <w:r>
        <w:rPr>
          <w:rtl w:val="true"/>
        </w:rPr>
        <w:t>כי אם בסיפור התוודות התומך בתשתית העובדתית המקורית עליה התבסס האישום</w:t>
      </w:r>
      <w:r>
        <w:rPr>
          <w:rtl w:val="true"/>
        </w:rPr>
        <w:t xml:space="preserve">. </w:t>
      </w:r>
      <w:r>
        <w:rPr>
          <w:rtl w:val="true"/>
        </w:rPr>
        <w:t>יתר על כן</w:t>
      </w:r>
      <w:r>
        <w:rPr>
          <w:rtl w:val="true"/>
        </w:rPr>
        <w:t xml:space="preserve">, </w:t>
      </w:r>
      <w:r>
        <w:rPr>
          <w:rtl w:val="true"/>
        </w:rPr>
        <w:t xml:space="preserve">אין חולק כי חקירתו האחרונה של המערער הייתה ביום </w:t>
      </w:r>
      <w:r>
        <w:rPr/>
        <w:t>28.10.2019</w:t>
      </w:r>
      <w:r>
        <w:rPr>
          <w:rtl w:val="true"/>
        </w:rPr>
        <w:t xml:space="preserve">, </w:t>
      </w:r>
      <w:r>
        <w:rPr>
          <w:rtl w:val="true"/>
        </w:rPr>
        <w:t>בעוד שסיפור ההודאה ארע כחודשיים ימים לאחר מכן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 xml:space="preserve">תיארה סיפור זה במהלך עדותה שנשמעה בבית המשפט ביום </w:t>
      </w:r>
      <w:r>
        <w:rPr/>
        <w:t>18.7.2021</w:t>
      </w:r>
      <w:r>
        <w:rPr>
          <w:rtl w:val="true"/>
        </w:rPr>
        <w:t xml:space="preserve"> (</w:t>
      </w:r>
      <w:r>
        <w:rPr>
          <w:rtl w:val="true"/>
        </w:rPr>
        <w:t>לאחר שהתעורר לראשונה בהכנתה לקראת העדות</w:t>
      </w:r>
      <w:r>
        <w:rPr>
          <w:rtl w:val="true"/>
        </w:rPr>
        <w:t xml:space="preserve">). </w:t>
      </w:r>
      <w:r>
        <w:rPr>
          <w:rtl w:val="true"/>
        </w:rPr>
        <w:t>הסיפור סופר גם מנקודת מבטה של ק</w:t>
      </w:r>
      <w:r>
        <w:rPr>
          <w:rtl w:val="true"/>
        </w:rPr>
        <w:t xml:space="preserve">' </w:t>
      </w:r>
      <w:r>
        <w:rPr>
          <w:rtl w:val="true"/>
        </w:rPr>
        <w:t xml:space="preserve">במהלך עדותה בבית המשפט ביום </w:t>
      </w:r>
      <w:r>
        <w:rPr/>
        <w:t>28.11.2021</w:t>
      </w:r>
      <w:r>
        <w:rPr>
          <w:rtl w:val="true"/>
        </w:rPr>
        <w:t xml:space="preserve">, </w:t>
      </w:r>
      <w:r>
        <w:rPr>
          <w:rtl w:val="true"/>
        </w:rPr>
        <w:t>כארבעה חודשים לאחר מכן</w:t>
      </w:r>
      <w:r>
        <w:rPr>
          <w:rtl w:val="true"/>
        </w:rPr>
        <w:t xml:space="preserve">, </w:t>
      </w:r>
      <w:r>
        <w:rPr>
          <w:rtl w:val="true"/>
        </w:rPr>
        <w:t>בפרק זמן שבו יכול היה בא</w:t>
      </w:r>
      <w:r>
        <w:rPr>
          <w:rtl w:val="true"/>
        </w:rPr>
        <w:t>-</w:t>
      </w:r>
      <w:r>
        <w:rPr>
          <w:rtl w:val="true"/>
        </w:rPr>
        <w:t>כוחו של המערער להניח כי סיפור הדברים יעלה גם על ידי ק</w:t>
      </w:r>
      <w:r>
        <w:rPr>
          <w:rtl w:val="true"/>
        </w:rPr>
        <w:t xml:space="preserve">'.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>נחקרו ארוכות על ידי בא</w:t>
      </w:r>
      <w:r>
        <w:rPr>
          <w:rtl w:val="true"/>
        </w:rPr>
        <w:t>-</w:t>
      </w:r>
      <w:r>
        <w:rPr>
          <w:rtl w:val="true"/>
        </w:rPr>
        <w:t>כוחו של המערער אשר לא ביקש כי יינתן לו זמן נוסף לצורך היערכות או לצורך זימונן לעדות פעם נוספת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חלק משמעותי מסיכומיו בכתב הקדיש בא</w:t>
      </w:r>
      <w:r>
        <w:rPr>
          <w:rtl w:val="true"/>
        </w:rPr>
        <w:t>-</w:t>
      </w:r>
      <w:r>
        <w:rPr>
          <w:rtl w:val="true"/>
        </w:rPr>
        <w:t xml:space="preserve">כוח המערער לסיפור ההודאה ולטענותיו בקשר אליו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20-10</w:t>
      </w:r>
      <w:r>
        <w:rPr>
          <w:rtl w:val="true"/>
        </w:rPr>
        <w:t xml:space="preserve"> </w:t>
      </w:r>
      <w:r>
        <w:rPr>
          <w:rtl w:val="true"/>
        </w:rPr>
        <w:t xml:space="preserve">לסיכומים מיום </w:t>
      </w:r>
      <w:r>
        <w:rPr/>
        <w:t>6.5.2022</w:t>
      </w:r>
      <w:r>
        <w:rPr>
          <w:rtl w:val="true"/>
        </w:rPr>
        <w:t xml:space="preserve">). </w:t>
      </w:r>
      <w:r>
        <w:rPr>
          <w:rtl w:val="true"/>
        </w:rPr>
        <w:t>בהתחשב בכל האמור לעיל</w:t>
      </w:r>
      <w:r>
        <w:rPr>
          <w:rtl w:val="true"/>
        </w:rPr>
        <w:t xml:space="preserve">, </w:t>
      </w:r>
      <w:r>
        <w:rPr>
          <w:rtl w:val="true"/>
        </w:rPr>
        <w:t>לא ניתן לומר כי לא ניתנה למערער הזדמנות סבירה להתגונן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בית המשפט נדרש לעובדות שנתגלו לפניו בנוגע לסיפור ההודאה</w:t>
      </w:r>
      <w:r>
        <w:rPr>
          <w:rtl w:val="true"/>
        </w:rPr>
        <w:t xml:space="preserve">, </w:t>
      </w:r>
      <w:r>
        <w:rPr>
          <w:rtl w:val="true"/>
        </w:rPr>
        <w:t xml:space="preserve">לאחר שבחן את קבילותה של האמרה בהתאם להוראת </w:t>
      </w:r>
      <w:hyperlink r:id="rId9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, </w:t>
      </w:r>
      <w:r>
        <w:rPr>
          <w:rtl w:val="true"/>
        </w:rPr>
        <w:t>הקובעת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הודאה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תהא</w:t>
      </w:r>
      <w:r>
        <w:rPr>
          <w:rtl w:val="true"/>
        </w:rPr>
        <w:t xml:space="preserve"> </w:t>
      </w:r>
      <w:r>
        <w:rPr>
          <w:rtl w:val="true"/>
        </w:rPr>
        <w:t>קבילה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הביא</w:t>
      </w:r>
      <w:r>
        <w:rPr>
          <w:rtl w:val="true"/>
        </w:rPr>
        <w:t xml:space="preserve"> </w:t>
      </w:r>
      <w:r>
        <w:rPr>
          <w:rtl w:val="true"/>
        </w:rPr>
        <w:t>התובע</w:t>
      </w:r>
      <w:r>
        <w:rPr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 </w:t>
      </w:r>
      <w:r>
        <w:rPr>
          <w:rtl w:val="true"/>
        </w:rPr>
        <w:t>שבהן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tl w:val="true"/>
        </w:rPr>
        <w:t xml:space="preserve"> </w:t>
      </w:r>
      <w:r>
        <w:rPr>
          <w:rtl w:val="true"/>
        </w:rPr>
        <w:t>ההודיה</w:t>
      </w:r>
      <w:r>
        <w:rPr>
          <w:rtl w:val="true"/>
        </w:rPr>
        <w:t xml:space="preserve"> </w:t>
      </w:r>
      <w:r>
        <w:rPr>
          <w:rtl w:val="true"/>
        </w:rPr>
        <w:t>ובית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ראה</w:t>
      </w:r>
      <w:r>
        <w:rPr>
          <w:rtl w:val="true"/>
        </w:rPr>
        <w:t xml:space="preserve"> </w:t>
      </w:r>
      <w:r>
        <w:rPr>
          <w:rtl w:val="true"/>
        </w:rPr>
        <w:t>שההודיה</w:t>
      </w:r>
      <w:r>
        <w:rPr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 </w:t>
      </w:r>
      <w:r>
        <w:rPr>
          <w:rtl w:val="true"/>
        </w:rPr>
        <w:t>חופשית</w:t>
      </w:r>
      <w:r>
        <w:rPr>
          <w:rtl w:val="true"/>
        </w:rPr>
        <w:t xml:space="preserve"> </w:t>
      </w:r>
      <w:r>
        <w:rPr>
          <w:rtl w:val="true"/>
        </w:rPr>
        <w:t>ומרצון</w:t>
      </w:r>
      <w:r>
        <w:rPr>
          <w:rtl w:val="true"/>
        </w:rPr>
        <w:t>"</w:t>
      </w:r>
      <w:r>
        <w:rPr>
          <w:rtl w:val="true"/>
        </w:rPr>
        <w:t xml:space="preserve">; </w:t>
      </w:r>
      <w:r>
        <w:rPr>
          <w:rtl w:val="true"/>
        </w:rPr>
        <w:t>ונתן לה משקל מתאים</w:t>
      </w:r>
      <w:r>
        <w:rPr>
          <w:rtl w:val="true"/>
        </w:rPr>
        <w:t xml:space="preserve">, </w:t>
      </w:r>
      <w:r>
        <w:rPr>
          <w:rtl w:val="true"/>
        </w:rPr>
        <w:t>לאחר יישום מבחני הפסיקה שנקבעו</w:t>
      </w:r>
      <w:r>
        <w:rPr>
          <w:rtl w:val="true"/>
        </w:rPr>
        <w:t xml:space="preserve">, </w:t>
      </w:r>
      <w:r>
        <w:rPr>
          <w:rtl w:val="true"/>
        </w:rPr>
        <w:t xml:space="preserve">בפרט במקרה שבו </w:t>
      </w:r>
      <w:r>
        <w:rPr>
          <w:rtl w:val="true"/>
        </w:rPr>
        <w:t>מתן</w:t>
      </w:r>
      <w:r>
        <w:rPr>
          <w:rtl w:val="true"/>
        </w:rPr>
        <w:t xml:space="preserve"> </w:t>
      </w:r>
      <w:r>
        <w:rPr>
          <w:rtl w:val="true"/>
        </w:rPr>
        <w:t>הודאת</w:t>
      </w:r>
      <w:r>
        <w:rPr>
          <w:rtl w:val="true"/>
        </w:rPr>
        <w:t xml:space="preserve"> </w:t>
      </w:r>
      <w:r>
        <w:rPr>
          <w:rtl w:val="true"/>
        </w:rPr>
        <w:t>החוץ</w:t>
      </w:r>
      <w:r>
        <w:rPr>
          <w:rtl w:val="true"/>
        </w:rPr>
        <w:t xml:space="preserve"> </w:t>
      </w:r>
      <w:r>
        <w:rPr>
          <w:rtl w:val="true"/>
        </w:rPr>
        <w:t>מוכחש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0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7532/12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איטל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143-140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11.12.2016</w:t>
      </w:r>
      <w:r>
        <w:rPr>
          <w:rtl w:val="true"/>
        </w:rPr>
        <w:t xml:space="preserve">); </w:t>
      </w:r>
      <w:hyperlink r:id="rId10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4855/16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שוויקי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פסקאות </w:t>
      </w:r>
      <w:r>
        <w:rPr/>
        <w:t>29-28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11.11.2018</w:t>
      </w:r>
      <w:r>
        <w:rPr>
          <w:rtl w:val="true"/>
        </w:rPr>
        <w:t xml:space="preserve">)). </w:t>
      </w:r>
      <w:r>
        <w:rPr>
          <w:rtl w:val="true"/>
        </w:rPr>
        <w:t>בכך לא נפל כל פגם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אוסיף גם כי בסופו של יום</w:t>
      </w:r>
      <w:r>
        <w:rPr>
          <w:rtl w:val="true"/>
        </w:rPr>
        <w:t xml:space="preserve">, </w:t>
      </w:r>
      <w:r>
        <w:rPr>
          <w:rtl w:val="true"/>
        </w:rPr>
        <w:t>המערער לא הכחיש את עצם קיומה של הפגישה</w:t>
      </w:r>
      <w:r>
        <w:rPr>
          <w:rtl w:val="true"/>
        </w:rPr>
        <w:t xml:space="preserve">, </w:t>
      </w:r>
      <w:r>
        <w:rPr>
          <w:rtl w:val="true"/>
        </w:rPr>
        <w:t xml:space="preserve">הגם כי הכחיש שהודה במהלכה בביצוע המעשים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13.2.2022</w:t>
      </w:r>
      <w:r>
        <w:rPr>
          <w:rtl w:val="true"/>
        </w:rPr>
        <w:t xml:space="preserve">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323-317</w:t>
      </w:r>
      <w:r>
        <w:rPr>
          <w:rtl w:val="true"/>
        </w:rPr>
        <w:t xml:space="preserve">) </w:t>
      </w:r>
      <w:r>
        <w:rPr>
          <w:rtl w:val="true"/>
        </w:rPr>
        <w:t xml:space="preserve">והדגיש כי השיחה התנהלה </w:t>
      </w:r>
      <w:r>
        <w:rPr>
          <w:rtl w:val="true"/>
        </w:rPr>
        <w:t>"</w:t>
      </w:r>
      <w:r>
        <w:rPr>
          <w:rtl w:val="true"/>
        </w:rPr>
        <w:t>באופן רגיל</w:t>
      </w:r>
      <w:r>
        <w:rPr>
          <w:rtl w:val="true"/>
        </w:rPr>
        <w:t xml:space="preserve">" </w:t>
      </w:r>
      <w:r>
        <w:rPr>
          <w:rtl w:val="true"/>
        </w:rPr>
        <w:t xml:space="preserve">וללא צעקות או בכי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322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30-25</w:t>
      </w:r>
      <w:r>
        <w:rPr>
          <w:rtl w:val="true"/>
        </w:rPr>
        <w:t xml:space="preserve">). </w:t>
      </w:r>
      <w:r>
        <w:rPr>
          <w:rtl w:val="true"/>
        </w:rPr>
        <w:t>אף אביו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לא רק שאישר כי התקיימה פגישה מעין זו </w:t>
      </w:r>
      <w:r>
        <w:rPr>
          <w:rtl w:val="true"/>
        </w:rPr>
        <w:t>(</w:t>
      </w:r>
      <w:r>
        <w:rPr>
          <w:rtl w:val="true"/>
        </w:rPr>
        <w:t xml:space="preserve">פרוטוקול הדיון מיום </w:t>
      </w:r>
      <w:r>
        <w:rPr/>
        <w:t>28.11.2021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224-221</w:t>
      </w:r>
      <w:r>
        <w:rPr>
          <w:rtl w:val="true"/>
        </w:rPr>
        <w:t xml:space="preserve">), </w:t>
      </w:r>
      <w:r>
        <w:rPr>
          <w:rtl w:val="true"/>
        </w:rPr>
        <w:t>אלא גם מסר כי ס</w:t>
      </w:r>
      <w:r>
        <w:rPr>
          <w:rtl w:val="true"/>
        </w:rPr>
        <w:t xml:space="preserve">' </w:t>
      </w:r>
      <w:r>
        <w:rPr>
          <w:rtl w:val="true"/>
        </w:rPr>
        <w:t xml:space="preserve">הטיחה בו שבנו פגע בבנה </w:t>
      </w:r>
      <w:r>
        <w:rPr>
          <w:rtl w:val="true"/>
        </w:rPr>
        <w:t>("</w:t>
      </w:r>
      <w:r>
        <w:rPr>
          <w:rtl w:val="true"/>
        </w:rPr>
        <w:t xml:space="preserve">היא אמרה לי את זה </w:t>
      </w:r>
      <w:r>
        <w:rPr>
          <w:rtl w:val="true"/>
        </w:rPr>
        <w:t>'</w:t>
      </w:r>
      <w:r>
        <w:rPr>
          <w:rtl w:val="true"/>
        </w:rPr>
        <w:t>הבן שלך עשה ועשה</w:t>
      </w:r>
      <w:r>
        <w:rPr>
          <w:rtl w:val="true"/>
        </w:rPr>
        <w:t>'"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224</w:t>
      </w:r>
      <w:r>
        <w:rPr>
          <w:rtl w:val="true"/>
        </w:rPr>
        <w:t xml:space="preserve">, </w:t>
      </w:r>
      <w:r>
        <w:rPr>
          <w:rtl w:val="true"/>
        </w:rPr>
        <w:t xml:space="preserve">שורה </w:t>
      </w:r>
      <w:r>
        <w:rPr/>
        <w:t>1</w:t>
      </w:r>
      <w:r>
        <w:rPr>
          <w:rtl w:val="true"/>
        </w:rPr>
        <w:t xml:space="preserve">)) </w:t>
      </w:r>
      <w:r>
        <w:rPr>
          <w:rtl w:val="true"/>
        </w:rPr>
        <w:t xml:space="preserve">והוא אף הזהיר את בנו שאם הוא אמר </w:t>
      </w:r>
      <w:r>
        <w:rPr>
          <w:rtl w:val="true"/>
        </w:rPr>
        <w:t>"</w:t>
      </w:r>
      <w:r>
        <w:rPr>
          <w:rtl w:val="true"/>
        </w:rPr>
        <w:t>משהו</w:t>
      </w:r>
      <w:r>
        <w:rPr>
          <w:rtl w:val="true"/>
        </w:rPr>
        <w:t xml:space="preserve">" </w:t>
      </w:r>
      <w:r>
        <w:rPr>
          <w:rtl w:val="true"/>
        </w:rPr>
        <w:t>לס</w:t>
      </w:r>
      <w:r>
        <w:rPr>
          <w:rtl w:val="true"/>
        </w:rPr>
        <w:t xml:space="preserve">', </w:t>
      </w:r>
      <w:r>
        <w:rPr>
          <w:rtl w:val="true"/>
        </w:rPr>
        <w:t>הוא יסלקו מהבית</w:t>
      </w:r>
      <w:r>
        <w:rPr>
          <w:rtl w:val="true"/>
        </w:rPr>
        <w:t>: "</w:t>
      </w:r>
      <w:r>
        <w:rPr>
          <w:rtl w:val="true"/>
        </w:rPr>
        <w:t>אם אתה אמרת</w:t>
      </w:r>
      <w:r>
        <w:rPr>
          <w:rtl w:val="true"/>
        </w:rPr>
        <w:t xml:space="preserve">, </w:t>
      </w:r>
      <w:r>
        <w:rPr>
          <w:rtl w:val="true"/>
        </w:rPr>
        <w:t>אני לא רוצה אותך בבית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223</w:t>
      </w:r>
      <w:r>
        <w:rPr>
          <w:rtl w:val="true"/>
        </w:rPr>
        <w:t xml:space="preserve">, </w:t>
      </w:r>
      <w:r>
        <w:rPr>
          <w:rtl w:val="true"/>
        </w:rPr>
        <w:t xml:space="preserve">שורות </w:t>
      </w:r>
      <w:r>
        <w:rPr/>
        <w:t>3-2</w:t>
      </w:r>
      <w:r>
        <w:rPr>
          <w:rtl w:val="true"/>
        </w:rPr>
        <w:t xml:space="preserve">). </w:t>
      </w:r>
      <w:r>
        <w:rPr>
          <w:rtl w:val="true"/>
        </w:rPr>
        <w:t>מבלי שיהיה בכך ראיה לאמיתות הדברים</w:t>
      </w:r>
      <w:r>
        <w:rPr>
          <w:rtl w:val="true"/>
        </w:rPr>
        <w:t xml:space="preserve">, </w:t>
      </w:r>
      <w:r>
        <w:rPr>
          <w:rtl w:val="true"/>
        </w:rPr>
        <w:t>בוודאי שיש בכך כדי לחזק את מסגרת סיפור המעשה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טען אמנם בהקשר זה כי בית המשפט נכנס לנעלי התביעה כשהוא מחליף את </w:t>
      </w:r>
      <w:r>
        <w:rPr>
          <w:rtl w:val="true"/>
        </w:rPr>
        <w:t>"</w:t>
      </w:r>
      <w:r>
        <w:rPr>
          <w:rtl w:val="true"/>
        </w:rPr>
        <w:t>תפקידו של החוקר המשטרתי</w:t>
      </w:r>
      <w:r>
        <w:rPr>
          <w:rtl w:val="true"/>
        </w:rPr>
        <w:t xml:space="preserve">" </w:t>
      </w:r>
      <w:r>
        <w:rPr>
          <w:rtl w:val="true"/>
        </w:rPr>
        <w:t xml:space="preserve">בחוקרו את אבי המערער חקירה </w:t>
      </w:r>
      <w:r>
        <w:rPr>
          <w:rtl w:val="true"/>
        </w:rPr>
        <w:t>"</w:t>
      </w:r>
      <w:r>
        <w:rPr>
          <w:rtl w:val="true"/>
        </w:rPr>
        <w:t>ארוכה ומקיפה</w:t>
      </w:r>
      <w:r>
        <w:rPr>
          <w:rtl w:val="true"/>
        </w:rPr>
        <w:t xml:space="preserve">" </w:t>
      </w:r>
      <w:r>
        <w:rPr>
          <w:rtl w:val="true"/>
        </w:rPr>
        <w:t>החורגת מגדר תפקידו של בית המשפט</w:t>
      </w:r>
      <w:r>
        <w:rPr>
          <w:rtl w:val="true"/>
        </w:rPr>
        <w:t xml:space="preserve">. </w:t>
      </w:r>
      <w:r>
        <w:rPr>
          <w:rtl w:val="true"/>
        </w:rPr>
        <w:t>אולם לא מצאתי ממש בטענה זו</w:t>
      </w:r>
      <w:r>
        <w:rPr>
          <w:rtl w:val="true"/>
        </w:rPr>
        <w:t xml:space="preserve">. </w:t>
      </w:r>
      <w:hyperlink r:id="rId10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3">
        <w:r>
          <w:rPr>
            <w:rStyle w:val="Hyperlink"/>
            <w:color w:val="0000FF"/>
            <w:u w:val="single"/>
            <w:rtl w:val="true"/>
          </w:rPr>
          <w:t>חסד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</w:hyperlink>
      <w:r>
        <w:rPr>
          <w:rtl w:val="true"/>
        </w:rPr>
        <w:t xml:space="preserve"> מגדיר את </w:t>
      </w:r>
      <w:r>
        <w:rPr>
          <w:rtl w:val="true"/>
        </w:rPr>
        <w:t>סמכותו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הדן</w:t>
      </w:r>
      <w:r>
        <w:rPr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 </w:t>
      </w:r>
      <w:r>
        <w:rPr>
          <w:rtl w:val="true"/>
        </w:rPr>
        <w:t>להציג</w:t>
      </w:r>
      <w:r>
        <w:rPr>
          <w:rtl w:val="true"/>
        </w:rPr>
        <w:t xml:space="preserve"> </w:t>
      </w:r>
      <w:r>
        <w:rPr>
          <w:rtl w:val="true"/>
        </w:rPr>
        <w:t>שאלות</w:t>
      </w:r>
      <w:r>
        <w:rPr>
          <w:rtl w:val="true"/>
        </w:rPr>
        <w:t xml:space="preserve"> </w:t>
      </w:r>
      <w:r>
        <w:rPr>
          <w:rtl w:val="true"/>
        </w:rPr>
        <w:t>לעדי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וקובע כי</w:t>
      </w:r>
      <w:r>
        <w:rPr>
          <w:rtl w:val="true"/>
        </w:rPr>
        <w:t>: "</w:t>
      </w:r>
      <w:r>
        <w:rPr>
          <w:rtl w:val="true"/>
        </w:rPr>
        <w:t>סיימו</w:t>
      </w:r>
      <w:r>
        <w:rPr>
          <w:rtl w:val="true"/>
        </w:rPr>
        <w:t xml:space="preserve"> </w:t>
      </w:r>
      <w:r>
        <w:rPr>
          <w:rtl w:val="true"/>
        </w:rPr>
        <w:t>בעלי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חקירתם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לחקור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העד</w:t>
      </w:r>
      <w:r>
        <w:rPr>
          <w:rtl w:val="true"/>
        </w:rPr>
        <w:t xml:space="preserve">; </w:t>
      </w:r>
      <w:r>
        <w:rPr>
          <w:rtl w:val="true"/>
        </w:rPr>
        <w:t>ורשאי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לשאול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 xml:space="preserve"> </w:t>
      </w:r>
      <w:r>
        <w:rPr>
          <w:rtl w:val="true"/>
        </w:rPr>
        <w:t>שאלה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במהלך</w:t>
      </w:r>
      <w:r>
        <w:rPr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 </w:t>
      </w:r>
      <w:r>
        <w:rPr>
          <w:rtl w:val="true"/>
        </w:rPr>
        <w:t>בידי</w:t>
      </w:r>
      <w:r>
        <w:rPr>
          <w:rtl w:val="true"/>
        </w:rPr>
        <w:t xml:space="preserve"> </w:t>
      </w:r>
      <w:r>
        <w:rPr>
          <w:rtl w:val="true"/>
        </w:rPr>
        <w:t>בעלי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להבהרת</w:t>
      </w:r>
      <w:r>
        <w:rPr>
          <w:rtl w:val="true"/>
        </w:rPr>
        <w:t xml:space="preserve"> </w:t>
      </w:r>
      <w:r>
        <w:rPr>
          <w:rtl w:val="true"/>
        </w:rPr>
        <w:t>ענין</w:t>
      </w:r>
      <w:r>
        <w:rPr>
          <w:rtl w:val="true"/>
        </w:rPr>
        <w:t xml:space="preserve"> </w:t>
      </w:r>
      <w:r>
        <w:rPr>
          <w:rtl w:val="true"/>
        </w:rPr>
        <w:t>שנתעורר</w:t>
      </w:r>
      <w:r>
        <w:rPr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".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אל לו לבית המשפט </w:t>
      </w:r>
      <w:r>
        <w:rPr>
          <w:rtl w:val="true"/>
        </w:rPr>
        <w:t>ליטול</w:t>
      </w:r>
      <w:r>
        <w:rPr>
          <w:rtl w:val="true"/>
        </w:rPr>
        <w:t xml:space="preserve"> </w:t>
      </w:r>
      <w:r>
        <w:rPr>
          <w:rtl w:val="true"/>
        </w:rPr>
        <w:t>לעצמו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מלאכתם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בעלי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tl w:val="true"/>
        </w:rPr>
        <w:t>, "</w:t>
      </w: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השופט</w:t>
      </w:r>
      <w:r>
        <w:rPr>
          <w:rtl w:val="true"/>
        </w:rPr>
        <w:t xml:space="preserve"> </w:t>
      </w:r>
      <w:r>
        <w:rPr>
          <w:rtl w:val="true"/>
        </w:rPr>
        <w:t>מתמצה</w:t>
      </w:r>
      <w:r>
        <w:rPr>
          <w:rtl w:val="true"/>
        </w:rPr>
        <w:t xml:space="preserve"> </w:t>
      </w:r>
      <w:r>
        <w:rPr>
          <w:rtl w:val="true"/>
        </w:rPr>
        <w:t>בצפייה</w:t>
      </w:r>
      <w:r>
        <w:rPr>
          <w:rtl w:val="true"/>
        </w:rPr>
        <w:t xml:space="preserve"> </w:t>
      </w:r>
      <w:r>
        <w:rPr>
          <w:rtl w:val="true"/>
        </w:rPr>
        <w:t>סבילה</w:t>
      </w:r>
      <w:r>
        <w:rPr>
          <w:rtl w:val="true"/>
        </w:rPr>
        <w:t xml:space="preserve"> </w:t>
      </w:r>
      <w:r>
        <w:rPr>
          <w:rtl w:val="true"/>
        </w:rPr>
        <w:t>במתרחש</w:t>
      </w:r>
      <w:r>
        <w:rPr>
          <w:rtl w:val="true"/>
        </w:rPr>
        <w:t xml:space="preserve"> </w:t>
      </w:r>
      <w:r>
        <w:rPr>
          <w:rtl w:val="true"/>
        </w:rPr>
        <w:t>לפניו</w:t>
      </w:r>
      <w:r>
        <w:rPr>
          <w:rtl w:val="true"/>
        </w:rPr>
        <w:t xml:space="preserve">. </w:t>
      </w:r>
      <w:r>
        <w:rPr>
          <w:rtl w:val="true"/>
        </w:rPr>
        <w:t>עליו</w:t>
      </w:r>
      <w:r>
        <w:rPr>
          <w:rtl w:val="true"/>
        </w:rPr>
        <w:t xml:space="preserve"> </w:t>
      </w:r>
      <w:r>
        <w:rPr>
          <w:rtl w:val="true"/>
        </w:rPr>
        <w:t>לשמור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קיומו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 </w:t>
      </w:r>
      <w:r>
        <w:rPr>
          <w:rtl w:val="true"/>
        </w:rPr>
        <w:t>ויעיל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tl w:val="true"/>
        </w:rPr>
        <w:t xml:space="preserve"> </w:t>
      </w:r>
      <w:r>
        <w:rPr>
          <w:rtl w:val="true"/>
        </w:rPr>
        <w:t>נדרש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לשאלות</w:t>
      </w:r>
      <w:r>
        <w:rPr>
          <w:rtl w:val="true"/>
        </w:rPr>
        <w:t xml:space="preserve"> </w:t>
      </w:r>
      <w:r>
        <w:rPr>
          <w:rtl w:val="true"/>
        </w:rPr>
        <w:t>הבהרה</w:t>
      </w:r>
      <w:r>
        <w:rPr>
          <w:rtl w:val="true"/>
        </w:rPr>
        <w:t xml:space="preserve"> –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שיוכל</w:t>
      </w:r>
      <w:r>
        <w:rPr>
          <w:rtl w:val="true"/>
        </w:rPr>
        <w:t xml:space="preserve"> </w:t>
      </w:r>
      <w:r>
        <w:rPr>
          <w:rtl w:val="true"/>
        </w:rPr>
        <w:t>להגיע</w:t>
      </w:r>
      <w:r>
        <w:rPr>
          <w:rtl w:val="true"/>
        </w:rPr>
        <w:t xml:space="preserve"> </w:t>
      </w:r>
      <w:r>
        <w:rPr>
          <w:rtl w:val="true"/>
        </w:rPr>
        <w:t>לחקר</w:t>
      </w:r>
      <w:r>
        <w:rPr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 – </w:t>
      </w:r>
      <w:r>
        <w:rPr>
          <w:rtl w:val="true"/>
        </w:rPr>
        <w:t>רשאי</w:t>
      </w:r>
      <w:r>
        <w:rPr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 </w:t>
      </w:r>
      <w:r>
        <w:rPr>
          <w:rtl w:val="true"/>
        </w:rPr>
        <w:t>להפנות</w:t>
      </w:r>
      <w:r>
        <w:rPr>
          <w:rtl w:val="true"/>
        </w:rPr>
        <w:t xml:space="preserve"> </w:t>
      </w:r>
      <w:r>
        <w:rPr>
          <w:rtl w:val="true"/>
        </w:rPr>
        <w:t>שאלותיו</w:t>
      </w:r>
      <w:r>
        <w:rPr>
          <w:rtl w:val="true"/>
        </w:rPr>
        <w:t xml:space="preserve"> </w:t>
      </w:r>
      <w:r>
        <w:rPr>
          <w:rtl w:val="true"/>
        </w:rPr>
        <w:t>לעדים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מידת</w:t>
      </w:r>
      <w:r>
        <w:rPr>
          <w:rtl w:val="true"/>
        </w:rPr>
        <w:t xml:space="preserve"> </w:t>
      </w:r>
      <w:r>
        <w:rPr>
          <w:rtl w:val="true"/>
        </w:rPr>
        <w:t>ההתערבות</w:t>
      </w:r>
      <w:r>
        <w:rPr>
          <w:rtl w:val="true"/>
        </w:rPr>
        <w:t xml:space="preserve"> </w:t>
      </w:r>
      <w:r>
        <w:rPr>
          <w:rtl w:val="true"/>
        </w:rPr>
        <w:t>הנדרשת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כמות</w:t>
      </w:r>
      <w:r>
        <w:rPr>
          <w:rtl w:val="true"/>
        </w:rPr>
        <w:t xml:space="preserve"> </w:t>
      </w:r>
      <w:r>
        <w:rPr>
          <w:rtl w:val="true"/>
        </w:rPr>
        <w:t>השאלות</w:t>
      </w:r>
      <w:r>
        <w:rPr>
          <w:rtl w:val="true"/>
        </w:rPr>
        <w:t xml:space="preserve"> </w:t>
      </w:r>
      <w:r>
        <w:rPr>
          <w:rtl w:val="true"/>
        </w:rPr>
        <w:t>הדרושה</w:t>
      </w:r>
      <w:r>
        <w:rPr>
          <w:rtl w:val="true"/>
        </w:rPr>
        <w:t xml:space="preserve"> </w:t>
      </w:r>
      <w:r>
        <w:rPr>
          <w:rtl w:val="true"/>
        </w:rPr>
        <w:t>[...]</w:t>
      </w:r>
      <w:r>
        <w:rPr>
          <w:rtl w:val="true"/>
        </w:rPr>
        <w:t xml:space="preserve">, </w:t>
      </w:r>
      <w:r>
        <w:rPr>
          <w:rtl w:val="true"/>
        </w:rPr>
        <w:t>איננה</w:t>
      </w:r>
      <w:r>
        <w:rPr>
          <w:rtl w:val="true"/>
        </w:rPr>
        <w:t xml:space="preserve"> </w:t>
      </w:r>
      <w:r>
        <w:rPr>
          <w:rtl w:val="true"/>
        </w:rPr>
        <w:t>ניתנת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tl w:val="true"/>
        </w:rPr>
        <w:t xml:space="preserve"> </w:t>
      </w:r>
      <w:r>
        <w:rPr>
          <w:rtl w:val="true"/>
        </w:rPr>
        <w:t>צריכה</w:t>
      </w:r>
      <w:r>
        <w:rPr>
          <w:rtl w:val="true"/>
        </w:rPr>
        <w:t xml:space="preserve"> </w:t>
      </w:r>
      <w:r>
        <w:rPr>
          <w:rtl w:val="true"/>
        </w:rPr>
        <w:t>הגדרה</w:t>
      </w:r>
      <w:r>
        <w:rPr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נגזרת</w:t>
      </w:r>
      <w:r>
        <w:rPr>
          <w:rtl w:val="true"/>
        </w:rPr>
        <w:t xml:space="preserve"> </w:t>
      </w:r>
      <w:r>
        <w:rPr>
          <w:rtl w:val="true"/>
        </w:rPr>
        <w:t>ממורכבותו</w:t>
      </w:r>
      <w:r>
        <w:rPr>
          <w:rtl w:val="true"/>
        </w:rPr>
        <w:t xml:space="preserve"> </w:t>
      </w:r>
      <w:r>
        <w:rPr>
          <w:rtl w:val="true"/>
        </w:rPr>
        <w:t>וייחודיותו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 xml:space="preserve"> </w:t>
      </w:r>
      <w:r>
        <w:rPr>
          <w:rtl w:val="true"/>
        </w:rPr>
        <w:t>ותיק</w:t>
      </w:r>
      <w:r>
        <w:rPr>
          <w:rtl w:val="true"/>
        </w:rPr>
        <w:t>" (</w:t>
      </w:r>
      <w:hyperlink r:id="rId10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2842/10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קלדרון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23.1.2012</w:t>
      </w:r>
      <w:r>
        <w:rPr>
          <w:rtl w:val="true"/>
        </w:rPr>
        <w:t xml:space="preserve">); </w:t>
      </w:r>
      <w:r>
        <w:rPr>
          <w:rtl w:val="true"/>
        </w:rPr>
        <w:t>וראו גם</w:t>
      </w:r>
      <w:r>
        <w:rPr>
          <w:rtl w:val="true"/>
        </w:rPr>
        <w:t xml:space="preserve">: </w:t>
      </w:r>
      <w:hyperlink r:id="rId10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2697/14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חדאד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81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6.9.2016</w:t>
      </w:r>
      <w:r>
        <w:rPr>
          <w:rtl w:val="true"/>
        </w:rPr>
        <w:t>);</w:t>
      </w:r>
      <w:r>
        <w:rPr>
          <w:rtl w:val="true"/>
        </w:rPr>
        <w:t xml:space="preserve"> </w:t>
      </w:r>
      <w:hyperlink r:id="rId10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71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20.4.2016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הקריטיים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הסתגרותם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28.11.2021</w:t>
      </w:r>
      <w:r>
        <w:rPr>
          <w:rtl w:val="true"/>
        </w:rPr>
        <w:t xml:space="preserve">,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225-221</w:t>
      </w:r>
      <w:r>
        <w:rPr>
          <w:rtl w:val="true"/>
        </w:rPr>
        <w:t xml:space="preserve">),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לשרטט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בהגנתו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מפורטת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להתגונן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הטעמים</w:t>
      </w:r>
      <w:r>
        <w:rPr>
          <w:rtl w:val="true"/>
        </w:rPr>
        <w:t xml:space="preserve"> </w:t>
      </w:r>
      <w:r>
        <w:rPr>
          <w:rtl w:val="true"/>
        </w:rPr>
        <w:t xml:space="preserve">שפורטו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דעתי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הכרעת</w:t>
      </w:r>
      <w:r>
        <w:rPr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מגלה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עילה</w:t>
      </w:r>
      <w:r>
        <w:rPr>
          <w:rtl w:val="true"/>
        </w:rPr>
        <w:t xml:space="preserve"> </w:t>
      </w:r>
      <w:r>
        <w:rPr>
          <w:rtl w:val="true"/>
        </w:rPr>
        <w:t>להתערבות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אין</w:t>
      </w:r>
      <w:r>
        <w:rPr>
          <w:rtl w:val="true"/>
        </w:rPr>
        <w:t xml:space="preserve"> </w:t>
      </w:r>
      <w:r>
        <w:rPr>
          <w:rtl w:val="true"/>
        </w:rPr>
        <w:t>צורך</w:t>
      </w:r>
      <w:r>
        <w:rPr>
          <w:rtl w:val="true"/>
        </w:rPr>
        <w:t xml:space="preserve"> </w:t>
      </w:r>
      <w:r>
        <w:rPr>
          <w:rtl w:val="true"/>
        </w:rPr>
        <w:t>להכביר</w:t>
      </w:r>
      <w:r>
        <w:rPr>
          <w:rtl w:val="true"/>
        </w:rPr>
        <w:t xml:space="preserve"> </w:t>
      </w:r>
      <w:r>
        <w:rPr>
          <w:rtl w:val="true"/>
        </w:rPr>
        <w:t>במילים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החומרה</w:t>
      </w:r>
      <w:r>
        <w:rPr>
          <w:rtl w:val="true"/>
        </w:rPr>
        <w:t xml:space="preserve"> </w:t>
      </w:r>
      <w:r>
        <w:rPr>
          <w:rtl w:val="true"/>
        </w:rPr>
        <w:t>היתרה</w:t>
      </w:r>
      <w:r>
        <w:rPr>
          <w:rtl w:val="true"/>
        </w:rPr>
        <w:t xml:space="preserve"> </w:t>
      </w:r>
      <w:r>
        <w:rPr>
          <w:rtl w:val="true"/>
        </w:rPr>
        <w:t>הגלומה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tl w:val="true"/>
        </w:rPr>
        <w:t xml:space="preserve"> </w:t>
      </w:r>
      <w:r>
        <w:rPr>
          <w:rtl w:val="true"/>
        </w:rPr>
        <w:t>ההשלכות</w:t>
      </w:r>
      <w:r>
        <w:rPr>
          <w:rtl w:val="true"/>
        </w:rPr>
        <w:t xml:space="preserve"> </w:t>
      </w:r>
      <w:r>
        <w:rPr>
          <w:rtl w:val="true"/>
        </w:rPr>
        <w:t>המשמעותיות</w:t>
      </w:r>
      <w:r>
        <w:rPr>
          <w:rtl w:val="true"/>
        </w:rPr>
        <w:t xml:space="preserve"> </w:t>
      </w:r>
      <w:r>
        <w:rPr>
          <w:rtl w:val="true"/>
        </w:rPr>
        <w:t>שעבירות</w:t>
      </w:r>
      <w:r>
        <w:rPr>
          <w:rtl w:val="true"/>
        </w:rPr>
        <w:t xml:space="preserve"> </w:t>
      </w:r>
      <w:r>
        <w:rPr>
          <w:rtl w:val="true"/>
        </w:rPr>
        <w:t>מסוג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 </w:t>
      </w:r>
      <w:r>
        <w:rPr>
          <w:rtl w:val="true"/>
        </w:rPr>
        <w:t>טומנות</w:t>
      </w:r>
      <w:r>
        <w:rPr>
          <w:rtl w:val="true"/>
        </w:rPr>
        <w:t xml:space="preserve"> </w:t>
      </w:r>
      <w:r>
        <w:rPr>
          <w:rtl w:val="true"/>
        </w:rPr>
        <w:t>בחובן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הקורבן</w:t>
      </w:r>
      <w:r>
        <w:rPr>
          <w:rtl w:val="true"/>
        </w:rPr>
        <w:t xml:space="preserve"> </w:t>
      </w:r>
      <w:r>
        <w:rPr>
          <w:rtl w:val="true"/>
        </w:rPr>
        <w:t>ובני</w:t>
      </w:r>
      <w:r>
        <w:rPr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 </w:t>
      </w:r>
      <w:r>
        <w:rPr>
          <w:rtl w:val="true"/>
        </w:rPr>
        <w:t>מגלמות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 </w:t>
      </w:r>
      <w:r>
        <w:rPr>
          <w:rtl w:val="true"/>
        </w:rPr>
        <w:t>פיזית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פגיעה</w:t>
      </w:r>
      <w:r>
        <w:rPr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 </w:t>
      </w:r>
      <w:r>
        <w:rPr>
          <w:rtl w:val="true"/>
        </w:rPr>
        <w:t>בקורבן</w:t>
      </w:r>
      <w:r>
        <w:rPr>
          <w:rtl w:val="true"/>
        </w:rPr>
        <w:t xml:space="preserve"> </w:t>
      </w:r>
      <w:r>
        <w:rPr>
          <w:rtl w:val="true"/>
        </w:rPr>
        <w:t xml:space="preserve">המותירה </w:t>
      </w:r>
      <w:r>
        <w:rPr>
          <w:rtl w:val="true"/>
        </w:rPr>
        <w:t>צלקות</w:t>
      </w:r>
      <w:r>
        <w:rPr>
          <w:rtl w:val="true"/>
        </w:rPr>
        <w:t xml:space="preserve"> </w:t>
      </w:r>
      <w:r>
        <w:rPr>
          <w:rtl w:val="true"/>
        </w:rPr>
        <w:t>עמוקות</w:t>
      </w:r>
      <w:r>
        <w:rPr>
          <w:rtl w:val="true"/>
        </w:rPr>
        <w:t xml:space="preserve"> </w:t>
      </w:r>
      <w:r>
        <w:rPr>
          <w:rtl w:val="true"/>
        </w:rPr>
        <w:t xml:space="preserve">ומצריכה </w:t>
      </w:r>
      <w:r>
        <w:rPr>
          <w:rtl w:val="true"/>
        </w:rPr>
        <w:t>הליכי</w:t>
      </w:r>
      <w:r>
        <w:rPr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 </w:t>
      </w:r>
      <w:r>
        <w:rPr>
          <w:rtl w:val="true"/>
        </w:rPr>
        <w:t>ארוכים</w:t>
      </w:r>
      <w:r>
        <w:rPr>
          <w:rtl w:val="true"/>
        </w:rPr>
        <w:t xml:space="preserve"> </w:t>
      </w:r>
      <w:r>
        <w:rPr>
          <w:rtl w:val="true"/>
        </w:rPr>
        <w:t>ומורכבים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10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8153/19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20.10.2020</w:t>
      </w:r>
      <w:r>
        <w:rPr>
          <w:rtl w:val="true"/>
        </w:rPr>
        <w:t xml:space="preserve">);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דאבוש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57</w:t>
      </w:r>
      <w:r>
        <w:rPr>
          <w:rtl w:val="true"/>
        </w:rPr>
        <w:t xml:space="preserve">; </w:t>
      </w:r>
      <w:hyperlink r:id="rId10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3657/23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23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13.8.2023</w:t>
      </w:r>
      <w:r>
        <w:rPr>
          <w:rtl w:val="true"/>
        </w:rPr>
        <w:t>)</w:t>
      </w:r>
      <w:r>
        <w:rPr>
          <w:rtl w:val="true"/>
        </w:rPr>
        <w:t xml:space="preserve">). </w:t>
      </w:r>
      <w:r>
        <w:rPr>
          <w:rtl w:val="true"/>
        </w:rPr>
        <w:t>חומרתן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מתעצמת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tl w:val="true"/>
        </w:rPr>
        <w:t xml:space="preserve"> </w:t>
      </w:r>
      <w:r>
        <w:rPr>
          <w:rtl w:val="true"/>
        </w:rPr>
        <w:t>נעשות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ומטבען</w:t>
      </w:r>
      <w:r>
        <w:rPr>
          <w:rtl w:val="true"/>
        </w:rPr>
        <w:t xml:space="preserve"> </w:t>
      </w:r>
      <w:r>
        <w:rPr>
          <w:rtl w:val="true"/>
        </w:rPr>
        <w:t>כרוכות</w:t>
      </w:r>
      <w:r>
        <w:rPr>
          <w:rtl w:val="true"/>
        </w:rPr>
        <w:t xml:space="preserve"> </w:t>
      </w:r>
      <w:r>
        <w:rPr>
          <w:rtl w:val="true"/>
        </w:rPr>
        <w:t>בניצול</w:t>
      </w:r>
      <w:r>
        <w:rPr>
          <w:rtl w:val="true"/>
        </w:rPr>
        <w:t xml:space="preserve"> </w:t>
      </w:r>
      <w:r>
        <w:rPr>
          <w:rtl w:val="true"/>
        </w:rPr>
        <w:t>פערי</w:t>
      </w:r>
      <w:r>
        <w:rPr>
          <w:rtl w:val="true"/>
        </w:rPr>
        <w:t xml:space="preserve"> </w:t>
      </w:r>
      <w:r>
        <w:rPr>
          <w:rtl w:val="true"/>
        </w:rPr>
        <w:t>כוחות</w:t>
      </w:r>
      <w:r>
        <w:rPr>
          <w:rtl w:val="true"/>
        </w:rPr>
        <w:t xml:space="preserve"> </w:t>
      </w:r>
      <w:r>
        <w:rPr>
          <w:rtl w:val="true"/>
        </w:rPr>
        <w:t>וקרבה</w:t>
      </w:r>
      <w:r>
        <w:rPr>
          <w:rtl w:val="true"/>
        </w:rPr>
        <w:t xml:space="preserve"> </w:t>
      </w:r>
      <w:r>
        <w:rPr>
          <w:rtl w:val="true"/>
        </w:rPr>
        <w:t>בין</w:t>
      </w:r>
      <w:r>
        <w:rPr>
          <w:rtl w:val="true"/>
        </w:rPr>
        <w:t xml:space="preserve"> </w:t>
      </w:r>
      <w:r>
        <w:rPr>
          <w:rtl w:val="true"/>
        </w:rPr>
        <w:t>הפוגע</w:t>
      </w:r>
      <w:r>
        <w:rPr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 xml:space="preserve"> </w:t>
      </w:r>
      <w:r>
        <w:rPr>
          <w:rtl w:val="true"/>
        </w:rPr>
        <w:t>(</w:t>
      </w:r>
      <w:hyperlink r:id="rId10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6807/17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24.4.2018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1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5778/22</w:t>
        </w:r>
      </w:hyperlink>
      <w:r>
        <w:rPr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28.2.2023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נקודת</w:t>
      </w:r>
      <w:r>
        <w:rPr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 </w:t>
      </w:r>
      <w:r>
        <w:rPr>
          <w:rtl w:val="true"/>
        </w:rPr>
        <w:t>היא שאין דינו של מי שביצע עבירה בהיותו קטין כדין מי שביצע עבירה בהיותו בגיר</w:t>
      </w:r>
      <w:r>
        <w:rPr>
          <w:rtl w:val="true"/>
        </w:rPr>
        <w:t xml:space="preserve">, </w:t>
      </w:r>
      <w:r>
        <w:rPr>
          <w:rtl w:val="true"/>
        </w:rPr>
        <w:t xml:space="preserve">ויש לתת </w:t>
      </w:r>
      <w:r>
        <w:rPr>
          <w:rtl w:val="true"/>
        </w:rPr>
        <w:t>משקל</w:t>
      </w:r>
      <w:r>
        <w:rPr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 </w:t>
      </w:r>
      <w:r>
        <w:rPr>
          <w:rtl w:val="true"/>
        </w:rPr>
        <w:t>לפן</w:t>
      </w:r>
      <w:r>
        <w:rPr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>-</w:t>
      </w:r>
      <w:r>
        <w:rPr>
          <w:rtl w:val="true"/>
        </w:rPr>
        <w:t>שיקומי</w:t>
      </w:r>
      <w:r>
        <w:rPr>
          <w:rtl w:val="true"/>
        </w:rPr>
        <w:t xml:space="preserve"> של קטין</w:t>
      </w:r>
      <w:r>
        <w:rPr>
          <w:rtl w:val="true"/>
        </w:rPr>
        <w:t xml:space="preserve">. </w:t>
      </w:r>
      <w:r>
        <w:rPr>
          <w:rtl w:val="true"/>
        </w:rPr>
        <w:t xml:space="preserve">זאת כאשר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 </w:t>
      </w:r>
      <w:r>
        <w:rPr>
          <w:rtl w:val="true"/>
        </w:rPr>
        <w:t>נועד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להיטיב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 </w:t>
      </w:r>
      <w:r>
        <w:rPr>
          <w:rtl w:val="true"/>
        </w:rPr>
        <w:t>מבצע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מטרתו</w:t>
      </w:r>
      <w:r>
        <w:rPr>
          <w:rtl w:val="true"/>
        </w:rPr>
        <w:t xml:space="preserve"> </w:t>
      </w:r>
      <w:r>
        <w:rPr>
          <w:rtl w:val="true"/>
        </w:rPr>
        <w:t>לאפשר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השתלבותו</w:t>
      </w:r>
      <w:r>
        <w:rPr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 </w:t>
      </w:r>
      <w:r>
        <w:rPr>
          <w:rtl w:val="true"/>
        </w:rPr>
        <w:t>ולמנוע</w:t>
      </w:r>
      <w:r>
        <w:rPr>
          <w:rtl w:val="true"/>
        </w:rPr>
        <w:t xml:space="preserve"> </w:t>
      </w:r>
      <w:r>
        <w:rPr>
          <w:rtl w:val="true"/>
        </w:rPr>
        <w:t>ביצוע</w:t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</w:t>
      </w:r>
      <w:r>
        <w:rPr>
          <w:rtl w:val="true"/>
        </w:rPr>
        <w:t>ראו</w:t>
      </w:r>
      <w:r>
        <w:rPr>
          <w:rtl w:val="true"/>
        </w:rPr>
        <w:t xml:space="preserve"> למשל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1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3582/22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12.1.2023</w:t>
      </w:r>
      <w:r>
        <w:rPr>
          <w:rtl w:val="true"/>
        </w:rPr>
        <w:t xml:space="preserve">); </w:t>
      </w:r>
      <w:hyperlink r:id="rId1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346/08</w:t>
        </w:r>
      </w:hyperlink>
      <w:r>
        <w:rPr>
          <w:rtl w:val="true"/>
        </w:rPr>
        <w:t xml:space="preserve"> ‏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 י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11.1.2009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אולם גם כאשר מדובר בקטין</w:t>
      </w:r>
      <w:r>
        <w:rPr>
          <w:rtl w:val="true"/>
        </w:rPr>
        <w:t xml:space="preserve">, </w:t>
      </w:r>
      <w:r>
        <w:rPr>
          <w:rtl w:val="true"/>
        </w:rPr>
        <w:t>קיים הכרח לעמוד על טיבו של ההליך השיקומי והפוטנציאל להשתלבות בהליך טיפולי</w:t>
      </w:r>
      <w:r>
        <w:rPr>
          <w:rtl w:val="true"/>
        </w:rPr>
        <w:t xml:space="preserve">. </w:t>
      </w:r>
      <w:r>
        <w:rPr>
          <w:rtl w:val="true"/>
        </w:rPr>
        <w:t>זאת בין היתר בהתייחס ליתר נתוניו האישיים</w:t>
      </w:r>
      <w:r>
        <w:rPr>
          <w:rtl w:val="true"/>
        </w:rPr>
        <w:t xml:space="preserve">, </w:t>
      </w:r>
      <w:r>
        <w:rPr>
          <w:rtl w:val="true"/>
        </w:rPr>
        <w:t>כגון גילו וקיומו של עבר פלילי</w:t>
      </w:r>
      <w:r>
        <w:rPr>
          <w:rtl w:val="true"/>
        </w:rPr>
        <w:t xml:space="preserve">; </w:t>
      </w:r>
      <w:r>
        <w:rPr>
          <w:rtl w:val="true"/>
        </w:rPr>
        <w:t>ובהתייחס למוטיבציה שהביע לשיקום ולטיפול</w:t>
      </w:r>
      <w:r>
        <w:rPr>
          <w:rtl w:val="true"/>
        </w:rPr>
        <w:t xml:space="preserve">, </w:t>
      </w:r>
      <w:r>
        <w:rPr>
          <w:rtl w:val="true"/>
        </w:rPr>
        <w:t>לאינדיקציות לשינוי בדרך התנהגותו</w:t>
      </w:r>
      <w:r>
        <w:rPr>
          <w:rtl w:val="true"/>
        </w:rPr>
        <w:t xml:space="preserve">, </w:t>
      </w:r>
      <w:r>
        <w:rPr>
          <w:rtl w:val="true"/>
        </w:rPr>
        <w:t>לשאלה אם הביע חרטה כנה והפגין אמפתיה כלפי נפגע העבירה</w:t>
      </w:r>
      <w:r>
        <w:rPr>
          <w:rtl w:val="true"/>
        </w:rPr>
        <w:t xml:space="preserve">, </w:t>
      </w:r>
      <w:r>
        <w:rPr>
          <w:rtl w:val="true"/>
        </w:rPr>
        <w:t xml:space="preserve">ועוד </w:t>
      </w:r>
      <w:r>
        <w:rPr>
          <w:rtl w:val="true"/>
        </w:rPr>
        <w:t>(</w:t>
      </w:r>
      <w:r>
        <w:rPr>
          <w:rtl w:val="true"/>
        </w:rPr>
        <w:t>ראו למשל</w:t>
      </w:r>
      <w:r>
        <w:rPr>
          <w:rtl w:val="true"/>
        </w:rPr>
        <w:t xml:space="preserve">: </w:t>
      </w:r>
      <w:hyperlink r:id="rId1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6123/23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נבו</w:t>
      </w:r>
      <w:r>
        <w:rPr>
          <w:rtl w:val="true"/>
        </w:rPr>
        <w:t>]</w:t>
      </w:r>
      <w:r>
        <w:rPr>
          <w:rtl w:val="true"/>
        </w:rPr>
        <w:t xml:space="preserve"> (</w:t>
      </w:r>
      <w:r>
        <w:rPr/>
        <w:t>22.2.2024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לצד ההכרה בחומרת המעשים</w:t>
      </w:r>
      <w:r>
        <w:rPr>
          <w:rtl w:val="true"/>
        </w:rPr>
        <w:t xml:space="preserve">, </w:t>
      </w:r>
      <w:r>
        <w:rPr>
          <w:rtl w:val="true"/>
        </w:rPr>
        <w:t>בית המשפט לא התעלם מנסיבותיו האישיות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שהיה קטין כבן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 בעת ביצוע המעשים</w:t>
      </w:r>
      <w:r>
        <w:rPr>
          <w:rtl w:val="true"/>
        </w:rPr>
        <w:t xml:space="preserve">, </w:t>
      </w:r>
      <w:r>
        <w:rPr>
          <w:rtl w:val="true"/>
        </w:rPr>
        <w:t>בהתייחס בין היתר גם לתנאי חייו הקשים</w:t>
      </w:r>
      <w:r>
        <w:rPr>
          <w:rtl w:val="true"/>
        </w:rPr>
        <w:t xml:space="preserve">, </w:t>
      </w:r>
      <w:r>
        <w:rPr>
          <w:rtl w:val="true"/>
        </w:rPr>
        <w:t>להיותו נעדר עבר פלילי ולמאמציו להשתלב בשוק התעסוקה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הכרעת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>דווקא בראי סיפור ההודאה שהמערער ביקש לערער על קבילותו ומשקלו</w:t>
      </w:r>
      <w:r>
        <w:rPr>
          <w:rtl w:val="true"/>
        </w:rPr>
        <w:t xml:space="preserve">, </w:t>
      </w:r>
      <w:r>
        <w:rPr>
          <w:rtl w:val="true"/>
        </w:rPr>
        <w:t>מגלה חרך הצצה ייחודי אל המורכבות המשפחתית בה הוא נתון</w:t>
      </w:r>
      <w:r>
        <w:rPr>
          <w:rtl w:val="true"/>
        </w:rPr>
        <w:t xml:space="preserve">, </w:t>
      </w:r>
      <w:r>
        <w:rPr>
          <w:rtl w:val="true"/>
        </w:rPr>
        <w:t>כאשר אביו התרה בו לבל יודה בביצוע המעשים</w:t>
      </w:r>
      <w:r>
        <w:rPr>
          <w:rtl w:val="true"/>
        </w:rPr>
        <w:t xml:space="preserve">, </w:t>
      </w:r>
      <w:r>
        <w:rPr>
          <w:rtl w:val="true"/>
        </w:rPr>
        <w:t>שאם לא כן יסלקו מביתו</w:t>
      </w:r>
      <w:r>
        <w:rPr>
          <w:rtl w:val="true"/>
        </w:rPr>
        <w:t xml:space="preserve">. </w:t>
      </w:r>
      <w:r>
        <w:rPr>
          <w:rtl w:val="true"/>
        </w:rPr>
        <w:t>כפי שקבע בית המשפט המחוזי בצדק</w:t>
      </w:r>
      <w:r>
        <w:rPr>
          <w:rtl w:val="true"/>
        </w:rPr>
        <w:t xml:space="preserve">, </w:t>
      </w:r>
      <w:r>
        <w:rPr>
          <w:rtl w:val="true"/>
        </w:rPr>
        <w:t>סיפור ההודאה מלמד כי המערער הביע חרטה מסוימת על מעשיו בפני דודותיו</w:t>
      </w:r>
      <w:r>
        <w:rPr>
          <w:rtl w:val="true"/>
        </w:rPr>
        <w:t xml:space="preserve">, </w:t>
      </w:r>
      <w:r>
        <w:rPr>
          <w:rtl w:val="true"/>
        </w:rPr>
        <w:t>הודה במעשים ואף סיפר כי היה קרבן למעשים דומים שנעשו בו בעבר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 xml:space="preserve">בנסיבות שבהן המערער לא נטל אחריות מלאה על מעשיו וביקש להתנער מהודאה זו </w:t>
      </w:r>
      <w:r>
        <w:rPr>
          <w:rtl w:val="true"/>
        </w:rPr>
        <w:t>–</w:t>
      </w:r>
      <w:r>
        <w:rPr>
          <w:rtl w:val="true"/>
        </w:rPr>
        <w:t xml:space="preserve"> וזאת ככל שניתן להבין על רקע אזהרתו הקשה של אביו כי לא יעשה כן </w:t>
      </w:r>
      <w:r>
        <w:rPr>
          <w:rtl w:val="true"/>
        </w:rPr>
        <w:t>–</w:t>
      </w:r>
      <w:r>
        <w:rPr>
          <w:rtl w:val="true"/>
        </w:rPr>
        <w:t xml:space="preserve"> ברי כי המערער אינו יכול להיחשב כמי שנטל אחריות על המעשים</w:t>
      </w:r>
      <w:r>
        <w:rPr>
          <w:rtl w:val="true"/>
        </w:rPr>
        <w:t xml:space="preserve">, </w:t>
      </w:r>
      <w:r>
        <w:rPr>
          <w:rtl w:val="true"/>
        </w:rPr>
        <w:t>הביע אמפתיה כלפי הקרבן ורצון לקבל מענה טיפולי ולתקן את המעוות</w:t>
      </w:r>
      <w:r>
        <w:rPr>
          <w:rtl w:val="true"/>
        </w:rPr>
        <w:t xml:space="preserve">. </w:t>
      </w:r>
      <w:r>
        <w:rPr>
          <w:rtl w:val="true"/>
        </w:rPr>
        <w:t>לצד זאת</w:t>
      </w:r>
      <w:r>
        <w:rPr>
          <w:rtl w:val="true"/>
        </w:rPr>
        <w:t xml:space="preserve">, </w:t>
      </w:r>
      <w:r>
        <w:rPr>
          <w:rtl w:val="true"/>
        </w:rPr>
        <w:t>התמונה המורכבת שנחשפה לפנינו מצדיקה לעמדתנו הקלה מסוימת בעונשו של המערער</w:t>
      </w:r>
      <w:r>
        <w:rPr>
          <w:rtl w:val="true"/>
        </w:rPr>
        <w:t xml:space="preserve">, </w:t>
      </w:r>
      <w:r>
        <w:rPr>
          <w:rtl w:val="true"/>
        </w:rPr>
        <w:t xml:space="preserve">צעיר בתחילת דרכו אשר </w:t>
      </w:r>
      <w:r>
        <w:rPr>
          <w:rtl w:val="true"/>
        </w:rPr>
        <w:t>"</w:t>
      </w:r>
      <w:r>
        <w:rPr>
          <w:rtl w:val="true"/>
        </w:rPr>
        <w:t>אנוס על פי הדיבור</w:t>
      </w:r>
      <w:r>
        <w:rPr>
          <w:rtl w:val="true"/>
        </w:rPr>
        <w:t xml:space="preserve">" </w:t>
      </w:r>
      <w:r>
        <w:rPr>
          <w:rtl w:val="true"/>
        </w:rPr>
        <w:t>תחת מוצא פי אביו</w:t>
      </w:r>
      <w:r>
        <w:rPr>
          <w:rtl w:val="true"/>
        </w:rPr>
        <w:t xml:space="preserve">, </w:t>
      </w:r>
      <w:r>
        <w:rPr>
          <w:rtl w:val="true"/>
        </w:rPr>
        <w:t>וכאשר לא ניתן להתעלם מניסיונותיו להשתלב בשוק התעסוקה ובמציאות חיים נורמטיבית</w:t>
      </w:r>
      <w:r>
        <w:rPr>
          <w:rtl w:val="true"/>
        </w:rPr>
        <w:t xml:space="preserve">, </w:t>
      </w:r>
      <w:r>
        <w:rPr>
          <w:rtl w:val="true"/>
        </w:rPr>
        <w:t>אשר ניתן לתארם כניסיון לעלות על דרך הישר</w:t>
      </w:r>
      <w:r>
        <w:rPr>
          <w:rtl w:val="true"/>
        </w:rPr>
        <w:t xml:space="preserve">. </w:t>
      </w:r>
      <w:r>
        <w:rPr>
          <w:rtl w:val="true"/>
        </w:rPr>
        <w:t>תקוותנו כי יהיה בהקלה מסוימת זו בעונשו של המערער כדי לשמש נקודת מפנה ביחסו אל מעשיו ואל נפגע העבירה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יוותרו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עמית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tl w:val="true"/>
        </w:rPr>
        <w:t>ק</w:t>
      </w:r>
      <w:r>
        <w:rPr>
          <w:rtl w:val="true"/>
        </w:rPr>
        <w:t xml:space="preserve">', </w:t>
      </w:r>
      <w:r>
        <w:rPr>
          <w:rtl w:val="true"/>
        </w:rPr>
        <w:t>משנמצא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. </w:t>
      </w:r>
      <w:r>
        <w:rPr>
          <w:rtl w:val="true"/>
        </w:rPr>
        <w:t>ההודאה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יניב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ואקי</w:t>
      </w:r>
      <w:r>
        <w:rPr>
          <w:rFonts w:eastAsia="Arial TUR;Arial" w:cs="Arial TUR;Arial"/>
          <w:rtl w:val="true"/>
        </w:rPr>
        <w:t xml:space="preserve"> </w:t>
      </w:r>
      <w:hyperlink r:id="rId114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דיני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/>
        <w:t>882</w:t>
      </w:r>
      <w:r>
        <w:rPr>
          <w:rtl w:val="true"/>
        </w:rPr>
        <w:t xml:space="preserve"> (</w:t>
      </w:r>
      <w:r>
        <w:rPr/>
        <w:t>2020</w:t>
      </w:r>
      <w:r>
        <w:rPr>
          <w:rtl w:val="true"/>
        </w:rPr>
        <w:t xml:space="preserve">)),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ספונטנית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ואותנטית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ולהעריכה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להבחנה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התבטאות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hyperlink r:id="rId1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4600/94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חביו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>)</w:t>
      </w:r>
      <w:r>
        <w:rPr/>
        <w:t>617</w:t>
      </w:r>
      <w:r>
        <w:rPr>
          <w:rtl w:val="true"/>
        </w:rPr>
        <w:t xml:space="preserve">, </w:t>
      </w:r>
      <w:r>
        <w:rPr/>
        <w:t>632</w:t>
      </w:r>
      <w:r>
        <w:rPr>
          <w:rtl w:val="true"/>
        </w:rPr>
        <w:t xml:space="preserve"> (</w:t>
      </w:r>
      <w:r>
        <w:rPr/>
        <w:t>1997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כשר</w:t>
      </w:r>
      <w:r>
        <w:rPr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מינץ</w:t>
      </w:r>
      <w:r>
        <w:rPr>
          <w:rtl w:val="true"/>
        </w:rPr>
        <w:t>.</w:t>
      </w: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המערער </w:t>
      </w:r>
      <w:r>
        <w:rPr>
          <w:rtl w:val="true"/>
        </w:rPr>
        <w:t>יתייצב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שאת בעונש ה</w:t>
      </w:r>
      <w:r>
        <w:rPr>
          <w:rtl w:val="true"/>
        </w:rPr>
        <w:t>מאסר</w:t>
      </w:r>
      <w:r>
        <w:rPr>
          <w:rtl w:val="true"/>
        </w:rPr>
        <w:t xml:space="preserve"> בפועל שהוטל עליו</w:t>
      </w:r>
      <w:r>
        <w:rPr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11.7.2024</w:t>
      </w:r>
      <w:r>
        <w:rPr>
          <w:rtl w:val="true"/>
        </w:rPr>
        <w:t xml:space="preserve"> </w:t>
      </w:r>
      <w:r>
        <w:rPr>
          <w:rtl w:val="true"/>
        </w:rPr>
        <w:t xml:space="preserve">עד השעה </w:t>
      </w:r>
      <w:r>
        <w:rPr/>
        <w:t>10:00</w:t>
      </w:r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ר קישון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>
          <w:rtl w:val="true"/>
        </w:rPr>
        <w:t xml:space="preserve">במקום אחר </w:t>
      </w:r>
      <w:r>
        <w:rPr>
          <w:rtl w:val="true"/>
        </w:rPr>
        <w:t>על פי החלטת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כשברשותו תעודת זהות או דרכון</w:t>
      </w:r>
      <w:r>
        <w:rPr>
          <w:rtl w:val="true"/>
        </w:rPr>
        <w:t xml:space="preserve">. </w:t>
      </w:r>
      <w:r>
        <w:rPr>
          <w:rtl w:val="true"/>
        </w:rPr>
        <w:t>על ה</w:t>
      </w:r>
      <w:r>
        <w:rPr>
          <w:rtl w:val="true"/>
        </w:rPr>
        <w:t>מערער</w:t>
      </w:r>
      <w:r>
        <w:rPr>
          <w:rtl w:val="true"/>
        </w:rPr>
        <w:t xml:space="preserve"> לתאם את הכניסה למאסר</w:t>
      </w:r>
      <w:r>
        <w:rPr>
          <w:rtl w:val="true"/>
        </w:rPr>
        <w:t xml:space="preserve">, </w:t>
      </w:r>
      <w:r>
        <w:rPr>
          <w:rtl w:val="true"/>
        </w:rPr>
        <w:t>כולל האפשרות למיון מוקדם</w:t>
      </w:r>
      <w:r>
        <w:rPr>
          <w:rtl w:val="true"/>
        </w:rPr>
        <w:t xml:space="preserve">, </w:t>
      </w:r>
      <w:r>
        <w:rPr>
          <w:rtl w:val="true"/>
        </w:rPr>
        <w:t>עם ענף אבחון ומיון של ש</w:t>
      </w:r>
      <w:r>
        <w:rPr>
          <w:rtl w:val="true"/>
        </w:rPr>
        <w:t>ירות בתי הסוהר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טלפונים</w:t>
      </w:r>
      <w:r>
        <w:rPr>
          <w:rtl w:val="true"/>
        </w:rPr>
        <w:t xml:space="preserve">: </w:t>
      </w:r>
      <w:r>
        <w:rPr/>
        <w:t>074-7831077</w:t>
      </w:r>
      <w:r>
        <w:rPr>
          <w:rtl w:val="true"/>
        </w:rPr>
        <w:t xml:space="preserve"> </w:t>
      </w:r>
      <w:r>
        <w:rPr>
          <w:rtl w:val="true"/>
        </w:rPr>
        <w:t xml:space="preserve">או </w:t>
      </w:r>
      <w:r>
        <w:rPr/>
        <w:t>074-7831078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start"/>
        <w:rPr/>
      </w:pPr>
      <w:bookmarkStart w:id="21" w:name="Nitan"/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16.6.2024</w:t>
      </w:r>
      <w:r>
        <w:rPr>
          <w:rtl w:val="true"/>
        </w:rPr>
        <w:t xml:space="preserve">). </w:t>
      </w:r>
      <w:bookmarkEnd w:id="21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23044900</w:t>
      </w:r>
      <w:r>
        <w:rPr>
          <w:sz w:val="16"/>
          <w:rtl w:val="true"/>
        </w:rPr>
        <w:t>_</w:t>
      </w:r>
      <w:r>
        <w:rPr>
          <w:sz w:val="16"/>
        </w:rPr>
        <w:t>N09.docx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רח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1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54678313-4490/23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1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18"/>
      <w:footerReference w:type="default" r:id="rId11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4490/23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val="en-US" w:bidi="he-IL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val="en-US" w:bidi="he-IL"/>
    </w:rPr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CharChar4">
    <w:name w:val=" Char Char4"/>
    <w:qFormat/>
    <w:rPr>
      <w:rFonts w:cs="David"/>
      <w:szCs w:val="24"/>
    </w:rPr>
  </w:style>
  <w:style w:type="character" w:styleId="CharChar3">
    <w:name w:val=" Char Char3"/>
    <w:qFormat/>
    <w:rPr>
      <w:rFonts w:cs="David"/>
      <w:szCs w:val="24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character" w:styleId="a">
    <w:name w:val="a"/>
    <w:basedOn w:val="DefaultParagraphFont"/>
    <w:qFormat/>
    <w:rPr/>
  </w:style>
  <w:style w:type="character" w:styleId="Style14">
    <w:name w:val="טקסט הערה תו"/>
    <w:qFormat/>
    <w:rPr/>
  </w:style>
  <w:style w:type="character" w:styleId="Style15">
    <w:name w:val="נושא הערה תו"/>
    <w:qFormat/>
    <w:rPr>
      <w:b/>
    </w:rPr>
  </w:style>
  <w:style w:type="character" w:styleId="Style16">
    <w:name w:val="טקסט בלונים תו"/>
    <w:qFormat/>
    <w:rPr>
      <w:rFonts w:ascii="Tahoma" w:hAnsi="Tahoma" w:cs="Tahoma"/>
      <w:sz w:val="18"/>
    </w:rPr>
  </w:style>
  <w:style w:type="character" w:styleId="Style17">
    <w:name w:val="כותרת תחתונה תו"/>
    <w:qFormat/>
    <w:rPr>
      <w:sz w:val="24"/>
    </w:rPr>
  </w:style>
  <w:style w:type="character" w:styleId="Style18">
    <w:name w:val="כותרת עליונה תו"/>
    <w:qFormat/>
    <w:rPr>
      <w:sz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3">
    <w:name w:val="Ruller4 אלפביתי"/>
    <w:basedOn w:val="Ruller41"/>
    <w:next w:val="Ruller41"/>
    <w:qFormat/>
    <w:pPr>
      <w:numPr>
        <w:ilvl w:val="0"/>
        <w:numId w:val="2"/>
      </w:numPr>
    </w:pPr>
    <w:rPr/>
  </w:style>
  <w:style w:type="paragraph" w:styleId="ruller411">
    <w:name w:val="ruller4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51">
    <w:name w:val="ruller5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40">
    <w:name w:val="ruller4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1">
    <w:name w:val="1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uller311">
    <w:name w:val="ruller 31"/>
    <w:basedOn w:val="Normal"/>
    <w:qFormat/>
    <w:pPr>
      <w:overflowPunct w:val="true"/>
      <w:textAlignment w:val="auto"/>
    </w:pPr>
    <w:rPr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group/4173" TargetMode="External"/><Relationship Id="rId3" Type="http://schemas.openxmlformats.org/officeDocument/2006/relationships/hyperlink" Target="http://www.nevo.co.il/safrut/bookgroup/417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45.a.1" TargetMode="External"/><Relationship Id="rId7" Type="http://schemas.openxmlformats.org/officeDocument/2006/relationships/hyperlink" Target="http://www.nevo.co.il/law/70301/345.b.1" TargetMode="External"/><Relationship Id="rId8" Type="http://schemas.openxmlformats.org/officeDocument/2006/relationships/hyperlink" Target="http://www.nevo.co.il/law/70301/347.b" TargetMode="External"/><Relationship Id="rId9" Type="http://schemas.openxmlformats.org/officeDocument/2006/relationships/hyperlink" Target="http://www.nevo.co.il/law/70301/348.b" TargetMode="External"/><Relationship Id="rId10" Type="http://schemas.openxmlformats.org/officeDocument/2006/relationships/hyperlink" Target="http://www.nevo.co.il/law/70387" TargetMode="External"/><Relationship Id="rId11" Type="http://schemas.openxmlformats.org/officeDocument/2006/relationships/hyperlink" Target="http://www.nevo.co.il/law/70387/9" TargetMode="External"/><Relationship Id="rId12" Type="http://schemas.openxmlformats.org/officeDocument/2006/relationships/hyperlink" Target="http://www.nevo.co.il/law/70387/11" TargetMode="External"/><Relationship Id="rId13" Type="http://schemas.openxmlformats.org/officeDocument/2006/relationships/hyperlink" Target="http://www.nevo.co.il/law/74903" TargetMode="External"/><Relationship Id="rId14" Type="http://schemas.openxmlformats.org/officeDocument/2006/relationships/hyperlink" Target="http://www.nevo.co.il/law/74903/175" TargetMode="External"/><Relationship Id="rId15" Type="http://schemas.openxmlformats.org/officeDocument/2006/relationships/hyperlink" Target="http://www.nevo.co.il/law/74903/184" TargetMode="External"/><Relationship Id="rId16" Type="http://schemas.openxmlformats.org/officeDocument/2006/relationships/hyperlink" Target="http://www.nevo.co.il/law/98569" TargetMode="External"/><Relationship Id="rId17" Type="http://schemas.openxmlformats.org/officeDocument/2006/relationships/hyperlink" Target="http://www.nevo.co.il/law/98569/12.a" TargetMode="External"/><Relationship Id="rId18" Type="http://schemas.openxmlformats.org/officeDocument/2006/relationships/hyperlink" Target="http://www.nevo.co.il/law/70387/9" TargetMode="External"/><Relationship Id="rId19" Type="http://schemas.openxmlformats.org/officeDocument/2006/relationships/hyperlink" Target="http://www.nevo.co.il/law/70387" TargetMode="External"/><Relationship Id="rId20" Type="http://schemas.openxmlformats.org/officeDocument/2006/relationships/hyperlink" Target="http://www.nevo.co.il/law/70387/11" TargetMode="External"/><Relationship Id="rId21" Type="http://schemas.openxmlformats.org/officeDocument/2006/relationships/hyperlink" Target="http://www.nevo.co.il/law/74903/184" TargetMode="External"/><Relationship Id="rId22" Type="http://schemas.openxmlformats.org/officeDocument/2006/relationships/hyperlink" Target="http://www.nevo.co.il/law/74903" TargetMode="External"/><Relationship Id="rId23" Type="http://schemas.openxmlformats.org/officeDocument/2006/relationships/hyperlink" Target="http://www.nevo.co.il/law/74903/184" TargetMode="External"/><Relationship Id="rId24" Type="http://schemas.openxmlformats.org/officeDocument/2006/relationships/hyperlink" Target="http://www.nevo.co.il/law/98569/12.a" TargetMode="External"/><Relationship Id="rId25" Type="http://schemas.openxmlformats.org/officeDocument/2006/relationships/hyperlink" Target="http://www.nevo.co.il/law/98569" TargetMode="External"/><Relationship Id="rId26" Type="http://schemas.openxmlformats.org/officeDocument/2006/relationships/hyperlink" Target="http://www.nevo.co.il/law/74903/175" TargetMode="External"/><Relationship Id="rId27" Type="http://schemas.openxmlformats.org/officeDocument/2006/relationships/hyperlink" Target="http://www.nevo.co.il/law/74903" TargetMode="External"/><Relationship Id="rId28" Type="http://schemas.openxmlformats.org/officeDocument/2006/relationships/hyperlink" Target="http://www.nevo.co.il/case/27532387" TargetMode="External"/><Relationship Id="rId29" Type="http://schemas.openxmlformats.org/officeDocument/2006/relationships/hyperlink" Target="http://www.nevo.co.il/law/70301/348.b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345.b.1" TargetMode="External"/><Relationship Id="rId32" Type="http://schemas.openxmlformats.org/officeDocument/2006/relationships/hyperlink" Target="http://www.nevo.co.il/law/70301/345.a.1" TargetMode="External"/><Relationship Id="rId33" Type="http://schemas.openxmlformats.org/officeDocument/2006/relationships/hyperlink" Target="http://www.nevo.co.il/law/70301/192" TargetMode="External"/><Relationship Id="rId34" Type="http://schemas.openxmlformats.org/officeDocument/2006/relationships/hyperlink" Target="http://www.nevo.co.il/law/70301/347.b" TargetMode="External"/><Relationship Id="rId35" Type="http://schemas.openxmlformats.org/officeDocument/2006/relationships/hyperlink" Target="http://www.nevo.co.il/law/70301/345.b.1" TargetMode="External"/><Relationship Id="rId36" Type="http://schemas.openxmlformats.org/officeDocument/2006/relationships/hyperlink" Target="http://www.nevo.co.il/law/70301/345.a.1" TargetMode="External"/><Relationship Id="rId37" Type="http://schemas.openxmlformats.org/officeDocument/2006/relationships/hyperlink" Target="http://www.nevo.co.il/law/70301/348.b" TargetMode="External"/><Relationship Id="rId38" Type="http://schemas.openxmlformats.org/officeDocument/2006/relationships/hyperlink" Target="http://www.nevo.co.il/law/70301/345.b.1" TargetMode="External"/><Relationship Id="rId39" Type="http://schemas.openxmlformats.org/officeDocument/2006/relationships/hyperlink" Target="http://www.nevo.co.il/law/70301/345.a.1" TargetMode="External"/><Relationship Id="rId40" Type="http://schemas.openxmlformats.org/officeDocument/2006/relationships/hyperlink" Target="http://www.nevo.co.il/law/70301/192" TargetMode="External"/><Relationship Id="rId41" Type="http://schemas.openxmlformats.org/officeDocument/2006/relationships/hyperlink" Target="http://www.nevo.co.il/law/70387" TargetMode="External"/><Relationship Id="rId42" Type="http://schemas.openxmlformats.org/officeDocument/2006/relationships/hyperlink" Target="http://www.nevo.co.il/case/29037374" TargetMode="External"/><Relationship Id="rId43" Type="http://schemas.openxmlformats.org/officeDocument/2006/relationships/hyperlink" Target="http://www.nevo.co.il/case/28920891" TargetMode="External"/><Relationship Id="rId44" Type="http://schemas.openxmlformats.org/officeDocument/2006/relationships/hyperlink" Target="http://www.nevo.co.il/case/29220090" TargetMode="External"/><Relationship Id="rId45" Type="http://schemas.openxmlformats.org/officeDocument/2006/relationships/hyperlink" Target="http://www.nevo.co.il/case/26255935" TargetMode="External"/><Relationship Id="rId46" Type="http://schemas.openxmlformats.org/officeDocument/2006/relationships/hyperlink" Target="http://www.nevo.co.il/case/28817537" TargetMode="External"/><Relationship Id="rId47" Type="http://schemas.openxmlformats.org/officeDocument/2006/relationships/hyperlink" Target="http://www.nevo.co.il/case/28553950" TargetMode="External"/><Relationship Id="rId48" Type="http://schemas.openxmlformats.org/officeDocument/2006/relationships/hyperlink" Target="http://www.nevo.co.il/case/29042839" TargetMode="External"/><Relationship Id="rId49" Type="http://schemas.openxmlformats.org/officeDocument/2006/relationships/hyperlink" Target="http://www.nevo.co.il/case/5951406" TargetMode="External"/><Relationship Id="rId50" Type="http://schemas.openxmlformats.org/officeDocument/2006/relationships/hyperlink" Target="http://www.nevo.co.il/case/29388191" TargetMode="External"/><Relationship Id="rId51" Type="http://schemas.openxmlformats.org/officeDocument/2006/relationships/hyperlink" Target="http://www.nevo.co.il/case/29388191" TargetMode="External"/><Relationship Id="rId52" Type="http://schemas.openxmlformats.org/officeDocument/2006/relationships/hyperlink" Target="http://www.nevo.co.il/case/5573589" TargetMode="External"/><Relationship Id="rId53" Type="http://schemas.openxmlformats.org/officeDocument/2006/relationships/hyperlink" Target="http://www.nevo.co.il/case/27585106" TargetMode="External"/><Relationship Id="rId54" Type="http://schemas.openxmlformats.org/officeDocument/2006/relationships/hyperlink" Target="http://www.nevo.co.il/case/27585106" TargetMode="External"/><Relationship Id="rId55" Type="http://schemas.openxmlformats.org/officeDocument/2006/relationships/hyperlink" Target="http://www.nevo.co.il/case/6247841" TargetMode="External"/><Relationship Id="rId56" Type="http://schemas.openxmlformats.org/officeDocument/2006/relationships/hyperlink" Target="http://www.nevo.co.il/case/26514632" TargetMode="External"/><Relationship Id="rId57" Type="http://schemas.openxmlformats.org/officeDocument/2006/relationships/hyperlink" Target="http://www.nevo.co.il/case/5835728" TargetMode="External"/><Relationship Id="rId58" Type="http://schemas.openxmlformats.org/officeDocument/2006/relationships/hyperlink" Target="http://www.nevo.co.il/case/29388191" TargetMode="External"/><Relationship Id="rId59" Type="http://schemas.openxmlformats.org/officeDocument/2006/relationships/hyperlink" Target="http://www.nevo.co.il/law/70387/9" TargetMode="External"/><Relationship Id="rId60" Type="http://schemas.openxmlformats.org/officeDocument/2006/relationships/hyperlink" Target="http://www.nevo.co.il/case/17910663" TargetMode="External"/><Relationship Id="rId61" Type="http://schemas.openxmlformats.org/officeDocument/2006/relationships/hyperlink" Target="http://www.nevo.co.il/case/5701968" TargetMode="External"/><Relationship Id="rId62" Type="http://schemas.openxmlformats.org/officeDocument/2006/relationships/hyperlink" Target="http://www.nevo.co.il/law/70387/11" TargetMode="External"/><Relationship Id="rId63" Type="http://schemas.openxmlformats.org/officeDocument/2006/relationships/hyperlink" Target="http://www.nevo.co.il/case/25800799" TargetMode="External"/><Relationship Id="rId64" Type="http://schemas.openxmlformats.org/officeDocument/2006/relationships/hyperlink" Target="http://www.nevo.co.il/case/20010276" TargetMode="External"/><Relationship Id="rId65" Type="http://schemas.openxmlformats.org/officeDocument/2006/relationships/hyperlink" Target="http://www.nevo.co.il/case/6246885" TargetMode="External"/><Relationship Id="rId66" Type="http://schemas.openxmlformats.org/officeDocument/2006/relationships/hyperlink" Target="http://www.nevo.co.il/case/6246885" TargetMode="External"/><Relationship Id="rId67" Type="http://schemas.openxmlformats.org/officeDocument/2006/relationships/hyperlink" Target="http://www.nevo.co.il/case/20687345" TargetMode="External"/><Relationship Id="rId68" Type="http://schemas.openxmlformats.org/officeDocument/2006/relationships/hyperlink" Target="http://www.nevo.co.il/case/27585106" TargetMode="External"/><Relationship Id="rId69" Type="http://schemas.openxmlformats.org/officeDocument/2006/relationships/hyperlink" Target="http://www.nevo.co.il/case/27226440" TargetMode="External"/><Relationship Id="rId70" Type="http://schemas.openxmlformats.org/officeDocument/2006/relationships/hyperlink" Target="http://www.nevo.co.il/case/21479226" TargetMode="External"/><Relationship Id="rId71" Type="http://schemas.openxmlformats.org/officeDocument/2006/relationships/hyperlink" Target="http://www.nevo.co.il/case/23855492" TargetMode="External"/><Relationship Id="rId72" Type="http://schemas.openxmlformats.org/officeDocument/2006/relationships/hyperlink" Target="http://www.nevo.co.il/case/26923550" TargetMode="External"/><Relationship Id="rId73" Type="http://schemas.openxmlformats.org/officeDocument/2006/relationships/hyperlink" Target="http://www.nevo.co.il/case/29388191" TargetMode="External"/><Relationship Id="rId74" Type="http://schemas.openxmlformats.org/officeDocument/2006/relationships/hyperlink" Target="http://www.nevo.co.il/case/6232618" TargetMode="External"/><Relationship Id="rId75" Type="http://schemas.openxmlformats.org/officeDocument/2006/relationships/hyperlink" Target="http://www.nevo.co.il/case/6232618" TargetMode="External"/><Relationship Id="rId76" Type="http://schemas.openxmlformats.org/officeDocument/2006/relationships/hyperlink" Target="http://www.nevo.co.il/case/6246885" TargetMode="External"/><Relationship Id="rId77" Type="http://schemas.openxmlformats.org/officeDocument/2006/relationships/hyperlink" Target="http://www.nevo.co.il/case/16948372" TargetMode="External"/><Relationship Id="rId78" Type="http://schemas.openxmlformats.org/officeDocument/2006/relationships/hyperlink" Target="http://www.nevo.co.il/case/26781969" TargetMode="External"/><Relationship Id="rId79" Type="http://schemas.openxmlformats.org/officeDocument/2006/relationships/hyperlink" Target="http://www.nevo.co.il/case/18773775" TargetMode="External"/><Relationship Id="rId80" Type="http://schemas.openxmlformats.org/officeDocument/2006/relationships/hyperlink" Target="http://www.nevo.co.il/case/6232618" TargetMode="External"/><Relationship Id="rId81" Type="http://schemas.openxmlformats.org/officeDocument/2006/relationships/hyperlink" Target="http://www.nevo.co.il/case/6249347" TargetMode="External"/><Relationship Id="rId82" Type="http://schemas.openxmlformats.org/officeDocument/2006/relationships/hyperlink" Target="http://www.nevo.co.il/law/74903/184" TargetMode="External"/><Relationship Id="rId83" Type="http://schemas.openxmlformats.org/officeDocument/2006/relationships/hyperlink" Target="http://www.nevo.co.il/law/74903" TargetMode="External"/><Relationship Id="rId84" Type="http://schemas.openxmlformats.org/officeDocument/2006/relationships/hyperlink" Target="http://www.nevo.co.il/law/74903" TargetMode="External"/><Relationship Id="rId85" Type="http://schemas.openxmlformats.org/officeDocument/2006/relationships/hyperlink" Target="http://www.nevo.co.il/case/22793929" TargetMode="External"/><Relationship Id="rId86" Type="http://schemas.openxmlformats.org/officeDocument/2006/relationships/hyperlink" Target="http://www.nevo.co.il/case/27682198" TargetMode="External"/><Relationship Id="rId87" Type="http://schemas.openxmlformats.org/officeDocument/2006/relationships/hyperlink" Target="http://www.nevo.co.il/case/29630460" TargetMode="External"/><Relationship Id="rId88" Type="http://schemas.openxmlformats.org/officeDocument/2006/relationships/hyperlink" Target="http://www.nevo.co.il/case/27292084" TargetMode="External"/><Relationship Id="rId89" Type="http://schemas.openxmlformats.org/officeDocument/2006/relationships/hyperlink" Target="http://www.nevo.co.il/case/5799892" TargetMode="External"/><Relationship Id="rId90" Type="http://schemas.openxmlformats.org/officeDocument/2006/relationships/hyperlink" Target="http://www.nevo.co.il/case/10533883" TargetMode="External"/><Relationship Id="rId91" Type="http://schemas.openxmlformats.org/officeDocument/2006/relationships/hyperlink" Target="http://www.nevo.co.il/law/74903/184" TargetMode="External"/><Relationship Id="rId92" Type="http://schemas.openxmlformats.org/officeDocument/2006/relationships/hyperlink" Target="http://www.nevo.co.il/law/74903" TargetMode="External"/><Relationship Id="rId93" Type="http://schemas.openxmlformats.org/officeDocument/2006/relationships/hyperlink" Target="http://www.nevo.co.il/case/5966542" TargetMode="External"/><Relationship Id="rId94" Type="http://schemas.openxmlformats.org/officeDocument/2006/relationships/hyperlink" Target="http://www.nevo.co.il/law/74903/184" TargetMode="External"/><Relationship Id="rId95" Type="http://schemas.openxmlformats.org/officeDocument/2006/relationships/hyperlink" Target="http://www.nevo.co.il/case/25274374" TargetMode="External"/><Relationship Id="rId96" Type="http://schemas.openxmlformats.org/officeDocument/2006/relationships/hyperlink" Target="http://www.nevo.co.il/case/27925281" TargetMode="External"/><Relationship Id="rId97" Type="http://schemas.openxmlformats.org/officeDocument/2006/relationships/hyperlink" Target="http://www.nevo.co.il/case/5993495" TargetMode="External"/><Relationship Id="rId98" Type="http://schemas.openxmlformats.org/officeDocument/2006/relationships/hyperlink" Target="http://www.nevo.co.il/law/98569/12.a" TargetMode="External"/><Relationship Id="rId99" Type="http://schemas.openxmlformats.org/officeDocument/2006/relationships/hyperlink" Target="http://www.nevo.co.il/law/98569" TargetMode="External"/><Relationship Id="rId100" Type="http://schemas.openxmlformats.org/officeDocument/2006/relationships/hyperlink" Target="http://www.nevo.co.il/case/5571865" TargetMode="External"/><Relationship Id="rId101" Type="http://schemas.openxmlformats.org/officeDocument/2006/relationships/hyperlink" Target="http://www.nevo.co.il/case/21475532" TargetMode="External"/><Relationship Id="rId102" Type="http://schemas.openxmlformats.org/officeDocument/2006/relationships/hyperlink" Target="http://www.nevo.co.il/law/74903/175" TargetMode="External"/><Relationship Id="rId103" Type="http://schemas.openxmlformats.org/officeDocument/2006/relationships/hyperlink" Target="http://www.nevo.co.il/law/74903" TargetMode="External"/><Relationship Id="rId104" Type="http://schemas.openxmlformats.org/officeDocument/2006/relationships/hyperlink" Target="http://www.nevo.co.il/case/5860017" TargetMode="External"/><Relationship Id="rId105" Type="http://schemas.openxmlformats.org/officeDocument/2006/relationships/hyperlink" Target="http://www.nevo.co.il/case/20687580" TargetMode="External"/><Relationship Id="rId106" Type="http://schemas.openxmlformats.org/officeDocument/2006/relationships/hyperlink" Target="http://www.nevo.co.il/case/20301760" TargetMode="External"/><Relationship Id="rId107" Type="http://schemas.openxmlformats.org/officeDocument/2006/relationships/hyperlink" Target="http://www.nevo.co.il/case/26256014" TargetMode="External"/><Relationship Id="rId108" Type="http://schemas.openxmlformats.org/officeDocument/2006/relationships/hyperlink" Target="http://www.nevo.co.il/case/29655257" TargetMode="External"/><Relationship Id="rId109" Type="http://schemas.openxmlformats.org/officeDocument/2006/relationships/hyperlink" Target="http://www.nevo.co.il/case/23507449" TargetMode="External"/><Relationship Id="rId110" Type="http://schemas.openxmlformats.org/officeDocument/2006/relationships/hyperlink" Target="http://www.nevo.co.il/case/28906101" TargetMode="External"/><Relationship Id="rId111" Type="http://schemas.openxmlformats.org/officeDocument/2006/relationships/hyperlink" Target="http://www.nevo.co.il/case/28645587" TargetMode="External"/><Relationship Id="rId112" Type="http://schemas.openxmlformats.org/officeDocument/2006/relationships/hyperlink" Target="http://www.nevo.co.il/case/6244949" TargetMode="External"/><Relationship Id="rId113" Type="http://schemas.openxmlformats.org/officeDocument/2006/relationships/hyperlink" Target="http://www.nevo.co.il/case/29964598" TargetMode="External"/><Relationship Id="rId114" Type="http://schemas.openxmlformats.org/officeDocument/2006/relationships/hyperlink" Target="http://www.nevo.co.il/safrut/bookgroup/4173" TargetMode="External"/><Relationship Id="rId115" Type="http://schemas.openxmlformats.org/officeDocument/2006/relationships/hyperlink" Target="http://www.nevo.co.il/case/17923809" TargetMode="External"/><Relationship Id="rId116" Type="http://schemas.openxmlformats.org/officeDocument/2006/relationships/hyperlink" Target="https://supreme.court.gov.il/" TargetMode="External"/><Relationship Id="rId117" Type="http://schemas.openxmlformats.org/officeDocument/2006/relationships/hyperlink" Target="http://www.nevo.co.il/advertisements/nevo-100.doc" TargetMode="External"/><Relationship Id="rId118" Type="http://schemas.openxmlformats.org/officeDocument/2006/relationships/header" Target="header1.xml"/><Relationship Id="rId119" Type="http://schemas.openxmlformats.org/officeDocument/2006/relationships/footer" Target="footer1.xml"/><Relationship Id="rId120" Type="http://schemas.openxmlformats.org/officeDocument/2006/relationships/numbering" Target="numbering.xml"/><Relationship Id="rId121" Type="http://schemas.openxmlformats.org/officeDocument/2006/relationships/fontTable" Target="fontTable.xml"/><Relationship Id="rId122" Type="http://schemas.openxmlformats.org/officeDocument/2006/relationships/settings" Target="settings.xml"/><Relationship Id="rId12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2024-06-17T10:29:00Z</dcterms:created>
  <dc:creator>h4</dc:creator>
  <dc:description/>
  <cp:keywords/>
  <dc:language>en-IL</dc:language>
  <cp:lastModifiedBy>orly</cp:lastModifiedBy>
  <cp:lastPrinted>2024-06-16T09:03:00Z</cp:lastPrinted>
  <dcterms:modified xsi:type="dcterms:W3CDTF">2024-06-17T10:29:00Z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GROUPTMP1">
    <vt:lpwstr>4173</vt:lpwstr>
  </property>
  <property fmtid="{D5CDD505-2E9C-101B-9397-08002B2CF9AE}" pid="9" name="CASESLISTTMP1">
    <vt:lpwstr>27532387;29037374;28920891;29220090;26255935;28817537;28553950;29042839;5951406;29388191:4;5573589;27585106:3;6247841;26514632;5835728;17910663;5701968;25800799;20010276;6246885:3;20687345;27226440;21479226;23855492;26923550;6232618:3;16948372;26781969</vt:lpwstr>
  </property>
  <property fmtid="{D5CDD505-2E9C-101B-9397-08002B2CF9AE}" pid="10" name="CASESLISTTMP2">
    <vt:lpwstr>18773775;6249347;22793929;27682198;29630460;27292084;5799892;10533883;5966542;25274374;27925281;5993495;5571865;21475532;5860017;20687580;20301760;26256014;29655257;23507449;28906101;28645587;6244949;29964598;17923809</vt:lpwstr>
  </property>
  <property fmtid="{D5CDD505-2E9C-101B-9397-08002B2CF9AE}" pid="11" name="CITY">
    <vt:lpwstr/>
  </property>
  <property fmtid="{D5CDD505-2E9C-101B-9397-08002B2CF9AE}" pid="12" name="DATE">
    <vt:lpwstr>20240616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עמית;ד' מינץ;י' כשר</vt:lpwstr>
  </property>
  <property fmtid="{D5CDD505-2E9C-101B-9397-08002B2CF9AE}" pid="16" name="LAWLISTTMP1">
    <vt:lpwstr>70301/348.b:2;345.b.1:3;345.a.1:3;192:2;347.b</vt:lpwstr>
  </property>
  <property fmtid="{D5CDD505-2E9C-101B-9397-08002B2CF9AE}" pid="17" name="LAWLISTTMP2">
    <vt:lpwstr>70387/009;011</vt:lpwstr>
  </property>
  <property fmtid="{D5CDD505-2E9C-101B-9397-08002B2CF9AE}" pid="18" name="LAWLISTTMP3">
    <vt:lpwstr>74903/184:3;175</vt:lpwstr>
  </property>
  <property fmtid="{D5CDD505-2E9C-101B-9397-08002B2CF9AE}" pid="19" name="LAWLISTTMP4">
    <vt:lpwstr>98569/012.a</vt:lpwstr>
  </property>
  <property fmtid="{D5CDD505-2E9C-101B-9397-08002B2CF9AE}" pid="20" name="LAWYER">
    <vt:lpwstr>הילה גורני;נאג'י עאמר;טלי סמואל;מונא אבואליונס</vt:lpwstr>
  </property>
  <property fmtid="{D5CDD505-2E9C-101B-9397-08002B2CF9AE}" pid="21" name="LINKK1">
    <vt:lpwstr/>
  </property>
  <property fmtid="{D5CDD505-2E9C-101B-9397-08002B2CF9AE}" pid="22" name="LINKK2">
    <vt:lpwstr/>
  </property>
  <property fmtid="{D5CDD505-2E9C-101B-9397-08002B2CF9AE}" pid="23" name="LINKK3">
    <vt:lpwstr/>
  </property>
  <property fmtid="{D5CDD505-2E9C-101B-9397-08002B2CF9AE}" pid="24" name="LINKK4">
    <vt:lpwstr/>
  </property>
  <property fmtid="{D5CDD505-2E9C-101B-9397-08002B2CF9AE}" pid="25" name="LINKK5">
    <vt:lpwstr/>
  </property>
  <property fmtid="{D5CDD505-2E9C-101B-9397-08002B2CF9AE}" pid="26" name="METAKZER">
    <vt:lpwstr>קרן</vt:lpwstr>
  </property>
  <property fmtid="{D5CDD505-2E9C-101B-9397-08002B2CF9AE}" pid="27" name="NEWPARTA">
    <vt:lpwstr/>
  </property>
  <property fmtid="{D5CDD505-2E9C-101B-9397-08002B2CF9AE}" pid="28" name="NEWPARTB">
    <vt:lpwstr/>
  </property>
  <property fmtid="{D5CDD505-2E9C-101B-9397-08002B2CF9AE}" pid="29" name="NEWPARTC">
    <vt:lpwstr/>
  </property>
  <property fmtid="{D5CDD505-2E9C-101B-9397-08002B2CF9AE}" pid="30" name="NEWPROC">
    <vt:lpwstr/>
  </property>
  <property fmtid="{D5CDD505-2E9C-101B-9397-08002B2CF9AE}" pid="31" name="NOSE11">
    <vt:lpwstr>ראיות</vt:lpwstr>
  </property>
  <property fmtid="{D5CDD505-2E9C-101B-9397-08002B2CF9AE}" pid="32" name="NOSE110">
    <vt:lpwstr>עונשין</vt:lpwstr>
  </property>
  <property fmtid="{D5CDD505-2E9C-101B-9397-08002B2CF9AE}" pid="33" name="NOSE111">
    <vt:lpwstr/>
  </property>
  <property fmtid="{D5CDD505-2E9C-101B-9397-08002B2CF9AE}" pid="34" name="NOSE112">
    <vt:lpwstr/>
  </property>
  <property fmtid="{D5CDD505-2E9C-101B-9397-08002B2CF9AE}" pid="35" name="NOSE113">
    <vt:lpwstr/>
  </property>
  <property fmtid="{D5CDD505-2E9C-101B-9397-08002B2CF9AE}" pid="36" name="NOSE114">
    <vt:lpwstr/>
  </property>
  <property fmtid="{D5CDD505-2E9C-101B-9397-08002B2CF9AE}" pid="37" name="NOSE115">
    <vt:lpwstr/>
  </property>
  <property fmtid="{D5CDD505-2E9C-101B-9397-08002B2CF9AE}" pid="38" name="NOSE116">
    <vt:lpwstr/>
  </property>
  <property fmtid="{D5CDD505-2E9C-101B-9397-08002B2CF9AE}" pid="39" name="NOSE117">
    <vt:lpwstr/>
  </property>
  <property fmtid="{D5CDD505-2E9C-101B-9397-08002B2CF9AE}" pid="40" name="NOSE118">
    <vt:lpwstr/>
  </property>
  <property fmtid="{D5CDD505-2E9C-101B-9397-08002B2CF9AE}" pid="41" name="NOSE119">
    <vt:lpwstr/>
  </property>
  <property fmtid="{D5CDD505-2E9C-101B-9397-08002B2CF9AE}" pid="42" name="NOSE12">
    <vt:lpwstr>ראיות</vt:lpwstr>
  </property>
  <property fmtid="{D5CDD505-2E9C-101B-9397-08002B2CF9AE}" pid="43" name="NOSE120">
    <vt:lpwstr/>
  </property>
  <property fmtid="{D5CDD505-2E9C-101B-9397-08002B2CF9AE}" pid="44" name="NOSE13">
    <vt:lpwstr>ראיות</vt:lpwstr>
  </property>
  <property fmtid="{D5CDD505-2E9C-101B-9397-08002B2CF9AE}" pid="45" name="NOSE14">
    <vt:lpwstr>ראיות</vt:lpwstr>
  </property>
  <property fmtid="{D5CDD505-2E9C-101B-9397-08002B2CF9AE}" pid="46" name="NOSE15">
    <vt:lpwstr>ראיות</vt:lpwstr>
  </property>
  <property fmtid="{D5CDD505-2E9C-101B-9397-08002B2CF9AE}" pid="47" name="NOSE16">
    <vt:lpwstr>דיון פלילי</vt:lpwstr>
  </property>
  <property fmtid="{D5CDD505-2E9C-101B-9397-08002B2CF9AE}" pid="48" name="NOSE17">
    <vt:lpwstr>דיון פלילי</vt:lpwstr>
  </property>
  <property fmtid="{D5CDD505-2E9C-101B-9397-08002B2CF9AE}" pid="49" name="NOSE18">
    <vt:lpwstr>דיון פלילי</vt:lpwstr>
  </property>
  <property fmtid="{D5CDD505-2E9C-101B-9397-08002B2CF9AE}" pid="50" name="NOSE19">
    <vt:lpwstr>עונשין</vt:lpwstr>
  </property>
  <property fmtid="{D5CDD505-2E9C-101B-9397-08002B2CF9AE}" pid="51" name="NOSE1ID">
    <vt:lpwstr>89;89;89;89;89;18;18;18;77;77</vt:lpwstr>
  </property>
  <property fmtid="{D5CDD505-2E9C-101B-9397-08002B2CF9AE}" pid="52" name="NOSE21">
    <vt:lpwstr>עדים</vt:lpwstr>
  </property>
  <property fmtid="{D5CDD505-2E9C-101B-9397-08002B2CF9AE}" pid="53" name="NOSE210">
    <vt:lpwstr>ענישה</vt:lpwstr>
  </property>
  <property fmtid="{D5CDD505-2E9C-101B-9397-08002B2CF9AE}" pid="54" name="NOSE211">
    <vt:lpwstr/>
  </property>
  <property fmtid="{D5CDD505-2E9C-101B-9397-08002B2CF9AE}" pid="55" name="NOSE212">
    <vt:lpwstr/>
  </property>
  <property fmtid="{D5CDD505-2E9C-101B-9397-08002B2CF9AE}" pid="56" name="NOSE213">
    <vt:lpwstr/>
  </property>
  <property fmtid="{D5CDD505-2E9C-101B-9397-08002B2CF9AE}" pid="57" name="NOSE214">
    <vt:lpwstr/>
  </property>
  <property fmtid="{D5CDD505-2E9C-101B-9397-08002B2CF9AE}" pid="58" name="NOSE215">
    <vt:lpwstr/>
  </property>
  <property fmtid="{D5CDD505-2E9C-101B-9397-08002B2CF9AE}" pid="59" name="NOSE216">
    <vt:lpwstr/>
  </property>
  <property fmtid="{D5CDD505-2E9C-101B-9397-08002B2CF9AE}" pid="60" name="NOSE217">
    <vt:lpwstr/>
  </property>
  <property fmtid="{D5CDD505-2E9C-101B-9397-08002B2CF9AE}" pid="61" name="NOSE218">
    <vt:lpwstr/>
  </property>
  <property fmtid="{D5CDD505-2E9C-101B-9397-08002B2CF9AE}" pid="62" name="NOSE219">
    <vt:lpwstr/>
  </property>
  <property fmtid="{D5CDD505-2E9C-101B-9397-08002B2CF9AE}" pid="63" name="NOSE22">
    <vt:lpwstr>עדים</vt:lpwstr>
  </property>
  <property fmtid="{D5CDD505-2E9C-101B-9397-08002B2CF9AE}" pid="64" name="NOSE220">
    <vt:lpwstr/>
  </property>
  <property fmtid="{D5CDD505-2E9C-101B-9397-08002B2CF9AE}" pid="65" name="NOSE23">
    <vt:lpwstr>סיוע</vt:lpwstr>
  </property>
  <property fmtid="{D5CDD505-2E9C-101B-9397-08002B2CF9AE}" pid="66" name="NOSE24">
    <vt:lpwstr>סיוע</vt:lpwstr>
  </property>
  <property fmtid="{D5CDD505-2E9C-101B-9397-08002B2CF9AE}" pid="67" name="NOSE25">
    <vt:lpwstr>הודאה</vt:lpwstr>
  </property>
  <property fmtid="{D5CDD505-2E9C-101B-9397-08002B2CF9AE}" pid="68" name="NOSE26">
    <vt:lpwstr>הרשעה</vt:lpwstr>
  </property>
  <property fmtid="{D5CDD505-2E9C-101B-9397-08002B2CF9AE}" pid="69" name="NOSE27">
    <vt:lpwstr>עדים</vt:lpwstr>
  </property>
  <property fmtid="{D5CDD505-2E9C-101B-9397-08002B2CF9AE}" pid="70" name="NOSE28">
    <vt:lpwstr>ערעור</vt:lpwstr>
  </property>
  <property fmtid="{D5CDD505-2E9C-101B-9397-08002B2CF9AE}" pid="71" name="NOSE29">
    <vt:lpwstr>ענישה</vt:lpwstr>
  </property>
  <property fmtid="{D5CDD505-2E9C-101B-9397-08002B2CF9AE}" pid="72" name="NOSE2ID">
    <vt:lpwstr>1655;1655;1651;1651;1622;465;497;504;1446;1446</vt:lpwstr>
  </property>
  <property fmtid="{D5CDD505-2E9C-101B-9397-08002B2CF9AE}" pid="73" name="NOSE31">
    <vt:lpwstr>עדות קטין</vt:lpwstr>
  </property>
  <property fmtid="{D5CDD505-2E9C-101B-9397-08002B2CF9AE}" pid="74" name="NOSE310">
    <vt:lpwstr>קטינים</vt:lpwstr>
  </property>
  <property fmtid="{D5CDD505-2E9C-101B-9397-08002B2CF9AE}" pid="75" name="NOSE311">
    <vt:lpwstr/>
  </property>
  <property fmtid="{D5CDD505-2E9C-101B-9397-08002B2CF9AE}" pid="76" name="NOSE312">
    <vt:lpwstr/>
  </property>
  <property fmtid="{D5CDD505-2E9C-101B-9397-08002B2CF9AE}" pid="77" name="NOSE313">
    <vt:lpwstr/>
  </property>
  <property fmtid="{D5CDD505-2E9C-101B-9397-08002B2CF9AE}" pid="78" name="NOSE314">
    <vt:lpwstr/>
  </property>
  <property fmtid="{D5CDD505-2E9C-101B-9397-08002B2CF9AE}" pid="79" name="NOSE315">
    <vt:lpwstr/>
  </property>
  <property fmtid="{D5CDD505-2E9C-101B-9397-08002B2CF9AE}" pid="80" name="NOSE316">
    <vt:lpwstr/>
  </property>
  <property fmtid="{D5CDD505-2E9C-101B-9397-08002B2CF9AE}" pid="81" name="NOSE317">
    <vt:lpwstr/>
  </property>
  <property fmtid="{D5CDD505-2E9C-101B-9397-08002B2CF9AE}" pid="82" name="NOSE318">
    <vt:lpwstr/>
  </property>
  <property fmtid="{D5CDD505-2E9C-101B-9397-08002B2CF9AE}" pid="83" name="NOSE319">
    <vt:lpwstr/>
  </property>
  <property fmtid="{D5CDD505-2E9C-101B-9397-08002B2CF9AE}" pid="84" name="NOSE32">
    <vt:lpwstr>חוקר נוער</vt:lpwstr>
  </property>
  <property fmtid="{D5CDD505-2E9C-101B-9397-08002B2CF9AE}" pid="85" name="NOSE320">
    <vt:lpwstr/>
  </property>
  <property fmtid="{D5CDD505-2E9C-101B-9397-08002B2CF9AE}" pid="86" name="NOSE33">
    <vt:lpwstr>עדות קטין לפני חוקר נוער</vt:lpwstr>
  </property>
  <property fmtid="{D5CDD505-2E9C-101B-9397-08002B2CF9AE}" pid="87" name="NOSE34">
    <vt:lpwstr>שקרי הנאשם</vt:lpwstr>
  </property>
  <property fmtid="{D5CDD505-2E9C-101B-9397-08002B2CF9AE}" pid="88" name="NOSE35">
    <vt:lpwstr>מחוץ לכותלי בית-המשפט</vt:lpwstr>
  </property>
  <property fmtid="{D5CDD505-2E9C-101B-9397-08002B2CF9AE}" pid="89" name="NOSE36">
    <vt:lpwstr>בעבירה על-פי עובדות שלא נטענו</vt:lpwstr>
  </property>
  <property fmtid="{D5CDD505-2E9C-101B-9397-08002B2CF9AE}" pid="90" name="NOSE37">
    <vt:lpwstr>חקירה בידי בית המשפט</vt:lpwstr>
  </property>
  <property fmtid="{D5CDD505-2E9C-101B-9397-08002B2CF9AE}" pid="91" name="NOSE38">
    <vt:lpwstr>אי-התערבות בממצאים עובדתיים</vt:lpwstr>
  </property>
  <property fmtid="{D5CDD505-2E9C-101B-9397-08002B2CF9AE}" pid="92" name="NOSE39">
    <vt:lpwstr>מדיניות ענישה: עבירות מין במשפחה</vt:lpwstr>
  </property>
  <property fmtid="{D5CDD505-2E9C-101B-9397-08002B2CF9AE}" pid="93" name="NOSE3ID">
    <vt:lpwstr>;10437;10364;10370;10076;3632;;3849;16241;14248</vt:lpwstr>
  </property>
  <property fmtid="{D5CDD505-2E9C-101B-9397-08002B2CF9AE}" pid="94" name="PADIDATE">
    <vt:lpwstr>20240617</vt:lpwstr>
  </property>
  <property fmtid="{D5CDD505-2E9C-101B-9397-08002B2CF9AE}" pid="95" name="PADIMAIL">
    <vt:lpwstr>YES</vt:lpwstr>
  </property>
  <property fmtid="{D5CDD505-2E9C-101B-9397-08002B2CF9AE}" pid="96" name="PAGE">
    <vt:lpwstr/>
  </property>
  <property fmtid="{D5CDD505-2E9C-101B-9397-08002B2CF9AE}" pid="97" name="PART">
    <vt:lpwstr/>
  </property>
  <property fmtid="{D5CDD505-2E9C-101B-9397-08002B2CF9AE}" pid="98" name="PROCESS">
    <vt:lpwstr>עפ</vt:lpwstr>
  </property>
  <property fmtid="{D5CDD505-2E9C-101B-9397-08002B2CF9AE}" pid="99" name="PROCNUM">
    <vt:lpwstr>4490</vt:lpwstr>
  </property>
  <property fmtid="{D5CDD505-2E9C-101B-9397-08002B2CF9AE}" pid="100" name="PROCYEAR">
    <vt:lpwstr>23</vt:lpwstr>
  </property>
  <property fmtid="{D5CDD505-2E9C-101B-9397-08002B2CF9AE}" pid="101" name="PSAKDIN">
    <vt:lpwstr>פסק-דין</vt:lpwstr>
  </property>
  <property fmtid="{D5CDD505-2E9C-101B-9397-08002B2CF9AE}" pid="102" name="TYPE">
    <vt:lpwstr>1</vt:lpwstr>
  </property>
  <property fmtid="{D5CDD505-2E9C-101B-9397-08002B2CF9AE}" pid="103" name="TYPE_ABS_DATE">
    <vt:lpwstr>410120240616</vt:lpwstr>
  </property>
  <property fmtid="{D5CDD505-2E9C-101B-9397-08002B2CF9AE}" pid="104" name="TYPE_N_DATE">
    <vt:lpwstr>41020240616</vt:lpwstr>
  </property>
  <property fmtid="{D5CDD505-2E9C-101B-9397-08002B2CF9AE}" pid="105" name="VOLUME">
    <vt:lpwstr/>
  </property>
  <property fmtid="{D5CDD505-2E9C-101B-9397-08002B2CF9AE}" pid="106" name="WORDNUMPAGES">
    <vt:lpwstr>30</vt:lpwstr>
  </property>
</Properties>
</file>