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4497/18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4499/18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6"/>
          <w:szCs w:val="16"/>
        </w:rPr>
      </w:pPr>
      <w:r>
        <w:rPr>
          <w:rFonts w:cs="Miriam"/>
          <w:b/>
          <w:bCs/>
          <w:sz w:val="16"/>
          <w:szCs w:val="16"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  <w:sz w:val="16"/>
          <w:szCs w:val="16"/>
        </w:rPr>
      </w:pPr>
      <w:r>
        <w:rPr>
          <w:rFonts w:cs="Miriam"/>
          <w:b/>
          <w:bCs/>
          <w:sz w:val="16"/>
          <w:szCs w:val="16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4497/18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4499/18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4497/18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4499/18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47607-11-14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טפרברג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1.8.2018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4497/18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4499/18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4497/18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4499/18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סולטנוביץ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David" w:hAnsi="David"/>
          <w:color w:val="333333"/>
          <w:sz w:val="28"/>
          <w:sz w:val="28"/>
          <w:szCs w:val="28"/>
          <w:shd w:fill="FFFFFF" w:val="clear"/>
          <w:rtl w:val="true"/>
        </w:rPr>
        <w:t>בשם שרות מבחן למבוגרים</w:t>
      </w:r>
      <w:r>
        <w:rPr>
          <w:rFonts w:cs="David" w:ascii="David" w:hAnsi="David"/>
          <w:color w:val="333333"/>
          <w:sz w:val="28"/>
          <w:szCs w:val="28"/>
          <w:shd w:fill="FFFFFF" w:val="clear"/>
          <w:rtl w:val="true"/>
        </w:rPr>
        <w:t>:</w:t>
      </w:r>
      <w:r>
        <w:rPr>
          <w:rFonts w:cs="FrankRuehl" w:ascii="FrankRuehl" w:hAnsi="FrankRuehl"/>
          <w:sz w:val="24"/>
          <w:rtl w:val="true"/>
        </w:rPr>
        <w:t xml:space="preserve">         </w:t>
      </w:r>
      <w:r>
        <w:rPr>
          <w:rFonts w:ascii="David" w:hAnsi="David"/>
          <w:color w:val="333333"/>
          <w:sz w:val="28"/>
          <w:sz w:val="28"/>
          <w:szCs w:val="28"/>
          <w:shd w:fill="FFFFFF" w:val="clear"/>
          <w:rtl w:val="true"/>
        </w:rPr>
        <w:t>גב</w:t>
      </w:r>
      <w:r>
        <w:rPr>
          <w:rFonts w:cs="David" w:ascii="David" w:hAnsi="David"/>
          <w:color w:val="333333"/>
          <w:sz w:val="28"/>
          <w:szCs w:val="28"/>
          <w:shd w:fill="FFFFFF" w:val="clear"/>
          <w:rtl w:val="true"/>
        </w:rPr>
        <w:t xml:space="preserve">' </w:t>
      </w:r>
      <w:r>
        <w:rPr>
          <w:rFonts w:ascii="David" w:hAnsi="David"/>
          <w:color w:val="333333"/>
          <w:sz w:val="28"/>
          <w:sz w:val="28"/>
          <w:szCs w:val="28"/>
          <w:shd w:fill="FFFFFF" w:val="clear"/>
          <w:rtl w:val="true"/>
        </w:rPr>
        <w:t>ברכה וייס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awTable_End"/>
      <w:bookmarkEnd w:id="5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8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חנן מלצר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צה״ל כצבאה של מדינה יהודית ודמוקרטית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משפט ועסקים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יד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347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inks_Kitvei_End"/>
      <w:bookmarkStart w:id="7" w:name="Links_Kitvei_End"/>
      <w:bookmarkEnd w:id="7"/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דעת רוב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המשיב על חומרת העונש שהושת עליו בגין הרשעתו בעבירות של פציעה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וגרם מוות ברשלנות שאירעו עת המשיב שֵרת כמפקד כיתה במשמר הגבול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המנוח יידה אבנים לעבר המקום בו שהה הכוח עליו פיקד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והתקבל ערעור המדינה כך שעל המשיב הושתו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ערכי קדושת חיי אדם והשמירה על טוהר הנשק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המתייצבים אל מול שיקולים הנוגעים לנסיבות האישיות של המשיב ולרקע למעשהו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צבא – עבירות – ירי לעבר אדם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ערעורי הצדדים על גזר הדין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בגדרו הושת על המשיב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4497/18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4499/18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דרי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של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ומאסר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חויב דרי בתשלום פיצוי למשפחת המנוח בסכום של </w:t>
      </w:r>
      <w:r>
        <w:rPr>
          <w:rFonts w:cs="Times New Roman" w:ascii="Times New Roman" w:hAnsi="Times New Roman"/>
          <w:spacing w:val="0"/>
          <w:szCs w:val="26"/>
        </w:rPr>
        <w:t>50,000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דרי הורשע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 הודאתו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של פציעה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וגרם מוות ברשלנות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האירוע שבגינו הורשע דרי בביצוע העבירות ארע כאשר דרי שֵרת כמפקד כיתה במשמר הגבול במסגרת ארועי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יום הנכּבה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המנוח יידה אבנים לעבר המקום בו שהה הכוח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סולברג ובהסכמת השופט 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כנגד דעתו החולקת של השופט 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4499/18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4497/18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המאסר שנגזר על דרי חורג באופן משמעותי לקולה מהעונש הראוי 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בא בגדר המצבים החריגים המצדיקים את התערבות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עסקינן במקרה שבו מתייצבים באופן מובהק ערכי קדושת חיי אדם והשמירה על טוהר הנשק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 מול שיקולים הנוגעים לנסיבותיו האישיות של דרי ולרקע למעשהו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דרי הפר את עקרון טוהר הנשק בכך שהתכוון לפצוע את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עשיית דין עצמית כזו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החלטה מוּדעת לגרום לפציעה באין כל סכנה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כזאת לא יֵעשה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לכוונתו של דרי לפצוע את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מצטרפת העובדה כי הירי שבוצע לקה ברשלנות כפולה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דרי לא וידא שהמחסנית שהחזיק ברשותו מכילה תרמילים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חסרי קליע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בלבד להבדיל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כדורים חיים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לא טען את נשקו בכדור גומי בטרם ביצע את הירי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העונש להלום את חומרת מעשהו של דרי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שבירי בלתי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מוצדק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שבוצע תוך רשלנות המצויה ברף הגבוה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ומתוך מטרה לפצוע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גרם למותו של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שמעשיו של המנוח חמורים ומסוכנים עד מאד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 הראוי לתת משקל לכך שדרי הוא אדם שביקש לתרום לביטחון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למסגרת שבה בוצע מעשהו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ולאווירה שאפפה את אירוע הפרות הסדר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 הראוי גם לשקול לזכותו של דרי את הודייתו בביצוע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העדרו של עבר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החרטה שהביע על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פרק הזמן הממושך שבו היה נתון בפיקוח אלקטרוני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ואת חלוף הזמן ממועד ביצוע העבירה ועד למועד מתן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שקל שיקולים אלה אך לא ניתן ביטוי הולם דיו לערך חיי האדם וגם לא לשיקולים שבבסיסם חובת ההקפדה על עקרון טוהר הנשק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הרשלנות הכפולה של דרי בכך שלא וידא שהמחסנית מכילה תרמילים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חסרי קליע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ושלא טען את נשקו בכדור גומי היא 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חמורה ממנה היא כוונתו של דרי לפצוע את המנוח כשלא נשקפה ממנו סכנה לכוח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גם בשים לב לכך שאין זה מדרכה של ערכאת הערעור למצות את מלוא חומרת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וכשגם מקומם של השיקולים לקולה לא נפקד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המאסר בפועל יעמוד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חייל או שוטר המצוי במצב לחימה עלול לטעות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מעשיו יש לבחון על רקע הסיטואציה המורכבת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לעתים הדבר עשוי להקים סייג מאחריות פלילית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ולהביא לזיכּויו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בוודאי שהדבר עשוי להוות שיקול משמעותי לקולא בענישתו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זה אינו המצב 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הצדדים חתמו על 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 מודה דרי כי לא ירה מחמת חשש מפני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ירה חרף העובדה שלא נשקפה ממנו סכנה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שנגזר אינו קרוב לבטא את החומרה שבמעשה מכוּון שכזה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מצרפים אליו את הרשלנות החמורה שגרמה למות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אחריות אדירה מוטלת על חייל ועל שוטר האוחזים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הנשק שניתן לדרי על מנת להציל את הנפש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כוונת זדון לפצוע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ורשלנות חמורה שנלוותה 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לשפיכות דמים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במבחן הזה כּשל דרי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 ליתן את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דעת המיעוט סברה כי העונש הולם את מידת אשמו של דרי בהתחשב בנסיבות האירוע ובמכלול נסיבותיו של דרי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cs="Times New Roman" w:ascii="Times New Roman" w:hAnsi="Times New Roman"/>
          <w:sz w:val="22"/>
        </w:rPr>
        <w:t>1</w:t>
      </w:r>
      <w:r>
        <w:rPr>
          <w:rFonts w:cs="Times New Roman" w:ascii="Times New Roman" w:hAnsi="Times New Roman"/>
          <w:sz w:val="22"/>
          <w:rtl w:val="true"/>
        </w:rPr>
        <w:t>.</w:t>
        <w:tab/>
      </w:r>
      <w:r>
        <w:rPr>
          <w:rFonts w:ascii="Century" w:hAnsi="Century" w:cs="Century"/>
          <w:sz w:val="22"/>
          <w:sz w:val="22"/>
          <w:rtl w:val="true"/>
        </w:rPr>
        <w:t>ערעורים מזה ומזה על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גזר הדין של בית המשפט המחוזי בירושלים </w:t>
      </w:r>
      <w:r>
        <w:rPr>
          <w:rFonts w:cs="Times New Roman" w:ascii="Times New Roman" w:hAnsi="Times New Roman"/>
          <w:sz w:val="22"/>
          <w:rtl w:val="true"/>
        </w:rPr>
        <w:t>(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טפרברג</w:t>
      </w:r>
      <w:r>
        <w:rPr>
          <w:rFonts w:cs="Times New Roman" w:ascii="Times New Roman" w:hAnsi="Times New Roman"/>
          <w:sz w:val="22"/>
          <w:rtl w:val="true"/>
        </w:rPr>
        <w:t xml:space="preserve">)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מיום </w:t>
      </w:r>
      <w:r>
        <w:rPr>
          <w:rFonts w:cs="Times New Roman" w:ascii="Times New Roman" w:hAnsi="Times New Roman"/>
          <w:sz w:val="22"/>
        </w:rPr>
        <w:t>25.4.2018</w:t>
      </w:r>
      <w:r>
        <w:rPr>
          <w:rFonts w:cs="Times New Roman" w:ascii="Times New Roman" w:hAnsi="Times New Roman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</w:t>
      </w:r>
      <w:hyperlink r:id="rId10">
        <w:r>
          <w:rPr>
            <w:rStyle w:val="Hyperlink"/>
            <w:rFonts w:ascii="Times New Roman" w:hAnsi="Times New Roman" w:cs="Times New Roman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z w:val="22"/>
            <w:u w:val="single"/>
          </w:rPr>
          <w:t>47607-11-14</w:t>
        </w:r>
      </w:hyperlink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Times New Roman" w:hAnsi="Times New Roman" w:cs="Times New Roman"/>
          <w:sz w:val="22"/>
          <w:sz w:val="22"/>
          <w:rtl w:val="true"/>
        </w:rPr>
        <w:t>בגדרו הושת על המשיב ב</w:t>
      </w:r>
      <w:r>
        <w:rPr>
          <w:rFonts w:ascii="Times New Roman" w:hAnsi="Times New Roman" w:cs="Times New Roman"/>
          <w:sz w:val="22"/>
          <w:sz w:val="22"/>
          <w:rtl w:val="true"/>
        </w:rPr>
        <w:t>ע</w:t>
      </w:r>
      <w:r>
        <w:rPr>
          <w:rFonts w:cs="Times New Roman" w:ascii="Times New Roman" w:hAnsi="Times New Roman"/>
          <w:sz w:val="22"/>
          <w:rtl w:val="true"/>
        </w:rPr>
        <w:t>"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פ </w:t>
      </w:r>
      <w:r>
        <w:rPr>
          <w:rFonts w:cs="Times New Roman" w:ascii="Times New Roman" w:hAnsi="Times New Roman"/>
          <w:sz w:val="22"/>
        </w:rPr>
        <w:t>4497/18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הוא המערער ב</w:t>
      </w:r>
      <w:r>
        <w:rPr>
          <w:rFonts w:ascii="Times New Roman" w:hAnsi="Times New Roman" w:cs="Times New Roman"/>
          <w:sz w:val="22"/>
          <w:sz w:val="22"/>
          <w:rtl w:val="true"/>
        </w:rPr>
        <w:t>ע</w:t>
      </w:r>
      <w:r>
        <w:rPr>
          <w:rFonts w:cs="Times New Roman" w:ascii="Times New Roman" w:hAnsi="Times New Roman"/>
          <w:sz w:val="22"/>
          <w:rtl w:val="true"/>
        </w:rPr>
        <w:t>"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פ </w:t>
      </w:r>
      <w:r>
        <w:rPr>
          <w:rFonts w:cs="Times New Roman" w:ascii="Times New Roman" w:hAnsi="Times New Roman"/>
          <w:sz w:val="22"/>
        </w:rPr>
        <w:t>4499/18</w:t>
      </w:r>
      <w:r>
        <w:rPr>
          <w:rFonts w:cs="Times New Roman" w:ascii="Times New Roman" w:hAnsi="Times New Roman"/>
          <w:sz w:val="22"/>
          <w:rtl w:val="true"/>
        </w:rPr>
        <w:t xml:space="preserve"> (</w:t>
      </w:r>
      <w:r>
        <w:rPr>
          <w:rFonts w:ascii="Times New Roman" w:hAnsi="Times New Roman" w:cs="Times New Roman"/>
          <w:sz w:val="22"/>
          <w:sz w:val="22"/>
          <w:rtl w:val="true"/>
        </w:rPr>
        <w:t>להלן</w:t>
      </w:r>
      <w:r>
        <w:rPr>
          <w:rFonts w:cs="Times New Roman" w:ascii="Times New Roman" w:hAnsi="Times New Roman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</w:t>
      </w:r>
      <w:r>
        <w:rPr>
          <w:rFonts w:cs="Times New Roman" w:ascii="Times New Roman" w:hAnsi="Times New Roman"/>
          <w:sz w:val="22"/>
          <w:rtl w:val="true"/>
        </w:rPr>
        <w:t xml:space="preserve">)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עונש של </w:t>
      </w:r>
      <w:r>
        <w:rPr>
          <w:rFonts w:cs="Times New Roman" w:ascii="Times New Roman" w:hAnsi="Times New Roman"/>
          <w:sz w:val="22"/>
        </w:rPr>
        <w:t>9</w:t>
      </w:r>
      <w:r>
        <w:rPr>
          <w:rFonts w:cs="Times New Roman" w:ascii="Times New Roman" w:hAnsi="Times New Roman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חודשי מאסר בפועל </w:t>
      </w:r>
      <w:r>
        <w:rPr>
          <w:rFonts w:cs="Times New Roman" w:ascii="Times New Roman" w:hAnsi="Times New Roman"/>
          <w:sz w:val="22"/>
          <w:rtl w:val="true"/>
        </w:rPr>
        <w:t>(</w:t>
      </w:r>
      <w:r>
        <w:rPr>
          <w:rFonts w:ascii="Times New Roman" w:hAnsi="Times New Roman" w:cs="Times New Roman"/>
          <w:sz w:val="22"/>
          <w:sz w:val="22"/>
          <w:rtl w:val="true"/>
        </w:rPr>
        <w:t>בניכוי ימי מעצרו</w:t>
      </w:r>
      <w:r>
        <w:rPr>
          <w:rFonts w:cs="Times New Roman" w:ascii="Times New Roman" w:hAnsi="Times New Roman"/>
          <w:sz w:val="22"/>
          <w:rtl w:val="true"/>
        </w:rPr>
        <w:t xml:space="preserve">) </w:t>
      </w:r>
      <w:r>
        <w:rPr>
          <w:rFonts w:ascii="Times New Roman" w:hAnsi="Times New Roman" w:cs="Times New Roman"/>
          <w:sz w:val="22"/>
          <w:sz w:val="22"/>
          <w:rtl w:val="true"/>
        </w:rPr>
        <w:t>ומאסר על תנאי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rtl w:val="true"/>
        </w:rPr>
        <w:t>כמו כן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חוייב דרי בתשלום פיצוי למשפחת המנוח בסכום של </w:t>
      </w:r>
      <w:r>
        <w:rPr>
          <w:rFonts w:cs="Times New Roman" w:ascii="Times New Roman" w:hAnsi="Times New Roman"/>
          <w:sz w:val="22"/>
        </w:rPr>
        <w:t>50,000</w:t>
      </w:r>
      <w:r>
        <w:rPr>
          <w:rFonts w:cs="Times New Roman" w:ascii="Times New Roman" w:hAnsi="Times New Roman"/>
          <w:sz w:val="22"/>
          <w:rtl w:val="true"/>
        </w:rPr>
        <w:t xml:space="preserve"> ₪. </w:t>
      </w:r>
      <w:r>
        <w:rPr>
          <w:rFonts w:ascii="Times New Roman" w:hAnsi="Times New Roman" w:cs="Times New Roman"/>
          <w:sz w:val="22"/>
          <w:sz w:val="22"/>
          <w:rtl w:val="true"/>
        </w:rPr>
        <w:t>אין עוררין על הכרעת הדין המרשיעה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rtl w:val="true"/>
        </w:rPr>
        <w:t>דרי מערער על חומרת העונש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המדינה מערערת על קוּלתו</w:t>
      </w:r>
      <w:r>
        <w:rPr>
          <w:rFonts w:cs="Times New Roman" w:ascii="Times New Roman" w:hAnsi="Times New Roman"/>
          <w:sz w:val="22"/>
          <w:rtl w:val="true"/>
        </w:rPr>
        <w:t xml:space="preserve">; </w:t>
      </w:r>
      <w:r>
        <w:rPr>
          <w:rFonts w:ascii="Times New Roman" w:hAnsi="Times New Roman" w:cs="Times New Roman"/>
          <w:sz w:val="22"/>
          <w:sz w:val="22"/>
          <w:rtl w:val="true"/>
        </w:rPr>
        <w:t>כל צד מנקודת מבטו ונימוקיו עמו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spacing w:lineRule="auto" w:line="480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דרי הורשע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הודאתו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הסדר 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בעבירות של פציעה בנסיבות מחמירות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12">
        <w:r>
          <w:rPr>
            <w:rStyle w:val="Hyperlink"/>
            <w:rFonts w:cs="Century" w:ascii="Century" w:hAnsi="Century"/>
            <w:color w:val="0000FF"/>
            <w:u w:val="single"/>
          </w:rPr>
          <w:t>335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וגרם מוות ברשלנות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מן הראוי לציין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הורי המנוח הגישו בשעתו עתירה נגד הסדר הטיעון האמור לבית משפט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בשבתו כבג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ץ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עתירתם נדחתה בפסק דין מיום </w:t>
      </w:r>
      <w:r>
        <w:rPr>
          <w:rFonts w:cs="Century" w:ascii="Century" w:hAnsi="Century"/>
        </w:rPr>
        <w:t>6.6.2017</w:t>
      </w:r>
      <w:r>
        <w:rPr>
          <w:rFonts w:cs="Century" w:ascii="Century" w:hAnsi="Century"/>
          <w:rtl w:val="true"/>
        </w:rPr>
        <w:t xml:space="preserve"> (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1711/17</w:t>
        </w:r>
      </w:hyperlink>
      <w:r>
        <w:rPr>
          <w:rFonts w:cs="Century" w:ascii="Century" w:hAnsi="Century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האירוע שבגינו הורשע דרי בביצוע העבירות ארע ביום </w:t>
      </w:r>
      <w:r>
        <w:rPr>
          <w:rFonts w:cs="Century" w:ascii="Century" w:hAnsi="Century"/>
        </w:rPr>
        <w:t>15.5.2014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דרי שֵרת אז כמפקד כיתה במשמר הגבול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כחלק מן ההערכות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יום הנכּבה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הוצבה הפלוגה שבה שֵרת במספר עמדות באזור הכפר ביתוניא ב</w:t>
      </w:r>
      <w:r>
        <w:rPr>
          <w:rtl w:val="true"/>
        </w:rPr>
        <w:t>נפת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רמאללה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סמוך לשעה </w:t>
      </w:r>
      <w:r>
        <w:rPr>
          <w:rFonts w:cs="Century" w:ascii="Century" w:hAnsi="Century"/>
        </w:rPr>
        <w:t>11:00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באותו יום הוצבו דרי ועמו מספר שוטרים נוספים על מרפסת הצופה לעבר ציר מרכזי בביתוניא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במטרה להדוף ולמנוע כניסת מפגינים לכיוון מחסום ביתוניא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דרי ושוטר נוסף מן הכוח שהוצב על המרפסת הוגדרו כְּאֵלו שיבצעו ירי כדורי גומי לעבר מפרי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סדר ככל שיהיה צורך 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בהתאם לנהלים הכלליים לשימוש באמצעים לפיזור הפגנות ולהנחיות שינתנו במהלך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דרי נשא רובה סער </w:t>
      </w:r>
      <w:r>
        <w:rPr>
          <w:rFonts w:cs="Century" w:ascii="Century" w:hAnsi="Century"/>
          <w:sz w:val="20"/>
          <w:szCs w:val="26"/>
        </w:rPr>
        <w:t>M-16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שעליו הורכב התקן מסוג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רומה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המתאים לירי כדורי גומי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דרי היה חמוש בכדורי גומי ובמחסניות תחמיש שבהן תרמילים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חסרי קליע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המובחנים בגודלם ובצורתם 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כדורים חיים</w:t>
      </w:r>
      <w:r>
        <w:rPr>
          <w:rFonts w:cs="Century" w:ascii="Century" w:hAnsi="Century"/>
          <w:rtl w:val="true"/>
        </w:rPr>
        <w:t xml:space="preserve">") </w:t>
      </w:r>
      <w:r>
        <w:rPr>
          <w:rFonts w:ascii="Century" w:hAnsi="Century" w:cs="Century"/>
          <w:rtl w:val="true"/>
        </w:rPr>
        <w:t>המשמשים לירי כדורי גומי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עובר לביצוע הירי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וידא דרי שמחסניות התחמיש שהחזיק ברשותו מכילות תרמילים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חסרי קליע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שהיה עליו לעשות כן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בשלב מסוים הגיעו למקום מפרי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ביניהם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חלקם רעולי פנים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והם התפרעו במרחק של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80-60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מטרים מהמרפסת וידו אבנים לעברה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לפני האירוע ובמהלכו קיבל דרי הוראה לבצע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במידת הצורך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ירי של כדורי גומי לעבר מפרי הסדר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13:41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לערך ידה המנוח – צעיר כבן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בעת ההיא – אבנים לעבר הכוח שהוצב על המרפסת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יידוי האבנים פסק סמוך לשעה </w:t>
      </w:r>
      <w:r>
        <w:rPr>
          <w:rFonts w:cs="Century" w:ascii="Century" w:hAnsi="Century"/>
        </w:rPr>
        <w:t>13:45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בשלב זה החליט דרי לפגוע במנוח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כשזה צעד במרחק של עשרות מטרים מכוח מג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פניו לכיוון הכוח וידיו לצדי גופו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באמצעות ירי גומי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חרף העובדה שלא נשקפה סכנה לכוח מג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ובניגוד לנהלים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כיוון דרי את נשקו לעבר מרכז גופו של המנוח וירה בו בכוונה לגרום לפציעתו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דרי עשה כן בסברו כי מחסנית התחמיש שברשותו מכילה תרמילים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חסרי קליע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וזאת מבלי שבדק את תכולת המחסנית ומבלי לטעון את נשקו בכדור גומי כנדרש בטרם ביצוע הירי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המחסנית הכילה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דרי לא ידע על כך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קליע חי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וזה חדר לחזהו של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שהתמוטט במקום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המנוח הובהל לבית חולים ברמאללה שם נקבע מותו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lineRule="auto" w:line="240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בית המשפט המחוזי עמד על עקרון ההלימה המעוגן 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ל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וציין כי העבירות שבהן הורשע דרי פגעו באופן משמעותי בערך החברתי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שלמות החיים והגוף וההגנה על שלום הציבור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בית המשפט 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העבירות מהוות אירוע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מדובר באותו 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כן יש לקבוע מתחם עונש אחד לשתי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בחן את מדיניות הענישה הנוהגת במקרים דומים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סקר פסיקה רלוונטית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וקבע כי מדובר במדיניות מגוונת אשר הולמת את הכלל לפיו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הכל לפי העושה והמעשה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אשר לנסיבות הקשורות בביצוע העבירה הדגיש בית המשפט כי דרי ביצע ירי לעבר המנוח ללא כל הצדקה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המנוח לא היווה סכנה לכוח מג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 שעליו נמנה דרי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הטעים 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הירי בוצע בניגוד לנהלים ולא שֵרת את מטרת המשימה כפי שהוגדרה לכוח – מניעת הגעת מפגינים למחסום ביתוניא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נתן דעתו על כך שדרי נשלח למקום האירוע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על טיבו של האירוע – התפרעות קשה שהכרח הוא לרסנה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כך שהירי בוצע בניגוד להגדרת המשימה ולנהלים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בעניין זה הדגיש בית המשפט כי כמפקד הכוח היה על דרי לשמש דוגמא לפקודיו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קיים פער בולט ומשמעותי בין חוות הדעת החיוביות שקיבל דרי במהלך שירותו במשמר הגבול לבין אופן התנהלותו באירוע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שב וציין כי דרי לא וידא שהמחסנית שברשותו מכילה כדורים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חסרי קליע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טען את נשקו בכדור גומי כנדרש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כי מחדלים אלו עולים כדי רשלנות חמורה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לנתונים אלו הוסיף בית המשפט את העובדה שהירי עצמו נעשה ללא כל הצדקה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התוצאה הקשה שנגרמה ממעשהו של דרי – מותו של נער צעיר ופגיעה קשה במשפחתו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בהינתן הערכים החברתיים שנפגעו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מדיניות הענישה הנוהגת בכגון דא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והנסיבות שאפפו את ביצוע העבירות שבהן הורשע דרי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כי מתחם העונש ההולם נע בין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בבחינת העונש בגדרי מתחם הענישה התייחס בית המשפט לנסיבות שאינן קשורות בביצוע העבירות ובכללן לשלב שבו הודה דרי בביצוע העבירות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לאחר שמיעה חלקית של הראיות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בציינו כי בכך נחסך זמן שיפוטי יקר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ציין בית המשפט כי דרי נעדר עבר פלילי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הביע חרטה על מעשיו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שיתף פעולה באופן מלא עם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מעשיו פגעו בו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עצמו ובמשפחתו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הוסיף וציין כי חוות הדעת על אודות דרי ביחס לשירותו הן חיוביות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הרושם העולה מהן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מעדויותיהם של עדי ההגנה הוא שדרי היה שוטר מצטיין ומוערך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שדאג לפקודיו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צוין כי דרי היה עצור בפיקוח אלקטרוני למשך כשנה וכי לאחר מכן שוחרר בתנאים מגבילים שעליהם הקפיד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נדרש גם לחלוף הזמן ממועד ביצוע העבירה ועד למועד מתן גזר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התייחס לאמור בתסקיר נפגע העבירה שהוגש לעיונו בתמצית נוכח בקשת הורי המנוח שלא לאפשר למערער לעיין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האמור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בתסקיר תואר הכאב שבו קיבלו בני משפחת המנוח את הבשורה על מותו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השפעתו הקשה עליהם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התייחס בית המשפט לתסקיר שהוגש מטעם שירות המבחן בעניינו של דרי בו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דרי חווה את תוצאת האירוע בצורה קשה וטראומתית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הוא בעל בסיס נורמטיבי ויכולות לתפקוד יציב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מכיר במשמעות הקשה של מעשהו ולנזק הרב שגרם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על כן הומלץ להטיל על דרי עונש מאסר שירוצה בעבודות שירות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קבע כי אין מקום לאמץ את המלצת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חומרת מעשהו של דרי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ודרגת רשלנותו המצויה ברף הגבוה מחייבים תגובה עונשית הולמת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מאסר בעבודות שירות אינו הולם את חומרת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קבע כי יש לגזור את עונשו של דרי סמוך לתחתית מתחם העונש שנקבע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ועל כן הטיל עליו עונש של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בפועל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בניכוי ימי מעצרו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ומאסר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תנאי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דרי חויב גם בתשלום פיצויים למשפחת המנוח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הערעורים ההדדיים שלפנינו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lineRule="auto" w:line="240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גורסת כי העונש שנגזר על דרי אינו מבטא די הצורך את ההגנה על הערך המוגן של קדושת החיים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את חומרת מעשיו של דרי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מידת אשמו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התוצאה הטראגית של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מדגישה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כי דרי החליט לירות במנוח כדור גומי במטרה לפוצעו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למרות שלא נשקפה ממנו סכנה לכוח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המעשה המכוון המתואר בוצע באופן רשלני שהביא לתוצאה קשה מזו שאותה התכוון דרי לגרום במעשהו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שב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אינה חולקת על כך שמדובר במעשה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סבורה כי עבירת הפציעה בנסיבות מחמירות מהווה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עבירת מחשבה פלילית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ומשכך אינה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נבלעת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בעבירת גרם המוות ברשלנות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 טוענת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שניתן להטיל על דרי את העונש המקסימלי הקבוע בצד עבירת הפציעה בנסיבות מחמירות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טוענת כי מידת אשמו הגבוהה של דרי לא קיבלה ביטוי הולם בקביעת מתחם העונש שנקבע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 המחוזי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עוד טוענת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אף שבית המשפט נדרש לכך שהירי בוצע ללא הצדקה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שגזר הדין ומתחם העונש שנקבע בגדרו לא נתנו ביטוי די הצורך לערך של טוהר הנשק ולפּסוּל החמור שבעצם השימוש בנשק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חייל או שוטר כשזה אינו נדרש מבחינה מבצעית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מטעימה בעניין זה כי על שוטרים או חיילים המחזיקים בנשק מוטלת אחריות לעשות בו שימוש אך ורק לצורך המטרות שלשמן ניתן בידם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במידה הנדרשת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אחריות זו תגבר עת עסקינן במי שמחזיק בעמדה פיקודית כדוגמת דרי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לדברי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דווקא בגלל שמדובר במערכת צבאית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ובסיטואציות שמחייבות שימוש בנשק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צריך להקפיד הקפדה יתרה על הכללים ועל המגבלות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 הפרת הכללים הללו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דרי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החליט לכוון את נשקו למרכז גופו של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בלא כל הצדקה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שלשם ירי גומי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היה מקום לנקוט ענישה מחמירה אשר תבטא את מידת הסלידה של החברה מהתנהגותו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מוסיפה ומדגישה כי אין מקום לקבל את טענותיו של דרי ביחס לסיטואציה המבצעית שבה היה מצוי בעת 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הוא הודה במסגרת הסדר הטיעון כי ירה במנוח לאחר שוך ההתפרעות במקום וכאשר לא נשקפה כל סכנה לכוח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מדובר בטעות בשיקול דעת במסגרת סיטואציה מבצעית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בהחלטה מכוונת של דרי לפגוע במנוח ולגרום לו פציעה בעת ששררה רגיעה בשטח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סבורה כי היה על בית המשפט לתת משקל לשימוש לרעה שעשה דרי בכוחו ובמעמדו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תחת משקל היתר שנתן לרכיבי הרשלנות במעשיו של דרי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לגישת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רשלנות חמורה מצטרפת למעשה מכוון ולתוצאה כה 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היה על בית המשפט לקבוע מתחם ענישה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גבוה בהרבה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מזה שנקבע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לקביעת העונש בתוך מתחם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המדינה טוענת כי היה מקום לתת משקל רב לשיקולי הרתעת הרבים ולאינטרס הציבורי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וכפועל יוצא מכך לקבוע את העונש בדרגה גבוהה יותר בתוך מתחם הענישה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lineRule="auto" w:line="240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לטענת דרי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החמיר עמו יתר על המידה בקביעת מתחם הענישה ההולם שכן לא נתן משקל מספק לנסיבות הקשורות בביצוע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ובכללן לעובדה שדרי הוצב במקום האירוע במסגרת תפקידו כלוחם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לכך שמדובר במסגרת מבצעית ובאירוע שאופיין באווירה סוערת ומלחיצה שכלל הפרות סדר קשות ויידוי אבנים   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רעולי פנים ובהם המנוח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ולכך שהמנוח עצמו ידה אבנים לעבר הכוח דקות ספורות קודם לירי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טוען דרי 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המחוקק מתייחס בחומרה ליידוי אבנים במובן זה שהעונש בעבירה זו הוחמר החל משנת 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יש בכך – כמו גם בנהלים החדשים בדבר פתיחה באש כלפי מיידי אבנים – כדי ללמד על הסכנה הרבה הצפויה מיידוי אבנים דוגמת זה שבו נטל המנוח חלק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דרי סבור כי על אף שהוסכם שלא נשקפה לו סכנה בעת ביצוע הירי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שיש ליתן משקל ליידוי האבנים שקדם לביצוע העבירות בקביעת מתחם העונש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 כי נוכח הנסיבות המתוארות ובהן אופיו האלים של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ברי כי רשלנותו של דרי נמצאת ברף הנמוך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דרי טוען כי בית המשפט התעלם מטענתו לפיה עבירת הפציעה בנסיבות מחמירות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נבלעת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בתוך עבירת גרם המוות ברשלנות נוכח תוצאת מעשהו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שיש בו כדי להשפיע על מתחם הענישה ההולם בעניינו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לגישתו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אכן ישנן מספר פרשנויות אפשריות לעניין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לצדד בפרשנות המקלה עמו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דרי טוען כי מתחם העונש שנקבע בעניינו אינו עולה בקנה אחד עם מדיניות הענישה במקרים דומים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חמורים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שאליהם הפנה בערעורו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 דרי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על בית המשפט להעמיד את הרף התחתון של מתחם העונש על 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לכל היותר על מספר חודשי מאסר אשר ירוצו בעבודות שירות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ואילו את הרף העליון היה צריך להעמיד על שנת מאסר אחת בלבד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דרי אינו חולק על האופן שבו שקל בית המשפט את הנסיבות שאינן קשורות בביצוע העבירות בבואו לגזור את העונש בתוך המתחם שקבע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סבור כי המסקנה המתבקשת מנסיבות אלו היא כי יש לגזור את העונש ברף הנמוך ביותר של מתחם העונש ההולם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כפי שנעשה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דרי שב ומציין כי הוא נעדר עבר פלילי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חלפו למעלה 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ממועד ביצוע העבירות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נגרמו לו נזקים רבים מאז קרות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ביחס לעניין אחרון זה נטען כי תכניותיו של דרי להמשיך בשירות קבע נגדעו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מצבו הנפשי הדרדר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סובל מחרדות ומדכאונות אשר הובילוהו לקבלת טיפול תרופתי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דרי מפנה לעדויותיהם של עדי האופי מטעמו – מפקדים וקצינים בכירים במשמר הגבול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ולהמלצה שקיבל ממקום עבודתו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דרי טוען כי בנסיבות העניין לא היה מקום לסטות מהמלצת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נציגים מטעמו ליוו את דרי במהלך ההליך המשפטי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בקשתו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דרי מציין כי שהה במעצר של ממש במשך כחודשיים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ימים ולאחר מכן נאזק באיזוק אלקטרוני למשך כשנה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כל הפרות מצדו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המדינה לא הצביעה על סיכוי של ממש לכך שהחמרה בעונש אכן תביא לידי הרתעת הרבים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ומכל מקום מקומו של שיקול זה בגדרי המתחם שנקבע גרידא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לבסוף טוען דרי כי יש מקום לשקול את טענתו להגנה מן הצדק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נוכח התנהלותה של המדינה אשר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מיאנה להתחשב בקשיים הראייתיים אשר היו ידועים לה עוד בטרם הגשת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ולהורות על הגשת כתב אישום מקל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שהוגש לבסוף במסגרת הסדר הטיעון עמה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עוד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לוּ הייתה המדינה נוהגת כלפי דרי באופן המתואר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ברי כי עינוי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חוסר הוודאות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ושלל נזקים נוספים שנגרמו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היו נמנעים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lineRule="auto" w:line="240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נתתי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אֵלו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ואֵלו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והגעתי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דין הערעור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של דרי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על חומרת העונש להידחות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בעוד שדין הערעור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של המדינה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על קולת העונש – להתקבל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לחברַי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3091/08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טרייגר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11</w:t>
      </w:r>
      <w:r>
        <w:rPr>
          <w:sz w:val="28"/>
          <w:rtl w:val="true"/>
        </w:rPr>
        <w:t xml:space="preserve"> (</w:t>
      </w:r>
      <w:r>
        <w:rPr>
          <w:sz w:val="28"/>
        </w:rPr>
        <w:t>29.1.2009</w:t>
      </w:r>
      <w:r>
        <w:rPr>
          <w:sz w:val="28"/>
          <w:rtl w:val="true"/>
        </w:rPr>
        <w:t xml:space="preserve">); 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8095/16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עובדיה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30.3.2017</w:t>
      </w:r>
      <w:r>
        <w:rPr>
          <w:rtl w:val="true"/>
        </w:rPr>
        <w:t xml:space="preserve">)). </w:t>
      </w:r>
      <w:r>
        <w:rPr>
          <w:rFonts w:ascii="Century" w:hAnsi="Century" w:cs="Century"/>
          <w:rtl w:val="true"/>
        </w:rPr>
        <w:t>כך 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וביתר שאת לגבי ערעור של המדינה על קולת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ולוּ מן הטעם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שערכאת הערעור אינה נוטה למצות את מלוא חומרת הדין עם נאשם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השוו</w:t>
      </w:r>
      <w:r>
        <w:rPr>
          <w:rFonts w:cs="Century" w:ascii="Century" w:hAnsi="Century"/>
          <w:rtl w:val="true"/>
        </w:rPr>
        <w:t xml:space="preserve">: 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1079/16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1.8.2016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 xml:space="preserve">ואולם </w:t>
      </w:r>
      <w:r>
        <w:rPr>
          <w:rtl w:val="true"/>
        </w:rPr>
        <w:t>בנדון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המקרה שלפנינו אכן מעורר קושי רב בבואנו לבחון את גזר הדין שהוטל על דרי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כיוון שעסקינן במקרה שבו מתייצבים באופן מובהק ערכי קדושת חיי אדם והשמירה על טוהר הנשק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 מול שיקולים הנוגעים לנסיבותיו האישיות של דרי ולרקע למעשהו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משפט זה עמד על החשיבות הרבה הטמונה בשמירה קפדנית על טוהר הנשק במערכת הצבאית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בקובעו כי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דוקא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מעמדה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המיוחד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הצבאית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הקפדת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באכיפת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הנורמות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המוסריות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ערכיות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בפעילות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וחייליו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במיוחד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השמירה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הקפדנית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הריסון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וההגבלה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הנשק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והשררה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הצבאית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להקפיד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כבחמורה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עדיפות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לצורכי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אכיפת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הנורמות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הערכיות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אינטרסים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מערכתיים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ושיקולים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פרטניים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הנוגעים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לחייל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שסטה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מדרכו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האכיפה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הנוגעים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הצבאי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תושבים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מקומיים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הנמנים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היריב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נחקרים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ונתונים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למשמורת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הצבא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שיימצא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במדרגה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הגבוהה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להטמיע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שכשל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החיילים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ובמערכת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הצבאית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כיבוד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והשמירה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האויב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טבועים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יהודית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ודמוקרטית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למצוא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באכיפת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שבהתנהגותו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מרכיב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בתפיסת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הבטחון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ובעמידה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כושרו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ורמתו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. 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כוחו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ברוחו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וצמתו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הפיזית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ובשכלול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כליו</w:t>
      </w:r>
      <w:r>
        <w:rPr>
          <w:rFonts w:cs="Miriam" w:ascii="Century" w:hAnsi="Century"/>
          <w:b/>
          <w:spacing w:val="0"/>
          <w:szCs w:val="24"/>
          <w:rtl w:val="true"/>
        </w:rPr>
        <w:t>' (</w:t>
      </w:r>
      <w:hyperlink r:id="rId2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בג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ץ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585/01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קלכמן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נ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הרמטכ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ל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נח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cs="Miriam" w:ascii="Century" w:hAnsi="Century"/>
          <w:b/>
          <w:spacing w:val="0"/>
          <w:szCs w:val="24"/>
        </w:rPr>
        <w:t>694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</w:rPr>
        <w:t>719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(</w:t>
      </w:r>
      <w:r>
        <w:rPr>
          <w:rFonts w:cs="Miriam" w:ascii="Century" w:hAnsi="Century"/>
          <w:b/>
          <w:spacing w:val="0"/>
          <w:szCs w:val="24"/>
        </w:rPr>
        <w:t>2003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רוחו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וצביונו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המוסרי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תלויים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בשמירה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טוהר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הנשק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דברי 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</w:t>
      </w:r>
      <w:r>
        <w:rPr>
          <w:rFonts w:ascii="Century" w:hAnsi="Century" w:cs="Century"/>
          <w:rtl w:val="true"/>
        </w:rPr>
        <w:t xml:space="preserve"> ב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7195/08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הפרקליט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הצבאי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90-89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1.7.2009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עוד ראו</w:t>
      </w:r>
      <w:r>
        <w:rPr>
          <w:rFonts w:cs="Century" w:ascii="Century" w:hAnsi="Century"/>
          <w:rtl w:val="true"/>
        </w:rPr>
        <w:t xml:space="preserve">: </w:t>
      </w:r>
      <w:hyperlink r:id="rId2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חנן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מלצר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צה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ל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כצבאה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של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מדינה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יהודית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ודמוקרטית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ועסקים</w:t>
      </w:r>
      <w:r>
        <w:rPr>
          <w:rFonts w:ascii="Century" w:hAnsi="Century" w:cs="Century"/>
          <w:rtl w:val="true"/>
        </w:rPr>
        <w:t xml:space="preserve"> יד </w:t>
      </w:r>
      <w:r>
        <w:rPr>
          <w:rFonts w:cs="Century" w:ascii="Century" w:hAnsi="Century"/>
        </w:rPr>
        <w:t>347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393-390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>)).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רקע דברים נכוחים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לזכור כי בענייננו הורשע דרי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פי הודאתו בפציעה בנסיבות מחמירות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עבירה של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מחשבה פלילית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שהעונש הקבוע לצידה הוא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ובגרם מוות ברשלנות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עבירה שהעונש הקבוע לצידה הוא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דרי הפר את עקרון טוהר הנשק בכך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שהתכוון</w:t>
      </w:r>
      <w:r>
        <w:rPr>
          <w:rFonts w:ascii="Century" w:hAnsi="Century" w:cs="Century"/>
          <w:rtl w:val="true"/>
        </w:rPr>
        <w:t xml:space="preserve"> לפצוע את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אין עוררין על כך שדרי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לפגוע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במנוח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כשפניו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לכיוון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המרפסת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במרחק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עשרו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מהכח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כשידיו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גופו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סעיף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לכתב האישום המתוקן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דרי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מהמרפסת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מרכז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בניגוד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לנהלים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לגרום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למנוח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פציעה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נשקפה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לכוח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עשיית דין עצמית שכזו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פעולת עונשין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החלטה מוּדעת לגרום לפציעה באין כל סכנה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כזאת לא יֵעשה בשום פנים ואופן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כוונתו</w:t>
      </w:r>
      <w:r>
        <w:rPr>
          <w:rFonts w:ascii="Century" w:hAnsi="Century" w:cs="Century"/>
          <w:rtl w:val="true"/>
        </w:rPr>
        <w:t xml:space="preserve"> של דרי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לפצוע</w:t>
      </w:r>
      <w:r>
        <w:rPr>
          <w:rFonts w:ascii="Century" w:hAnsi="Century" w:cs="Century"/>
          <w:rtl w:val="true"/>
        </w:rPr>
        <w:t xml:space="preserve"> את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מצטרפת העובדה כי הירי שבוצע לקה ברשלנות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לאמור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דרי לא וידא שמחסנית התחמיש שהחזיק ברשותו מכילה תרמילים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חסרי קליע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בלבד להבדיל 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כדורים חיים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ואף לא טען את נשקו בכדור גומי בטרם ביצע את הירי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ראוי לשוב ולהדגיש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נתונים עובדתיים אלו אינם שנויים במחלוקת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דרי הודה בהם במסגרת הסדר הטיעון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והם עולים במפורש מכתב האישום המתוקן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העונש להלום אפוא את חומרת מעשהו של דרי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שבירי 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מוצדק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שבוצע תוך רשלנות המצויה ברף הגבוה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ומתוך מטרה לפצוע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גורם למותו של אדם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הגם שמעשיו של אותו אדם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מנוח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ידוי אבנים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חמורים ומסוכנים עד מאד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ער אני לכך שדרי היה שוטר מצטיין ומוערך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כמו גם לאמור בחוות הדעת מטעם שירות המבחן ולהמלצותיו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בבית משפט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מן הראוי לתת משקל לכך שדרי הוא אדם שביקש לתרום לביטחון המדינה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לבטח יש להתחשב במסגרת שבה בוצע מעשהו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כמתואר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ולאווירה שאפפה את אירוע הפרות הסדר שבו ירה דרי על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מן הראוי גם </w:t>
      </w:r>
      <w:r>
        <w:rPr>
          <w:rtl w:val="true"/>
        </w:rPr>
        <w:t>לשקול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הודייתו בביצוע העבירות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העדרו של עבר פלילי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החרטה שהביע על מעשיו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פרק הזמן הממושך שבו היה נתון בפיקוח אלקטרוני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ואת חלוף הזמן ממועד ביצוע העבירה ועד למועד מתן 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כולם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הצריכים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שלקולא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שלחומרה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בסופו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באיזון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הכולל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ביטוי הולם דיו לערך חיי האדם שנגדעו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דרי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לא לשיקולים שבבסיסם חובת ההקפדה על עקרון טוהר הנשק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הרשלנות הכפולה של דרי בכך שלא וידא שהמחסנית מכילה תרמילים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חסרי קליע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ושלא טען את נשקו בכדור גומי היא חמורה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אך חמורה ממנה היא כוונתו של דרי לפצוע את המנוח כשלא נשקפה ממנו סכנה לכוח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והתוצאה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מוות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משאלו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וכשגם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נפקד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לחברַי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lineRule="auto" w:line="480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האלה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קראתי את דברי חברי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אלרון</w:t>
      </w:r>
      <w:r>
        <w:rPr>
          <w:rFonts w:ascii="Century" w:hAnsi="Century" w:cs="Century"/>
          <w:rtl w:val="true"/>
        </w:rPr>
        <w:t xml:space="preserve"> בחוות דעתו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אין בידי להסכים עמו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דבריו על אודות הזהירות שיש לנקוט בבואנו לבחון את פעולותיהם של אנשי כוחות הביטחון במצב לחימה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נכוחים הם וראויים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אינם עניין לנדון דידן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בענייננו הגיעו הצדדים להסדר 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ובמרכזו כתב אישום מתוקן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כתב אישום מתוקן שכזה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מדקדקים בו שני הצדדים בכל מילה ומילה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נקבע בכתב האישום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בהסכמה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כי דרי ירה במנוח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במטרה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לגרום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למנוח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פציעה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נשקפה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סכנה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דרי הודה אפוא כי הירי נועד על מנת לפצוע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לא מחמת מה שהיה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ידוי האבנים שפסק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ולא בגלל חשש מפני מה שיהיה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שכן המנוח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באזור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כשפניו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לכיוון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המרפסת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במרחק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מהכח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כשידיו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לצידי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גופו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 xml:space="preserve">סעיף </w:t>
      </w: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לכתב האישום המתוקן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על גבי כתב האישום הזה אין להניח הנחות המרעות עם דרי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גם לא הנחות המיטיבות עמו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דרי כּשל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הנשק לא הופקד בידיו כדי להעניש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לגמוֹל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 לפרוק עול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2"/>
        <w:spacing w:lineRule="auto" w:line="48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22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חייל או שוטר המצוי במצב לחימה עלול לטעות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את מעשיו יש לבחון על רקע הסיטואציה המורכבת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לעתים הדבר עשוי אף להקים סייג מאחריות פלילית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ולהביא לזיכּויוֹ ממעשה שתוצאתו איומה ונוראה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 פסק דיני ב</w:t>
      </w:r>
      <w:hyperlink r:id="rId2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-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ם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2005/06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יחזקאל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18.4.2007</w:t>
      </w:r>
      <w:r>
        <w:rPr>
          <w:rFonts w:cs="Times New Roman" w:ascii="Times New Roman" w:hAnsi="Times New Roman"/>
          <w:rtl w:val="true"/>
        </w:rPr>
        <w:t xml:space="preserve">); </w:t>
      </w:r>
      <w:hyperlink r:id="rId2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6392/07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יחזקאל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30.4.2008</w:t>
      </w:r>
      <w:r>
        <w:rPr>
          <w:rFonts w:cs="Times New Roman" w:ascii="Times New Roman" w:hAnsi="Times New Roman"/>
          <w:rtl w:val="true"/>
        </w:rPr>
        <w:t xml:space="preserve">)). </w:t>
      </w:r>
      <w:r>
        <w:rPr>
          <w:rFonts w:ascii="Times New Roman" w:hAnsi="Times New Roman" w:cs="Times New Roman"/>
          <w:rtl w:val="true"/>
        </w:rPr>
        <w:t>בוודאי שהדבר עשוי להוות שיקול משמעותי לקולא בענישתו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אולם זה אינו המצב בעניין שלפנינו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הצדדים חתמו על הסדר טיעון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נימוקיהם עמהם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ובו מודה דרי כי לא ירה מחמת חשש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אובייקטיבי או סובייקטיבי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מפני המנוח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אלא ירה חרף העובדה שלא נשקפה ממנו סכנה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העונש שגזר עליו בית המשפט המחוזי אינו קרוב לבטא את החומרה שבמעשה מכוּון שכזה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כאשר מצרפים אליו את הרשלנות החמורה שגרמה למותו של המנוח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</w:rPr>
        <w:t>23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אחריות אדירה מוטלת על חייל ועל שוטר האוחזים בנשק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</w:t>
      </w:r>
      <w:r>
        <w:rPr>
          <w:rFonts w:ascii="Times New Roman" w:hAnsi="Times New Roman" w:cs="Times New Roman"/>
          <w:rtl w:val="true"/>
        </w:rPr>
        <w:t>א</w:t>
      </w:r>
      <w:r>
        <w:rPr>
          <w:rFonts w:ascii="Times New Roman" w:hAnsi="Times New Roman" w:cs="Times New Roman"/>
          <w:spacing w:val="0"/>
          <w:sz w:val="28"/>
          <w:sz w:val="28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קלה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cs="Times New Roman" w:ascii="Times New Roman" w:hAnsi="Times New Roman"/>
          <w:spacing w:val="0"/>
          <w:sz w:val="28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על ההדק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לא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כבדה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cs="Times New Roman" w:ascii="Times New Roman" w:hAnsi="Times New Roman"/>
          <w:rtl w:val="true"/>
        </w:rPr>
        <w:t>;</w:t>
      </w:r>
      <w:r>
        <w:rPr>
          <w:rFonts w:cs="Times New Roman" w:ascii="Times New Roman" w:hAnsi="Times New Roman"/>
          <w:spacing w:val="0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אחראית</w:t>
      </w:r>
      <w:r>
        <w:rPr>
          <w:rFonts w:ascii="Times New Roman" w:hAnsi="Times New Roman" w:cs="Times New Roman"/>
          <w:spacing w:val="0"/>
          <w:sz w:val="28"/>
          <w:sz w:val="28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על ההדק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להבחין בין הצלת נפש לבין שפיכות דמים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בידך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לעשות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ועתיד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משנה תורה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הלכות תשובה 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</w:t>
      </w:r>
      <w:r>
        <w:rPr>
          <w:rFonts w:cs="Times New Roman" w:ascii="Times New Roman" w:hAnsi="Times New Roman"/>
          <w:rtl w:val="true"/>
        </w:rPr>
        <w:t>).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בתכלית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4784/13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סומך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192</w:t>
      </w:r>
      <w:r>
        <w:rPr>
          <w:rtl w:val="true"/>
        </w:rPr>
        <w:t xml:space="preserve"> (</w:t>
      </w:r>
      <w:r>
        <w:rPr/>
        <w:t>18.2.2016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24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לצערנו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הנשק שניתן לדרי על מנת להציל את הנפש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שימש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בשל כוונת זדון לפצוע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ורשלנות חמורה שנלוותה לה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לשפיכות דמים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במבחן הזה כּשל דרי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עליו ליתן את הדין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cs="Times New Roman" w:ascii="Times New Roman" w:hAnsi="Times New Roman"/>
          <w:rtl w:val="true"/>
        </w:rPr>
        <w:tab/>
      </w: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Ruller42"/>
        <w:spacing w:lineRule="auto" w:line="24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והמנומקת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ודעתי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4497/18</w:t>
      </w:r>
      <w:r>
        <w:rPr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4499/18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Cs w:val="24"/>
          <w:rtl w:val="true"/>
        </w:rPr>
        <w:t>המשיב</w:t>
      </w:r>
      <w:r>
        <w:rPr>
          <w:rtl w:val="true"/>
        </w:rPr>
        <w:t xml:space="preserve">)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בקפידה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מצטברים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".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4497/18</w:t>
      </w:r>
      <w:r>
        <w:rPr>
          <w:rtl w:val="true"/>
        </w:rPr>
        <w:t xml:space="preserve"> </w:t>
      </w:r>
      <w:r>
        <w:rPr>
          <w:rtl w:val="true"/>
        </w:rPr>
        <w:t>והמשיבה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4499/18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Cs w:val="24"/>
          <w:rtl w:val="true"/>
        </w:rPr>
        <w:t>המערערת</w:t>
      </w:r>
      <w:r>
        <w:rPr>
          <w:rtl w:val="true"/>
        </w:rPr>
        <w:t xml:space="preserve">),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4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בשלב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מוקדם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הגיעו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להסדר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במסגרתו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הוגש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מתוקן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משלא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נוהל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הוכחות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להתבסס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פרישת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התשתית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העובדתית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הרלוונטית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לסטות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5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כאמור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הוצבה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פלוגתו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באזור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הכפר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ביתוניא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כחלק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מההיערכות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הנכבה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וחבריו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הוטל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להדוף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ולמנוע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כניסת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מפגינים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למחסום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ביתוניא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תפקידו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לבצע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כדורי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גומי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לפיזור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המפגינים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הצורך</w:t>
      </w:r>
      <w:r>
        <w:rPr>
          <w:sz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  <w:tab/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בשלב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לאזור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סדר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חלקם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רעולי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שיידו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קלע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וביידוי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העמדה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ממרחק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</w:t>
      </w:r>
      <w:r>
        <w:rPr>
          <w:sz w:val="28"/>
          <w:rtl w:val="true"/>
        </w:rPr>
        <w:t>-</w:t>
      </w:r>
      <w:r>
        <w:rPr>
          <w:sz w:val="28"/>
        </w:rPr>
        <w:t>60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80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מטרים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המנוח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ויידה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וחבריו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לכוח</w:t>
      </w:r>
      <w:r>
        <w:rPr>
          <w:sz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אירוע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במהלכו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קיבל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לבצע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במידת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הצורך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כדורי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גומי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sz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כארבע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דקות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שיידה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וחבריו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שיידוי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האבנים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נצפה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לכיוון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כשידיו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גופו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מטרתו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ברורה</w:t>
      </w:r>
      <w:r>
        <w:rPr>
          <w:sz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בשלב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במרחק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מהכוח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החליט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לפגוע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גומי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במנוח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... </w:t>
      </w:r>
      <w:r>
        <w:rPr>
          <w:sz w:val="28"/>
          <w:sz w:val="28"/>
          <w:rtl w:val="true"/>
        </w:rPr>
        <w:t>במטרה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לגרום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פציעה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נשקפה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לכוח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כאמור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העובדה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שמחסניתו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שנשא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הכילה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קליע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בידיעתו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משירה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במנוח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ופגע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בחזהו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נגרמה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התוצאה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הטרגית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6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מעבר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לעובדות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לצורך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הרקע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האפשרי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שהעיד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צ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בדימוס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במשטרת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אמיתי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בשלב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הטיעונים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sz w:val="28"/>
          <w:rtl w:val="true"/>
        </w:rPr>
        <w:t>, "</w:t>
      </w:r>
      <w:r>
        <w:rPr>
          <w:sz w:val="28"/>
          <w:sz w:val="28"/>
          <w:rtl w:val="true"/>
        </w:rPr>
        <w:t>מהמרחק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'] </w:t>
      </w:r>
      <w:r>
        <w:rPr>
          <w:sz w:val="28"/>
          <w:sz w:val="28"/>
          <w:rtl w:val="true"/>
        </w:rPr>
        <w:t>במנוח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פגיעתו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גומי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קשה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עדות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נסתרה</w:t>
      </w:r>
      <w:r>
        <w:rPr>
          <w:sz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7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לאור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המסכת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העובדתית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שתוארה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מקבל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פרשנותו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בגדר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עשיית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עצמית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פעולת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עונשין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משבחרה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לנהל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הוכחות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ראייתיים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וטעמיה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ביכולתה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להניח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הנחות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המרעות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כוונה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זדונית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הירי</w:t>
      </w:r>
      <w:r>
        <w:rPr>
          <w:sz w:val="28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מעבר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לאמור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התכוון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לגרום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פציעה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יתירה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מזאת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האפשרות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שמבחינה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אובייקטיבית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נשקפה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</w:t>
      </w:r>
      <w:r>
        <w:rPr>
          <w:sz w:val="28"/>
          <w:sz w:val="28"/>
          <w:rtl w:val="true"/>
        </w:rPr>
        <w:t>מהמנוח</w:t>
      </w:r>
      <w:r>
        <w:rPr>
          <w:sz w:val="28"/>
          <w:rtl w:val="true"/>
        </w:rPr>
        <w:t xml:space="preserve">] </w:t>
      </w:r>
      <w:r>
        <w:rPr>
          <w:sz w:val="28"/>
          <w:sz w:val="28"/>
          <w:rtl w:val="true"/>
        </w:rPr>
        <w:t>סכנה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לכוח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כאמור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סובייקטיבית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מהמנוח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השתתף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ביידוי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האבנים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והפרת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וארבע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דקות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מסיבה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באופן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שבהחלט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לעורר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חשדו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sz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  <w:tab/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לזכור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סדיר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נשלח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לביצוע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תפקידו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כאמור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ניצב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מתפרעים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מוסת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שהשליך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sz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ביטוי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לתחושות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למצוא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לקצינת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שהובאו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בתסקיר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בגדרם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תיאר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נחיתות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השוטרים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המפגינים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והדגיש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</w:t>
      </w:r>
      <w:r>
        <w:rPr>
          <w:sz w:val="28"/>
          <w:sz w:val="28"/>
          <w:rtl w:val="true"/>
        </w:rPr>
        <w:t>את</w:t>
      </w:r>
      <w:r>
        <w:rPr>
          <w:sz w:val="28"/>
          <w:rtl w:val="true"/>
        </w:rPr>
        <w:t xml:space="preserve">] </w:t>
      </w:r>
      <w:r>
        <w:rPr>
          <w:sz w:val="28"/>
          <w:sz w:val="28"/>
          <w:rtl w:val="true"/>
        </w:rPr>
        <w:t>המתח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בעיצומו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כשברקע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ומתיחות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כללית</w:t>
      </w:r>
      <w:r>
        <w:rPr>
          <w:sz w:val="28"/>
          <w:rtl w:val="true"/>
        </w:rPr>
        <w:t>".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שחווה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מורכבת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יודע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בסיטואציה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מאיימת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טראומטית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רבה</w:t>
      </w:r>
      <w:r>
        <w:rPr>
          <w:sz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מסיבה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לנהוג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בזהירות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בוחנים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פעולותיהם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הביטחון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פעילות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מבצעית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במצבי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לחימה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בחינה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סטרילית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בתנאי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מעבדה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חכמה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שלאחר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לקחת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בחשבון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תנאי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השטח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ותחושות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הנפשות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הפועלות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בזמן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יפים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ברק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2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5604/94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אוסמה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חמד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ואח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ישראל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נח</w:t>
        </w:r>
      </w:hyperlink>
      <w:r>
        <w:rPr>
          <w:sz w:val="28"/>
          <w:rtl w:val="true"/>
        </w:rPr>
        <w:t>(</w:t>
      </w:r>
      <w:r>
        <w:rPr>
          <w:sz w:val="28"/>
        </w:rPr>
        <w:t>2</w:t>
      </w:r>
      <w:r>
        <w:rPr>
          <w:sz w:val="28"/>
          <w:rtl w:val="true"/>
        </w:rPr>
        <w:t xml:space="preserve">), </w:t>
      </w:r>
      <w:r>
        <w:rPr>
          <w:sz w:val="28"/>
        </w:rPr>
        <w:t>498</w:t>
      </w:r>
      <w:r>
        <w:rPr>
          <w:sz w:val="28"/>
          <w:rtl w:val="true"/>
        </w:rPr>
        <w:t xml:space="preserve"> (</w:t>
      </w:r>
      <w:r>
        <w:rPr>
          <w:sz w:val="28"/>
        </w:rPr>
        <w:t>2004</w:t>
      </w:r>
      <w:r>
        <w:rPr>
          <w:sz w:val="28"/>
          <w:rtl w:val="true"/>
        </w:rPr>
        <w:t>):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וחירום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גרמו</w:t>
      </w:r>
      <w:r>
        <w:rPr>
          <w:rtl w:val="true"/>
        </w:rPr>
        <w:t xml:space="preserve">, </w:t>
      </w:r>
      <w:r>
        <w:rPr>
          <w:rtl w:val="true"/>
        </w:rPr>
        <w:t>המונעים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להתכונן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שסבבו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מעבדה</w:t>
      </w:r>
      <w:r>
        <w:rPr>
          <w:rtl w:val="true"/>
        </w:rPr>
        <w:t>'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מוירא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הארדן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ג</w:t>
      </w:r>
      <w:r>
        <w:rPr>
          <w:rFonts w:cs="Miriam" w:ascii="Century" w:hAnsi="Century"/>
          <w:b/>
          <w:szCs w:val="24"/>
          <w:rtl w:val="true"/>
        </w:rPr>
        <w:t>'</w:t>
      </w:r>
      <w:r>
        <w:rPr>
          <w:rFonts w:ascii="Century" w:hAnsi="Century" w:cs="Miriam"/>
          <w:b/>
          <w:b/>
          <w:szCs w:val="24"/>
          <w:rtl w:val="true"/>
        </w:rPr>
        <w:t>ילאני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(</w:t>
      </w:r>
      <w:r>
        <w:rPr/>
        <w:t>20.7.2014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בחינת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צריכה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להיעשות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התחשבות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באווירה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המתוחה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לנתק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מהאירועים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שהתרחשו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דקות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ספורות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ובפרט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מהעובדה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שהמנוח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להתעלם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מההנחיה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הברורה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ולחברו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לבצע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כדורי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גומי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לפיהן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בוצע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שיידוי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האבנים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פסק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ובעת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נשקפה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</w:t>
      </w:r>
      <w:r>
        <w:rPr>
          <w:sz w:val="28"/>
          <w:sz w:val="28"/>
          <w:rtl w:val="true"/>
        </w:rPr>
        <w:t>מהמנוח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'] </w:t>
      </w:r>
      <w:r>
        <w:rPr>
          <w:sz w:val="28"/>
          <w:sz w:val="28"/>
          <w:rtl w:val="true"/>
        </w:rPr>
        <w:t>סכנה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לכוח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עלינו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עיניו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בזמן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בחלוף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ארבע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דקות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מיידוי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האבנים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מודע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לעובדה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שתמו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שהמנוח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שהשתתף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בהפרות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וצעד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מהווה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איום</w:t>
      </w:r>
      <w:r>
        <w:rPr>
          <w:sz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rFonts w:eastAsia="Arial TUR" w:cs="Arial TUR"/>
          <w:sz w:val="28"/>
          <w:rtl w:val="true"/>
        </w:rPr>
        <w:t xml:space="preserve">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להדגיש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מחלוקת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שהמחסנית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שברשותו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מכילה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קליע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ועל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הכוונה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לפצוע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שמיוחסת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sz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להמעיט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בתוצאות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צעיר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להמעיט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בפגיעה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שנגרמה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למשפחתו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ובתחושות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האובדן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הכאב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והסבל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מנשוא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שמלוות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מאז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בטרם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כמתואר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חולק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sz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יחד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משלא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נוהל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הוכחות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דעתי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לייחס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כוונת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זדון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במעשיו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מכלול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בראיה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8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מתסקירי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שהוגש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התסקיר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המשלים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שהונח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קיבל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ומוחלטת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ולתוצאתם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החמורה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בהתייחסותו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לאירוע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בולטת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האמפתיה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ולמשפחתו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בדגש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הצעיר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הפגיעה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במשפחתו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התרשמותו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זוהי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תחושתו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האמיתית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והכנה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שמשים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בעונשו</w:t>
      </w:r>
      <w:r>
        <w:rPr>
          <w:sz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בסיכומו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תסקיר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המשלים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הונח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הומלץ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להחמיר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בפרק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הסיכום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בתסקיר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הלשון</w:t>
      </w:r>
      <w:r>
        <w:rPr>
          <w:sz w:val="28"/>
          <w:rtl w:val="true"/>
        </w:rPr>
        <w:t>: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מהיכרותנו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ומהמפגש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בערעורים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ותוצאותיו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שמבטא</w:t>
      </w:r>
      <w:r>
        <w:rPr>
          <w:rtl w:val="true"/>
        </w:rPr>
        <w:t xml:space="preserve">, </w:t>
      </w:r>
      <w:r>
        <w:rPr>
          <w:rtl w:val="true"/>
        </w:rPr>
        <w:t>למסוגלותו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ואמפתית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ולמאמץ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והתפקודי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שמשקיע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כמתואר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לטעמי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משקל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להמלצת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הודייתו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ומחוצה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קבלת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מוחלטת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סייג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תחושת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כשלון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אישי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כלשונו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והאמפתיה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מהוות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כולן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גורם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בקביעת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9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המערערת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בטיעוניה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בעיקר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הרתעת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וביקשה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באמצעות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החמרת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להעביר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מסר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וברור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בכל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הנוגע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להקפדה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שימוש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והימנעות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מוחלטת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משימוש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מבצעית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בנסיבות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בהיותו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ששירת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במג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נדמה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ההתייחסות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להרתעת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מכוונת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צה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ערכים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כקדושת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טוהר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כבוד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האדם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ושמירה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שלמות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גופו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מהווים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ערכים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ראשונים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ולטעמי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ערכים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ההולכים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כעמוד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המחנה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ומבלי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להתעלם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מהתוצאה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הטרגית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שנגרמה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מהירי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שביצע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מסופקני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שתוארו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המתאים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להשגת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התכלית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הרתעת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המבוקשת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המערערת</w:t>
      </w:r>
      <w:r>
        <w:rPr>
          <w:sz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בחירתו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וקבלת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מצידו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תוצאתם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מעידה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ההולם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להגשים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התכלית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ההרתעתית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בבחינת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וייראו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10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חלוף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הזמן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מהווה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להתערב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האירוע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התרחש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מארבע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במהלכן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ומחצה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במעצר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ולאחר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בתנאי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פיקוח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אלקטרוני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כמעט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הגבלת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חירותו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בטרם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הרלוונטיים</w:t>
      </w:r>
      <w:r>
        <w:rPr>
          <w:sz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כעולה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מתסקיר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הופיע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לאחרונה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שחרורים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התערבות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צפוי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להשתחרר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11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מלאכת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האיזון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מורכב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ועיקר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העונש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נוטה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אמנם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התחתון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שקבע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בסופו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חורג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ממדיניות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המקובלת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שתוארו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כעולה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מכלול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ולחומרא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לנגד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עיניו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בטרם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כיום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בחלוף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מארבע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מהאירוע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נכון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לטעמי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להותיר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כנו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12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מטעם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ומהטעמים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שפורטו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תשמע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יידחו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לחומרא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spacing w:lineRule="auto" w:line="48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bookmarkStart w:id="17" w:name="_GoBack"/>
      <w:bookmarkEnd w:id="17"/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חבריי</w:t>
      </w:r>
      <w:r>
        <w:rPr>
          <w:rtl w:val="true"/>
        </w:rPr>
        <w:t xml:space="preserve">, </w:t>
      </w:r>
      <w:r>
        <w:rPr>
          <w:rtl w:val="true"/>
        </w:rPr>
        <w:t>מצטרף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דרי</w:t>
      </w:r>
      <w:r>
        <w:rPr>
          <w:rtl w:val="true"/>
        </w:rPr>
        <w:t xml:space="preserve">)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... </w:t>
      </w:r>
      <w:r>
        <w:rPr>
          <w:rtl w:val="true"/>
        </w:rPr>
        <w:t>וכיוון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מהמרפסת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לנהלים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פציעה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לכוח</w:t>
      </w:r>
      <w:r>
        <w:rPr>
          <w:rtl w:val="true"/>
        </w:rPr>
        <w:t xml:space="preserve">". </w:t>
      </w:r>
      <w:r>
        <w:rPr>
          <w:rtl w:val="true"/>
        </w:rPr>
        <w:t>צודק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זדונית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פציעה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המיטיבות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סובייקטיבית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מהמנוח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נשקפה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לכוח</w:t>
      </w:r>
      <w:r>
        <w:rPr>
          <w:rtl w:val="true"/>
        </w:rPr>
        <w:t>" (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לפצעו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מההנחייה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נשקו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בכדורי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כנדרש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הירי</w:t>
      </w:r>
      <w:r>
        <w:rPr>
          <w:rtl w:val="true"/>
        </w:rPr>
        <w:t>" (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תחמיש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תרמיל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קליע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גומי</w:t>
      </w:r>
      <w:r>
        <w:rPr>
          <w:rtl w:val="true"/>
        </w:rPr>
        <w:t xml:space="preserve">. </w:t>
      </w:r>
      <w:r>
        <w:rPr>
          <w:rtl w:val="true"/>
        </w:rPr>
        <w:t>התחמיש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המיטיבות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בסכנה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והנלחמים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המסכנים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.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השטח</w:t>
      </w:r>
      <w:r>
        <w:rPr>
          <w:rtl w:val="true"/>
        </w:rPr>
        <w:t xml:space="preserve">; </w:t>
      </w:r>
      <w:r>
        <w:rPr>
          <w:rtl w:val="true"/>
        </w:rPr>
        <w:t>הלחץ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tl w:val="true"/>
        </w:rPr>
        <w:t xml:space="preserve">;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; </w:t>
      </w:r>
      <w:r>
        <w:rPr>
          <w:rtl w:val="true"/>
        </w:rPr>
        <w:t>הגבול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ההצלחה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והכישלון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; </w:t>
      </w:r>
      <w:r>
        <w:rPr>
          <w:rtl w:val="true"/>
        </w:rPr>
        <w:t>הקשיים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; </w:t>
      </w:r>
      <w:r>
        <w:rPr>
          <w:rtl w:val="true"/>
        </w:rPr>
        <w:t>הרצון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תסבכם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והסמויים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מלאכה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פועלם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צריכים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חת</w:t>
      </w:r>
      <w:r>
        <w:rPr>
          <w:rtl w:val="true"/>
        </w:rPr>
        <w:t xml:space="preserve">. </w:t>
      </w:r>
      <w:r>
        <w:rPr>
          <w:rtl w:val="true"/>
        </w:rPr>
        <w:t>שלנגד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ההצלחה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המשימה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רחוק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. </w:t>
      </w:r>
      <w:r>
        <w:rPr>
          <w:rtl w:val="true"/>
        </w:rPr>
        <w:t>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מהגבול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האסור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" </w:t>
      </w:r>
      <w:r>
        <w:rPr>
          <w:rtl w:val="true"/>
        </w:rPr>
        <w:t>במסמך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", </w:t>
      </w:r>
      <w:r>
        <w:rPr>
          <w:rtl w:val="true"/>
        </w:rPr>
        <w:t>המהווה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וחיילת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",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: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וישמור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בלחימה</w:t>
      </w:r>
      <w:r>
        <w:rPr>
          <w:rtl w:val="true"/>
        </w:rPr>
        <w:t xml:space="preserve">. </w:t>
      </w:r>
      <w:r>
        <w:rPr>
          <w:rtl w:val="true"/>
        </w:rPr>
        <w:t>החייל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לוחמים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ובשבויים</w:t>
      </w:r>
      <w:r>
        <w:rPr>
          <w:rtl w:val="true"/>
        </w:rPr>
        <w:t xml:space="preserve">, </w:t>
      </w:r>
      <w:r>
        <w:rPr>
          <w:rtl w:val="true"/>
        </w:rPr>
        <w:t>ויעשה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בחייהם</w:t>
      </w:r>
      <w:r>
        <w:rPr>
          <w:rtl w:val="true"/>
        </w:rPr>
        <w:t xml:space="preserve">, </w:t>
      </w:r>
      <w:r>
        <w:rPr>
          <w:rtl w:val="true"/>
        </w:rPr>
        <w:t>בגופם</w:t>
      </w:r>
      <w:r>
        <w:rPr>
          <w:rtl w:val="true"/>
        </w:rPr>
        <w:t xml:space="preserve">, </w:t>
      </w:r>
      <w:r>
        <w:rPr>
          <w:rtl w:val="true"/>
        </w:rPr>
        <w:t>בכבודם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וברכושם</w:t>
      </w:r>
      <w:r>
        <w:rPr>
          <w:rtl w:val="true"/>
        </w:rPr>
        <w:t xml:space="preserve">." </w:t>
      </w:r>
    </w:p>
    <w:p>
      <w:pPr>
        <w:pStyle w:val="ListParagraph"/>
        <w:bidi w:val="1"/>
        <w:spacing w:lineRule="auto" w:line="24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  <w:lang w:bidi="he-IL"/>
        </w:rPr>
      </w:pPr>
      <w:r>
        <w:rPr>
          <w:rFonts w:cs="David" w:ascii="David" w:hAnsi="David"/>
          <w:sz w:val="24"/>
          <w:szCs w:val="24"/>
          <w:rtl w:val="true"/>
          <w:lang w:bidi="he-IL"/>
        </w:rPr>
      </w:r>
    </w:p>
    <w:p>
      <w:pPr>
        <w:pStyle w:val="ListParagraph"/>
        <w:bidi w:val="1"/>
        <w:spacing w:lineRule="auto" w:line="48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  <w:lang w:bidi="he-IL"/>
        </w:rPr>
      </w:pPr>
      <w:r>
        <w:rPr>
          <w:rFonts w:cs="David" w:ascii="David" w:hAnsi="David"/>
          <w:sz w:val="24"/>
          <w:szCs w:val="24"/>
          <w:rtl w:val="true"/>
          <w:lang w:bidi="he-IL"/>
        </w:rPr>
      </w:r>
    </w:p>
    <w:p>
      <w:pPr>
        <w:pStyle w:val="ListParagraph"/>
        <w:bidi w:val="1"/>
        <w:spacing w:lineRule="auto" w:line="360" w:before="0" w:after="0"/>
        <w:ind w:firstLine="720" w:start="0" w:end="0"/>
        <w:contextualSpacing/>
        <w:jc w:val="both"/>
        <w:rPr>
          <w:rFonts w:ascii="Century" w:hAnsi="Century" w:cs="FrankRuehl"/>
          <w:spacing w:val="10"/>
          <w:szCs w:val="28"/>
          <w:lang w:bidi="he-IL"/>
        </w:rPr>
      </w:pPr>
      <w:r>
        <w:rPr>
          <w:rFonts w:ascii="Century" w:hAnsi="Century" w:cs="FrankRuehl"/>
          <w:spacing w:val="10"/>
          <w:szCs w:val="28"/>
          <w:rtl w:val="true"/>
          <w:lang w:bidi="he-IL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bidi="he-IL"/>
        </w:rPr>
        <w:t>שהצביע</w:t>
      </w:r>
      <w:r>
        <w:rPr>
          <w:rFonts w:ascii="Century" w:hAnsi="Century" w:eastAsia="Century" w:cs="Century"/>
          <w:spacing w:val="10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bidi="he-IL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bidi="he-IL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  <w:lang w:bidi="he-IL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  <w:lang w:bidi="he-IL"/>
        </w:rPr>
        <w:t>סולברג</w:t>
      </w:r>
      <w:r>
        <w:rPr>
          <w:rFonts w:cs="FrankRuehl" w:ascii="Century" w:hAnsi="Century"/>
          <w:spacing w:val="10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  <w:lang w:bidi="he-IL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bidi="he-IL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bidi="he-IL"/>
        </w:rPr>
        <w:t>דרי</w:t>
      </w:r>
      <w:r>
        <w:rPr>
          <w:rFonts w:ascii="Century" w:hAnsi="Century" w:eastAsia="Century" w:cs="Century"/>
          <w:spacing w:val="10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bidi="he-IL"/>
        </w:rPr>
        <w:t>פגע</w:t>
      </w:r>
      <w:r>
        <w:rPr>
          <w:rFonts w:ascii="Century" w:hAnsi="Century" w:cs="FrankRuehl"/>
          <w:spacing w:val="10"/>
          <w:szCs w:val="28"/>
          <w:rtl w:val="true"/>
          <w:lang w:bidi="he-IL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bidi="he-IL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bidi="he-IL"/>
        </w:rPr>
        <w:t>בערך</w:t>
      </w:r>
      <w:r>
        <w:rPr>
          <w:rFonts w:ascii="Century" w:hAnsi="Century" w:eastAsia="Century" w:cs="Century"/>
          <w:spacing w:val="10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bidi="he-IL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bidi="he-IL"/>
        </w:rPr>
        <w:t>טוהר</w:t>
      </w:r>
      <w:r>
        <w:rPr>
          <w:rFonts w:ascii="Century" w:hAnsi="Century" w:eastAsia="Century" w:cs="Century"/>
          <w:spacing w:val="10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  <w:lang w:bidi="he-IL"/>
        </w:rPr>
        <w:t>הנשק</w:t>
      </w:r>
      <w:r>
        <w:rPr>
          <w:rFonts w:cs="FrankRuehl" w:ascii="Century" w:hAnsi="Century"/>
          <w:spacing w:val="10"/>
          <w:szCs w:val="28"/>
          <w:rtl w:val="true"/>
          <w:lang w:bidi="he-IL"/>
        </w:rPr>
        <w:t>.</w:t>
      </w:r>
    </w:p>
    <w:p>
      <w:pPr>
        <w:pStyle w:val="ListParagraph"/>
        <w:bidi w:val="1"/>
        <w:spacing w:lineRule="auto" w:line="360" w:before="0" w:after="0"/>
        <w:ind w:firstLine="720" w:start="0" w:end="0"/>
        <w:contextualSpacing/>
        <w:jc w:val="both"/>
        <w:rPr>
          <w:rFonts w:ascii="Century" w:hAnsi="Century" w:cs="FrankRuehl"/>
          <w:spacing w:val="10"/>
          <w:szCs w:val="28"/>
          <w:lang w:bidi="he-IL"/>
        </w:rPr>
      </w:pPr>
      <w:r>
        <w:rPr>
          <w:rFonts w:cs="FrankRuehl" w:ascii="Century" w:hAnsi="Century"/>
          <w:spacing w:val="10"/>
          <w:szCs w:val="28"/>
          <w:rtl w:val="true"/>
          <w:lang w:bidi="he-IL"/>
        </w:rPr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.  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לפיכך הוחלט ברוב דעות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 xml:space="preserve">כנגד דעתו החולקת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כאמור בפסק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ascii="Century" w:hAnsi="Century" w:cs="Century"/>
          <w:sz w:val="28"/>
          <w:sz w:val="28"/>
          <w:rtl w:val="true"/>
        </w:rPr>
        <w:t xml:space="preserve">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2"/>
        <w:spacing w:lineRule="auto" w:line="480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28"/>
        </w:rPr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באלול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19.8.2018</w:t>
      </w:r>
      <w:r>
        <w:rPr>
          <w:rtl w:val="true"/>
        </w:rPr>
        <w:t xml:space="preserve">). </w:t>
      </w:r>
    </w:p>
    <w:p>
      <w:pPr>
        <w:pStyle w:val="Ruller42"/>
        <w:spacing w:lineRule="auto" w:line="480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2"/>
        <w:spacing w:lineRule="auto" w:line="48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rFonts w:eastAsia="Arial TUR" w:cs="Arial TUR"/>
                <w:rtl w:val="true"/>
              </w:rPr>
              <w:t xml:space="preserve">    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18044970</w:t>
      </w:r>
      <w:r>
        <w:rPr>
          <w:sz w:val="16"/>
          <w:rtl w:val="true"/>
        </w:rPr>
        <w:t>_</w:t>
      </w:r>
      <w:r>
        <w:rPr>
          <w:sz w:val="16"/>
        </w:rPr>
        <w:t>O04.doc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9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54678313-4497/18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4497/18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בן דרי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9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Ruller5">
    <w:name w:val="Ruller5 תו"/>
    <w:qFormat/>
    <w:rPr>
      <w:rFonts w:ascii="Arial TUR" w:hAnsi="Arial TUR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ListParagraphChar">
    <w:name w:val="List Paragraph Char"/>
    <w:qFormat/>
    <w:rPr>
      <w:rFonts w:ascii="Calibri" w:hAnsi="Calibri" w:eastAsia="Calibri" w:cs="Arial"/>
      <w:sz w:val="22"/>
      <w:szCs w:val="22"/>
      <w:lang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ind w:hanging="0" w:start="0" w:end="0"/>
      <w:jc w:val="both"/>
      <w:textAlignment w:val="auto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overflowPunct w:val="true"/>
      <w:autoSpaceDE w:val="true"/>
      <w:bidi w:val="0"/>
      <w:spacing w:lineRule="auto" w:line="257" w:before="0" w:after="160"/>
      <w:ind w:hanging="0" w:start="720" w:end="720"/>
      <w:contextualSpacing/>
      <w:jc w:val="start"/>
      <w:textAlignment w:val="auto"/>
    </w:pPr>
    <w:rPr>
      <w:rFonts w:ascii="Calibri" w:hAnsi="Calibri" w:eastAsia="Calibri" w:cs="Arial"/>
      <w:sz w:val="22"/>
      <w:szCs w:val="22"/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7746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304" TargetMode="External"/><Relationship Id="rId6" Type="http://schemas.openxmlformats.org/officeDocument/2006/relationships/hyperlink" Target="http://www.nevo.co.il/law/70301/334" TargetMode="External"/><Relationship Id="rId7" Type="http://schemas.openxmlformats.org/officeDocument/2006/relationships/hyperlink" Target="http://www.nevo.co.il/law/70301/335" TargetMode="External"/><Relationship Id="rId8" Type="http://schemas.openxmlformats.org/officeDocument/2006/relationships/hyperlink" Target="http://www.nevo.co.il/safrut/book/13639" TargetMode="External"/><Relationship Id="rId9" Type="http://schemas.openxmlformats.org/officeDocument/2006/relationships/hyperlink" Target="http://www.nevo.co.il/safrut/book/13639" TargetMode="External"/><Relationship Id="rId10" Type="http://schemas.openxmlformats.org/officeDocument/2006/relationships/hyperlink" Target="http://www.nevo.co.il/case/18177463" TargetMode="External"/><Relationship Id="rId11" Type="http://schemas.openxmlformats.org/officeDocument/2006/relationships/hyperlink" Target="http://www.nevo.co.il/law/70301/334" TargetMode="External"/><Relationship Id="rId12" Type="http://schemas.openxmlformats.org/officeDocument/2006/relationships/hyperlink" Target="http://www.nevo.co.il/law/70301/33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04" TargetMode="External"/><Relationship Id="rId15" Type="http://schemas.openxmlformats.org/officeDocument/2006/relationships/hyperlink" Target="http://www.nevo.co.il/case/22268439" TargetMode="External"/><Relationship Id="rId16" Type="http://schemas.openxmlformats.org/officeDocument/2006/relationships/hyperlink" Target="http://www.nevo.co.il/law/70301/40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5875466" TargetMode="External"/><Relationship Id="rId19" Type="http://schemas.openxmlformats.org/officeDocument/2006/relationships/hyperlink" Target="http://www.nevo.co.il/case/21506839" TargetMode="External"/><Relationship Id="rId20" Type="http://schemas.openxmlformats.org/officeDocument/2006/relationships/hyperlink" Target="http://www.nevo.co.il/case/20952936" TargetMode="External"/><Relationship Id="rId21" Type="http://schemas.openxmlformats.org/officeDocument/2006/relationships/hyperlink" Target="http://www.nevo.co.il/case/5711797" TargetMode="External"/><Relationship Id="rId22" Type="http://schemas.openxmlformats.org/officeDocument/2006/relationships/hyperlink" Target="http://www.nevo.co.il/case/6097917" TargetMode="External"/><Relationship Id="rId23" Type="http://schemas.openxmlformats.org/officeDocument/2006/relationships/hyperlink" Target="http://www.nevo.co.il/safrut/book/13639" TargetMode="External"/><Relationship Id="rId24" Type="http://schemas.openxmlformats.org/officeDocument/2006/relationships/hyperlink" Target="http://www.nevo.co.il/case/2248579" TargetMode="External"/><Relationship Id="rId25" Type="http://schemas.openxmlformats.org/officeDocument/2006/relationships/hyperlink" Target="http://www.nevo.co.il/case/5977210" TargetMode="External"/><Relationship Id="rId26" Type="http://schemas.openxmlformats.org/officeDocument/2006/relationships/hyperlink" Target="http://www.nevo.co.il/case/7760325" TargetMode="External"/><Relationship Id="rId27" Type="http://schemas.openxmlformats.org/officeDocument/2006/relationships/hyperlink" Target="http://www.nevo.co.il/case/5816349" TargetMode="External"/><Relationship Id="rId28" Type="http://schemas.openxmlformats.org/officeDocument/2006/relationships/hyperlink" Target="http://www.nevo.co.il/case/5571033" TargetMode="External"/><Relationship Id="rId29" Type="http://schemas.openxmlformats.org/officeDocument/2006/relationships/hyperlink" Target="https://supreme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2018-08-26T13:24:00Z</dcterms:created>
  <dc:creator> </dc:creator>
  <dc:description/>
  <cp:keywords/>
  <dc:language>en-IL</dc:language>
  <cp:lastModifiedBy>yafit</cp:lastModifiedBy>
  <cp:lastPrinted>2018-08-15T16:04:00Z</cp:lastPrinted>
  <dcterms:modified xsi:type="dcterms:W3CDTF">2018-08-26T13:24:00Z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בן דרי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13639</vt:lpwstr>
  </property>
  <property fmtid="{D5CDD505-2E9C-101B-9397-08002B2CF9AE}" pid="9" name="CASESLISTTMP1">
    <vt:lpwstr>18177463:2;22268439;5875466;21506839;20952936;5711797;6097917;5977210;7760325;5816349;5571033</vt:lpwstr>
  </property>
  <property fmtid="{D5CDD505-2E9C-101B-9397-08002B2CF9AE}" pid="10" name="CITY">
    <vt:lpwstr/>
  </property>
  <property fmtid="{D5CDD505-2E9C-101B-9397-08002B2CF9AE}" pid="11" name="DATE">
    <vt:lpwstr>20180819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סולברג;ד' מינץ;י' אלרון</vt:lpwstr>
  </property>
  <property fmtid="{D5CDD505-2E9C-101B-9397-08002B2CF9AE}" pid="15" name="LAWLISTTMP1">
    <vt:lpwstr>70301/040b;304;334;335</vt:lpwstr>
  </property>
  <property fmtid="{D5CDD505-2E9C-101B-9397-08002B2CF9AE}" pid="16" name="LAWYER">
    <vt:lpwstr>ציון אמיר;ג'ני סולטנוביץ';הילה גורני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צבא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86;77;77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1570;1446;1446</vt:lpwstr>
  </property>
  <property fmtid="{D5CDD505-2E9C-101B-9397-08002B2CF9AE}" pid="49" name="NOSE31">
    <vt:lpwstr>ירי לעבר אדם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 לחומרה</vt:lpwstr>
  </property>
  <property fmtid="{D5CDD505-2E9C-101B-9397-08002B2CF9AE}" pid="52" name="NOSE33">
    <vt:lpwstr>מדיניות ענישה: התערבות ערכאת ערעור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15586;8995;8982</vt:lpwstr>
  </property>
  <property fmtid="{D5CDD505-2E9C-101B-9397-08002B2CF9AE}" pid="60" name="PADIDATE">
    <vt:lpwstr>20180820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4497;4499</vt:lpwstr>
  </property>
  <property fmtid="{D5CDD505-2E9C-101B-9397-08002B2CF9AE}" pid="66" name="PROCYEAR">
    <vt:lpwstr>18;18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410120180819</vt:lpwstr>
  </property>
  <property fmtid="{D5CDD505-2E9C-101B-9397-08002B2CF9AE}" pid="70" name="TYPE_N_DATE">
    <vt:lpwstr>41020180819</vt:lpwstr>
  </property>
  <property fmtid="{D5CDD505-2E9C-101B-9397-08002B2CF9AE}" pid="71" name="VOLUME">
    <vt:lpwstr/>
  </property>
  <property fmtid="{D5CDD505-2E9C-101B-9397-08002B2CF9AE}" pid="72" name="WORDNUMPAGES">
    <vt:lpwstr>20</vt:lpwstr>
  </property>
</Properties>
</file>