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4511/20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מאק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קלמנוביץ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25.5.2020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20737-02-18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תשרי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 w:val="24"/>
                <w:szCs w:val="24"/>
                <w:rtl w:val="true"/>
              </w:rPr>
              <w:t>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29.9.2021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יעקב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קמר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אושרה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פטל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רוזנברג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יעקב קדמי 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על הראיות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הדין בראי הפסיקה 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3">
        <w:r>
          <w:rPr>
            <w:rtl w:val="true"/>
          </w:rPr>
        </w:r>
      </w:hyperlink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ascii="FrankRuehl" w:hAnsi="FrankRuehl" w:cs="FrankRuehl"/>
          <w:color w:val="0000FF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8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</w:rPr>
          <w:t>12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 xml:space="preserve">חוק לתיקון סדרי הדין 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חקירת עדים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</w:rPr>
          <w:t>1957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</w:rPr>
          <w:t>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spacing w:lineRule="exact" w:line="240" w:before="0" w:after="120"/>
        <w:ind w:hanging="283" w:start="283" w:end="0"/>
        <w:jc w:val="both"/>
        <w:rPr>
          <w:color w:val="0000FF"/>
        </w:rPr>
      </w:pPr>
      <w:r>
        <w:rPr>
          <w:color w:val="0000FF"/>
          <w:rtl w:val="true"/>
        </w:rPr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FrankRuehl"/>
          <w:szCs w:val="26"/>
        </w:rPr>
      </w:pPr>
      <w:bookmarkStart w:id="12" w:name="ABSTRACT_START"/>
      <w:bookmarkEnd w:id="12"/>
      <w:r>
        <w:rPr>
          <w:rFonts w:ascii="Times New Roman" w:hAnsi="Times New Roman" w:cs="FrankRuehl"/>
          <w:szCs w:val="26"/>
          <w:rtl w:val="true"/>
        </w:rPr>
        <w:t>מיני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רציו</w:t>
      </w:r>
      <w:r>
        <w:rPr>
          <w:rFonts w:cs="FrankRuehl" w:ascii="Times New Roman" w:hAnsi="Times New Roman"/>
          <w:szCs w:val="26"/>
          <w:rtl w:val="true"/>
        </w:rPr>
        <w:t>: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בימ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דחה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ערעור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אשר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הורשע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בביצוע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מגונה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בקטין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שטרם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מלאו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16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בהסכמתו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החופשית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הכרעת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שכן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אשמת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הוכחה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מעבר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לספק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סביר</w:t>
      </w:r>
      <w:r>
        <w:rPr>
          <w:rFonts w:cs="FrankRuehl" w:ascii="Times New Roman" w:hAnsi="Times New Roman"/>
          <w:szCs w:val="26"/>
          <w:rtl w:val="true"/>
        </w:rPr>
        <w:t xml:space="preserve">; </w:t>
      </w:r>
      <w:r>
        <w:rPr>
          <w:rFonts w:ascii="Times New Roman" w:hAnsi="Times New Roman" w:cs="FrankRuehl"/>
          <w:szCs w:val="26"/>
          <w:rtl w:val="true"/>
        </w:rPr>
        <w:t>עם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זאת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עונש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הופחת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ירצה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18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  <w:rtl w:val="true"/>
        </w:rPr>
        <w:t>(</w:t>
      </w:r>
      <w:r>
        <w:rPr>
          <w:rFonts w:ascii="Times New Roman" w:hAnsi="Times New Roman" w:cs="FrankRuehl"/>
          <w:szCs w:val="26"/>
          <w:rtl w:val="true"/>
        </w:rPr>
        <w:t>חלף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22</w:t>
      </w:r>
      <w:r>
        <w:rPr>
          <w:rFonts w:cs="FrankRuehl" w:ascii="Times New Roman" w:hAnsi="Times New Roman"/>
          <w:szCs w:val="26"/>
          <w:rtl w:val="true"/>
        </w:rPr>
        <w:t xml:space="preserve">) </w:t>
      </w:r>
      <w:r>
        <w:rPr>
          <w:rFonts w:ascii="Times New Roman" w:hAnsi="Times New Roman" w:cs="FrankRuehl"/>
          <w:szCs w:val="26"/>
          <w:rtl w:val="true"/>
        </w:rPr>
        <w:t>והמאסר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המותנה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הוגדל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cs="FrankRuehl" w:ascii="Times New Roman" w:hAnsi="Times New Roman"/>
          <w:szCs w:val="26"/>
        </w:rPr>
        <w:t>12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נוכח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גילו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ומצבו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הרפואי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דיון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פלילי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הרשעה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ערעור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דיון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פלילי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ערעור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התערבות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בממצאים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עובדתיים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דיון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פלילי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ערעור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התערבות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במידת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העונש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מדיניות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ascii="Times New Roman" w:hAnsi="Times New Roman" w:cs="FrankRuehl"/>
          <w:szCs w:val="26"/>
          <w:rtl w:val="true"/>
        </w:rPr>
        <w:t>עבירות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בקטינים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 xml:space="preserve">* </w:t>
      </w:r>
      <w:r>
        <w:rPr>
          <w:rFonts w:ascii="Times New Roman" w:hAnsi="Times New Roman" w:cs="FrankRuehl"/>
          <w:szCs w:val="26"/>
          <w:rtl w:val="true"/>
        </w:rPr>
        <w:t>עונשין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מדיניות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ענישה</w:t>
      </w:r>
      <w:r>
        <w:rPr>
          <w:rFonts w:cs="FrankRuehl" w:ascii="Times New Roman" w:hAnsi="Times New Roman"/>
          <w:szCs w:val="26"/>
          <w:rtl w:val="true"/>
        </w:rPr>
        <w:t xml:space="preserve">: </w:t>
      </w:r>
      <w:r>
        <w:rPr>
          <w:rFonts w:ascii="Times New Roman" w:hAnsi="Times New Roman" w:cs="FrankRuehl"/>
          <w:szCs w:val="26"/>
          <w:rtl w:val="true"/>
        </w:rPr>
        <w:t>שיקולים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לקולה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ערעור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הכרעת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דינו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וגזר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דינו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המחוזי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אשר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הרשיע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במעשה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מגונה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בקטין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שטרם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מלאו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16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בהסכמתו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החופשית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בעקבות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הרשעה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כאמור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נגזרו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22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לריצוי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בניכוי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ימי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מעצרו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תנאי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ותשלום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פיצוי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למתלונן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בסך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</w:rPr>
        <w:t>5,000</w:t>
      </w:r>
      <w:r>
        <w:rPr>
          <w:rFonts w:cs="FrankRuehl" w:ascii="Times New Roman" w:hAnsi="Times New Roman"/>
          <w:szCs w:val="26"/>
          <w:rtl w:val="true"/>
        </w:rPr>
        <w:t xml:space="preserve"> ₪.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FrankRuehl"/>
          <w:szCs w:val="26"/>
        </w:rPr>
      </w:pP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בית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העליון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cs="FrankRuehl" w:ascii="Times New Roman" w:hAnsi="Times New Roman"/>
          <w:szCs w:val="26"/>
          <w:rtl w:val="true"/>
        </w:rPr>
        <w:t>(</w:t>
      </w:r>
      <w:r>
        <w:rPr>
          <w:rFonts w:ascii="Times New Roman" w:hAnsi="Times New Roman" w:cs="FrankRuehl"/>
          <w:szCs w:val="26"/>
          <w:rtl w:val="true"/>
        </w:rPr>
        <w:t>מפי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השופט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שטיין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ובהסכמת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השופטים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עמית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וגרוסקופף</w:t>
      </w:r>
      <w:r>
        <w:rPr>
          <w:rFonts w:cs="FrankRuehl" w:ascii="Times New Roman" w:hAnsi="Times New Roman"/>
          <w:szCs w:val="26"/>
          <w:rtl w:val="true"/>
        </w:rPr>
        <w:t xml:space="preserve">) </w:t>
      </w:r>
      <w:r>
        <w:rPr>
          <w:rFonts w:ascii="Times New Roman" w:hAnsi="Times New Roman" w:cs="FrankRuehl"/>
          <w:szCs w:val="26"/>
          <w:rtl w:val="true"/>
        </w:rPr>
        <w:t>קיבל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הערעור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בחלקו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ופסק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cs="FrankRuehl" w:ascii="Times New Roman" w:hAnsi="Times New Roman"/>
          <w:szCs w:val="26"/>
          <w:rtl w:val="true"/>
        </w:rPr>
        <w:t>: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אשר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לערעור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ההרשעה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הלכה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העליון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בפועלו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כבית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משפט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לערעורים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פליליים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אינו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נכנס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לנעלי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הערכאה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הדיונית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ואינו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בוחן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מחדש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העדויות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שהערכאה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הדיונית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מצאה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כמהימנות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בסיס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התרשמותה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הישירה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ממוסריהן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התערבותו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בכך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שמורה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למקרים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חריגים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במיוחד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אשר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מעמידים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תשתית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ראייתית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רעועה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בעליל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טעות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משפטית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אשר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מקפחת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זכויותיו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שנמצא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חייב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בדינו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מקרה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אינו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נמנה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עליהם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בימ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קמא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ביסס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ממצאיו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עדות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המתלונן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אותה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מצא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ברורה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ומהימנה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בימ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התרשם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חקירה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אגרסיבית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נשארה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גרסת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המתלונן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יציבה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ואמינה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בימ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בחן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גרסאותיו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השונות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המתלונן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במשטרה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וקבע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אלו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תואמות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בגרעין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העובדתי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האירוע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ובתיאור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רוב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רובם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פרטי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האירוע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התמקדות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בגרעין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האירוע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להבדיל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מפרטיו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השוליים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היא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הדרך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הנכונה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לבחון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מהימנות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עדותו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נפגע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מעבירת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מין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בחינת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גרסאות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המתלונן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מלמדת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עקבי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בתיאור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הגרעין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העובדתי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האירוע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ואף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מעבר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לכך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לרבות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בכך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הסכים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למעשי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אשר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נפלה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טעות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בקביעות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העובדה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והמהימנות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קמא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ביחס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לעדות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המתלונן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השימוש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שנעשה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בהודעות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המתלונן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במשטרה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חרג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מהמוסכם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הצדדים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משפט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קמא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האמין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לגרסת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המתלונן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שהעיד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בפניו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בחן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גרסאותיו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האחרות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וקבע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בצדק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שאין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סתירות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מהותיות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העלולות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לפגום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במהימנותו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מדובר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בשימוש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באמרות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ascii="Times New Roman" w:hAnsi="Times New Roman" w:cs="FrankRuehl"/>
          <w:szCs w:val="26"/>
          <w:rtl w:val="true"/>
        </w:rPr>
        <w:t>חוץ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כראיה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עצם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אמירת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הדברים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כפי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שנאמרו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ידי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המתלונן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כעדות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שמיעה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דבר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שמותר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היה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לבימ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לעשות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כדי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להעריך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אמינות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עדותו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המתלונן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הסכמת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הנאשם</w:t>
      </w:r>
      <w:r>
        <w:rPr>
          <w:rFonts w:cs="FrankRuehl" w:ascii="Times New Roman" w:hAnsi="Times New Roman"/>
          <w:szCs w:val="26"/>
          <w:rtl w:val="true"/>
        </w:rPr>
        <w:t xml:space="preserve">; </w:t>
      </w:r>
      <w:r>
        <w:rPr>
          <w:rFonts w:ascii="Times New Roman" w:hAnsi="Times New Roman" w:cs="FrankRuehl"/>
          <w:szCs w:val="26"/>
          <w:rtl w:val="true"/>
        </w:rPr>
        <w:t>אף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נפלה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טעות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בהחלטת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קמא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לקבל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הודאת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במשטרה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כראיה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קבילה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הודאתו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תואמת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עיקר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המעשים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שהמתלונן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העיד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עליהם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סיפק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הסברים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למעשיו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בימ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קמא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בחן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הודאתו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ביסודיות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וקבע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נפל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שום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פגם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בהתנהלות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החוקר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עולה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חשד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לפגיעה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אפשרית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ברצונו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החופשי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במסירת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ההודאה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אף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בעדותו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בבימ</w:t>
      </w:r>
      <w:r>
        <w:rPr>
          <w:rFonts w:cs="FrankRuehl" w:ascii="Times New Roman" w:hAnsi="Times New Roman"/>
          <w:szCs w:val="26"/>
          <w:rtl w:val="true"/>
        </w:rPr>
        <w:t>"</w:t>
      </w:r>
      <w:r>
        <w:rPr>
          <w:rFonts w:ascii="Times New Roman" w:hAnsi="Times New Roman" w:cs="FrankRuehl"/>
          <w:szCs w:val="26"/>
          <w:rtl w:val="true"/>
        </w:rPr>
        <w:t>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הודה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בחלק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מהמעשים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המיוחסים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הכחיש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שאלו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נעשו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מתוך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מניע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אופי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מיני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טענות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מחדלי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חקירה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נדחו</w:t>
      </w:r>
      <w:r>
        <w:rPr>
          <w:rFonts w:cs="FrankRuehl" w:ascii="Times New Roman" w:hAnsi="Times New Roman"/>
          <w:szCs w:val="26"/>
          <w:rtl w:val="true"/>
        </w:rPr>
        <w:t xml:space="preserve">; </w:t>
      </w:r>
      <w:r>
        <w:rPr>
          <w:rFonts w:ascii="Times New Roman" w:hAnsi="Times New Roman" w:cs="FrankRuehl"/>
          <w:szCs w:val="26"/>
          <w:rtl w:val="true"/>
        </w:rPr>
        <w:t>הטענות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בדבר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התנהלות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המשפט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נדחו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בהעדר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בסיס</w:t>
      </w:r>
      <w:r>
        <w:rPr>
          <w:rFonts w:cs="FrankRuehl" w:ascii="Times New Roman" w:hAnsi="Times New Roman"/>
          <w:szCs w:val="26"/>
          <w:rtl w:val="true"/>
        </w:rPr>
        <w:t xml:space="preserve">; </w:t>
      </w:r>
      <w:r>
        <w:rPr>
          <w:rFonts w:ascii="Times New Roman" w:hAnsi="Times New Roman" w:cs="FrankRuehl"/>
          <w:szCs w:val="26"/>
          <w:rtl w:val="true"/>
        </w:rPr>
        <w:t>כן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נדחתה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הטענה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בדבר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קטיעת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עדותו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המתלונן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שכן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התקיימה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חקירה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נגדית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אפקטיבית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ומקיפה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והזמן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שהוקצב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לחקירה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סביר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לאור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כל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האמור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אשמת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במיוחס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בכתב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האישום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הוכחה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מעבר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לספק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סביר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הערעור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נגד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הכרעת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נדחה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/>
          <w:szCs w:val="26"/>
        </w:rPr>
      </w:pPr>
      <w:r>
        <w:rPr>
          <w:rFonts w:ascii="Times New Roman" w:hAnsi="Times New Roman" w:cs="FrankRuehl"/>
          <w:szCs w:val="26"/>
          <w:rtl w:val="true"/>
        </w:rPr>
        <w:t>אשר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לערעור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גזר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הדין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העונש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שנגזר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אינו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חורג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ממדיניות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הענישה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הנהוגה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במקרים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דומים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עם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זאת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לאור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גילו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מצבו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הרפואי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הלא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פשוט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ובפרט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בשל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האירוע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המוחי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שעבר</w:t>
      </w:r>
      <w:r>
        <w:rPr>
          <w:rFonts w:cs="FrankRuehl" w:ascii="Times New Roman" w:hAnsi="Times New Roman"/>
          <w:szCs w:val="26"/>
          <w:rtl w:val="true"/>
        </w:rPr>
        <w:t xml:space="preserve">, </w:t>
      </w:r>
      <w:r>
        <w:rPr>
          <w:rFonts w:ascii="Times New Roman" w:hAnsi="Times New Roman" w:cs="FrankRuehl"/>
          <w:szCs w:val="26"/>
          <w:rtl w:val="true"/>
        </w:rPr>
        <w:t>יש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להפחית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תקופת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המערער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לרצות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בפועל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cs="FrankRuehl" w:ascii="Times New Roman" w:hAnsi="Times New Roman"/>
          <w:szCs w:val="26"/>
        </w:rPr>
        <w:t>18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ולהגדיל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המאסר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המותנה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</w:t>
      </w:r>
      <w:r>
        <w:rPr>
          <w:rFonts w:cs="FrankRuehl" w:ascii="Times New Roman" w:hAnsi="Times New Roman"/>
          <w:szCs w:val="26"/>
          <w:rtl w:val="true"/>
        </w:rPr>
        <w:t>-</w:t>
      </w:r>
      <w:r>
        <w:rPr>
          <w:rFonts w:cs="FrankRuehl" w:ascii="Times New Roman" w:hAnsi="Times New Roman"/>
          <w:szCs w:val="26"/>
        </w:rPr>
        <w:t>12</w:t>
      </w:r>
      <w:r>
        <w:rPr>
          <w:rFonts w:cs="FrankRuehl" w:ascii="Times New Roman" w:hAnsi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חודשים</w:t>
      </w:r>
      <w:r>
        <w:rPr>
          <w:rFonts w:cs="FrankRuehl" w:ascii="Times New Roman" w:hAnsi="Times New Roman"/>
          <w:szCs w:val="26"/>
          <w:rtl w:val="true"/>
        </w:rPr>
        <w:t xml:space="preserve">. </w:t>
      </w:r>
      <w:r>
        <w:rPr>
          <w:rFonts w:ascii="Times New Roman" w:hAnsi="Times New Roman" w:cs="FrankRuehl"/>
          <w:szCs w:val="26"/>
          <w:rtl w:val="true"/>
        </w:rPr>
        <w:t>בפיצוי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שנפסק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לזכות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המתלונן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אין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מקום</w:t>
      </w:r>
      <w:r>
        <w:rPr>
          <w:rFonts w:ascii="Times New Roman" w:hAnsi="Times New Roman" w:cs="Times New Roman"/>
          <w:szCs w:val="26"/>
          <w:rtl w:val="true"/>
        </w:rPr>
        <w:t xml:space="preserve"> </w:t>
      </w:r>
      <w:r>
        <w:rPr>
          <w:rFonts w:ascii="Times New Roman" w:hAnsi="Times New Roman" w:cs="FrankRuehl"/>
          <w:szCs w:val="26"/>
          <w:rtl w:val="true"/>
        </w:rPr>
        <w:t>להתערב</w:t>
      </w:r>
      <w:r>
        <w:rPr>
          <w:rFonts w:cs="FrankRuehl" w:ascii="Times New Roman" w:hAnsi="Times New Roman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Times New Roman" w:hAnsi="Times New Roman" w:cs="FrankRuehl"/>
          <w:szCs w:val="26"/>
        </w:rPr>
      </w:pPr>
      <w:r>
        <w:rPr>
          <w:rFonts w:cs="FrankRuehl"/>
          <w:szCs w:val="26"/>
          <w:rtl w:val="true"/>
        </w:rPr>
      </w:r>
      <w:bookmarkStart w:id="13" w:name="ABSTRACT_END"/>
      <w:bookmarkStart w:id="14" w:name="ABSTRACT_END"/>
      <w:bookmarkEnd w:id="14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2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9" w:name="Start_Write"/>
      <w:bookmarkStart w:id="20" w:name="Start_Write"/>
      <w:bookmarkEnd w:id="20"/>
    </w:p>
    <w:p>
      <w:pPr>
        <w:pStyle w:val="Ruller43"/>
        <w:numPr>
          <w:ilvl w:val="0"/>
          <w:numId w:val="1"/>
        </w:numPr>
        <w:spacing w:lineRule="auto" w:line="360"/>
        <w:ind w:hanging="0" w:start="0" w:end="0"/>
        <w:jc w:val="both"/>
        <w:rPr>
          <w:rFonts w:cs="FrankRuehl"/>
          <w:sz w:val="28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ירושלים</w:t>
      </w:r>
      <w:r>
        <w:rPr>
          <w:rFonts w:eastAsia="Garamond" w:cs="Garamond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מאק</w:t>
      </w:r>
      <w:r>
        <w:rPr>
          <w:rFonts w:cs="Miriam" w:ascii="Century" w:hAnsi="Century"/>
          <w:b/>
          <w:sz w:val="22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קלמנוביץ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29.7.2019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24.6.2020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1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20737-0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2-18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בקטין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בהסכמתו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החופשית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3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348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1977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5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בסעיפים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345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hyperlink r:id="rId16"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345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נגזרו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בניכוי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5,000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3"/>
        <w:numPr>
          <w:ilvl w:val="0"/>
          <w:numId w:val="0"/>
        </w:numPr>
        <w:spacing w:lineRule="auto" w:line="360"/>
        <w:ind w:hanging="0" w:start="0" w:end="0"/>
        <w:jc w:val="both"/>
        <w:rPr>
          <w:rFonts w:cs="FrankRuehl"/>
          <w:sz w:val="16"/>
          <w:szCs w:val="16"/>
        </w:rPr>
      </w:pPr>
      <w:r>
        <w:rPr>
          <w:rFonts w:cs="FrankRuehl"/>
          <w:sz w:val="16"/>
          <w:szCs w:val="16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 w:val="14"/>
          <w:szCs w:val="16"/>
        </w:rPr>
      </w:pPr>
      <w:r>
        <w:rPr>
          <w:rFonts w:cs="Miriam" w:ascii="Century" w:hAnsi="Century"/>
          <w:b/>
          <w:spacing w:val="0"/>
          <w:sz w:val="14"/>
          <w:szCs w:val="16"/>
          <w:rtl w:val="true"/>
        </w:rPr>
      </w:r>
    </w:p>
    <w:p>
      <w:pPr>
        <w:pStyle w:val="Ruller43"/>
        <w:numPr>
          <w:ilvl w:val="0"/>
          <w:numId w:val="1"/>
        </w:numPr>
        <w:spacing w:lineRule="auto" w:line="360"/>
        <w:ind w:hanging="0" w:start="0" w:end="0"/>
        <w:jc w:val="both"/>
        <w:rPr>
          <w:rFonts w:cs="FrankRuehl"/>
          <w:sz w:val="28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31.1.</w:t>
      </w:r>
      <w:r>
        <w:rPr>
          <w:rFonts w:cs="FrankRuehl" w:ascii="Century" w:hAnsi="Century"/>
          <w:spacing w:val="10"/>
          <w:sz w:val="22"/>
          <w:szCs w:val="28"/>
        </w:rPr>
        <w:t>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והריים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9.11.2003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: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),</w:t>
      </w:r>
      <w:r>
        <w:rPr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לחנותו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למכור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מאפים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לקרוא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קריאתו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ילמדו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למחרת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10:00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לחנותו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הוביל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מגונים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ליטף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בישבנו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למכנסיים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הוציא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לעיניי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ימצוץ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2"/>
          <w:szCs w:val="28"/>
        </w:rPr>
      </w:pPr>
      <w:r>
        <w:rPr>
          <w:rFonts w:cs="FrankRuehl"/>
          <w:sz w:val="22"/>
          <w:szCs w:val="28"/>
          <w:rtl w:val="true"/>
        </w:rPr>
      </w:r>
    </w:p>
    <w:p>
      <w:pPr>
        <w:pStyle w:val="ruller411"/>
        <w:bidi w:val="1"/>
        <w:spacing w:lineRule="atLeast" w:line="330" w:before="0" w:after="0"/>
        <w:ind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rtl w:val="true"/>
        </w:rPr>
        <w:t>קמא</w:t>
      </w:r>
    </w:p>
    <w:p>
      <w:pPr>
        <w:pStyle w:val="Normal"/>
        <w:ind w:end="0"/>
        <w:jc w:val="both"/>
        <w:rPr>
          <w:rFonts w:ascii="Century" w:hAnsi="Century" w:cs="Miriam"/>
          <w:b/>
          <w:spacing w:val="0"/>
          <w:sz w:val="32"/>
          <w:szCs w:val="36"/>
        </w:rPr>
      </w:pPr>
      <w:r>
        <w:rPr>
          <w:rFonts w:cs="Miriam" w:ascii="Century" w:hAnsi="Century"/>
          <w:b/>
          <w:spacing w:val="0"/>
          <w:sz w:val="32"/>
          <w:szCs w:val="36"/>
          <w:rtl w:val="true"/>
        </w:rPr>
      </w:r>
    </w:p>
    <w:p>
      <w:pPr>
        <w:pStyle w:val="Ruller43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עזרה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בלימודים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המפגש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בתשובתו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לקבילות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הנחזים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כהודאה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  <w:spacing w:val="10"/>
          <w:sz w:val="22"/>
          <w:szCs w:val="28"/>
        </w:rPr>
      </w:pPr>
      <w:r>
        <w:rPr>
          <w:rFonts w:cs="Century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כפיר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נתקיימה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ואחריה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בהסכמת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זוטא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שברגיל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נשמעות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זוטא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הובאו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ההוכחות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המרכזיות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ומהימנה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ניכרו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שטף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וביטחון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גרסאותיו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תאמו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רובם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סתירות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ניכרו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סימנים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  <w:spacing w:val="10"/>
          <w:sz w:val="22"/>
          <w:szCs w:val="28"/>
        </w:rPr>
      </w:pPr>
      <w:r>
        <w:rPr>
          <w:rFonts w:cs="Century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מרצונו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והחופשי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שהופעלו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אמצעים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שהובטחו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הבטחות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כלשהן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מלקבלה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ּ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לאמיתות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תוכנה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7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12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הראיות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1971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שהניח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כשמכנסיו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מופשלים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צרכיו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מבהיר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נועדה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לנזוף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צרכיו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למחדלי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שמלכתחילה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בסביבת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השפעה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מחלוקת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ולזהותם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מחדלי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הרחבת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להיעדרות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והימנעות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משחזור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מביקור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מהלכי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חיוניים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בכללותו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בהגנת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  <w:spacing w:val="10"/>
          <w:sz w:val="22"/>
          <w:szCs w:val="28"/>
        </w:rPr>
      </w:pPr>
      <w:r>
        <w:rPr>
          <w:rFonts w:cs="Century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במיוחס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Ruller43"/>
        <w:numPr>
          <w:ilvl w:val="0"/>
          <w:numId w:val="0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14"/>
          <w:szCs w:val="20"/>
        </w:rPr>
      </w:pPr>
      <w:r>
        <w:rPr>
          <w:rFonts w:cs="FrankRuehl" w:ascii="Century" w:hAnsi="Century"/>
          <w:spacing w:val="10"/>
          <w:sz w:val="14"/>
          <w:szCs w:val="20"/>
          <w:rtl w:val="true"/>
        </w:rPr>
      </w:r>
    </w:p>
    <w:p>
      <w:pPr>
        <w:pStyle w:val="Ruller43"/>
        <w:numPr>
          <w:ilvl w:val="0"/>
          <w:numId w:val="0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2"/>
        <w:ind w:end="0"/>
        <w:jc w:val="both"/>
        <w:rPr>
          <w:rFonts w:ascii="Century" w:hAnsi="Century" w:cs="Century"/>
          <w:b/>
          <w:spacing w:val="0"/>
          <w:sz w:val="14"/>
          <w:szCs w:val="20"/>
        </w:rPr>
      </w:pPr>
      <w:r>
        <w:rPr>
          <w:rFonts w:cs="Century" w:ascii="Century" w:hAnsi="Century"/>
          <w:b/>
          <w:spacing w:val="0"/>
          <w:sz w:val="14"/>
          <w:szCs w:val="20"/>
          <w:rtl w:val="true"/>
        </w:rPr>
      </w:r>
    </w:p>
    <w:p>
      <w:pPr>
        <w:pStyle w:val="Ruller43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כדבעי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לזכותו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הספק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בהסתמכו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וטוען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שוליים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ונוהג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להטריד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בסביבת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חנותו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סותרות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וטוען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לסחוט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כסוחר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מליבו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>
          <w:rFonts w:ascii="Century" w:hAnsi="Century" w:cs="Century"/>
          <w:spacing w:val="10"/>
          <w:sz w:val="22"/>
          <w:szCs w:val="28"/>
        </w:rPr>
      </w:pPr>
      <w:r>
        <w:rPr>
          <w:rFonts w:cs="Century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כראיה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פסולים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איומים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הבטחות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ייעוץ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הפחדתו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ופיתויו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וסיגריות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3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שפעולות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חיוניות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בהגנתו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3"/>
        <w:numPr>
          <w:ilvl w:val="0"/>
          <w:numId w:val="0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התנהלות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וניסוח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פורטו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התקבלו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כראי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תמלילים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שנערכו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הסכמתו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הצגת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הסתירות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בגרסאותיו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שמוכיחה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הנגדית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3"/>
        <w:numPr>
          <w:ilvl w:val="0"/>
          <w:numId w:val="0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Ruller43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להתחשבות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המבוגר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הרפואי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3"/>
        <w:numPr>
          <w:ilvl w:val="0"/>
          <w:numId w:val="0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מנגד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ונדחו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המפורטת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המנומקת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התבססה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3"/>
        <w:numPr>
          <w:ilvl w:val="0"/>
          <w:numId w:val="0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מרצון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חופשי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איומים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הפעלת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למחדלי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סומכת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הברורות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במחדלים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3"/>
        <w:numPr>
          <w:ilvl w:val="0"/>
          <w:numId w:val="0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8"/>
          <w:szCs w:val="28"/>
        </w:rPr>
      </w:pPr>
      <w:r>
        <w:rPr>
          <w:rFonts w:cs="FrankRuehl" w:ascii="Century" w:hAnsi="Century"/>
          <w:spacing w:val="10"/>
          <w:sz w:val="28"/>
          <w:szCs w:val="28"/>
          <w:rtl w:val="true"/>
        </w:rPr>
      </w:r>
    </w:p>
    <w:p>
      <w:pPr>
        <w:pStyle w:val="Ruller43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בהודעותיו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השוואתן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שהוסכם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שייעשה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בתמלילים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דיסקים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הזדמ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תיקונים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לתמלול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מהתמלילים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  <w:spacing w:val="10"/>
          <w:sz w:val="22"/>
          <w:szCs w:val="28"/>
        </w:rPr>
      </w:pPr>
      <w:r>
        <w:rPr>
          <w:rFonts w:cs="Century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לקטיעת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הנגדית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פירטה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והסבירה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ארוכות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מוצתה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Ruller43"/>
        <w:numPr>
          <w:ilvl w:val="0"/>
          <w:numId w:val="0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מבטא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התחשבות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קורא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להתערבותנו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2"/>
        <w:spacing w:before="240" w:after="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spacing w:before="240" w:after="0"/>
        <w:ind w:end="0"/>
        <w:jc w:val="both"/>
        <w:rPr>
          <w:rFonts w:ascii="Century" w:hAnsi="Century" w:cs="Miriam"/>
          <w:b/>
          <w:spacing w:val="0"/>
          <w:sz w:val="4"/>
          <w:szCs w:val="6"/>
        </w:rPr>
      </w:pPr>
      <w:r>
        <w:rPr>
          <w:rFonts w:cs="Miriam" w:ascii="Century" w:hAnsi="Century"/>
          <w:b/>
          <w:spacing w:val="0"/>
          <w:sz w:val="4"/>
          <w:szCs w:val="6"/>
          <w:rtl w:val="true"/>
        </w:rPr>
      </w:r>
    </w:p>
    <w:p>
      <w:pPr>
        <w:pStyle w:val="Ruller43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בריאותו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מנימוקים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  <w:spacing w:val="10"/>
          <w:sz w:val="10"/>
          <w:szCs w:val="16"/>
        </w:rPr>
      </w:pPr>
      <w:r>
        <w:rPr>
          <w:rFonts w:cs="Century" w:ascii="Century" w:hAnsi="Century"/>
          <w:spacing w:val="10"/>
          <w:sz w:val="10"/>
          <w:szCs w:val="16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ההרשעה</w:t>
      </w:r>
    </w:p>
    <w:p>
      <w:pPr>
        <w:pStyle w:val="Ruller42"/>
        <w:ind w:end="0"/>
        <w:jc w:val="both"/>
        <w:rPr>
          <w:rFonts w:ascii="Century" w:hAnsi="Century" w:cs="Century"/>
          <w:b/>
          <w:spacing w:val="0"/>
          <w:sz w:val="8"/>
          <w:szCs w:val="14"/>
        </w:rPr>
      </w:pPr>
      <w:r>
        <w:rPr>
          <w:rFonts w:cs="Century" w:ascii="Century" w:hAnsi="Century"/>
          <w:b/>
          <w:spacing w:val="0"/>
          <w:sz w:val="8"/>
          <w:szCs w:val="14"/>
          <w:rtl w:val="true"/>
        </w:rPr>
      </w:r>
    </w:p>
    <w:p>
      <w:pPr>
        <w:pStyle w:val="Ruller43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לערעורים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פליליים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לנעלי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מחדש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התרשמותה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הישירה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ממוסריהן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התערבותנו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בכגון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חריגים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במיוחד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מעמידים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רעועה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מקפחת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זכויותיו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1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662/20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Miriam" w:ascii="Century" w:hAnsi="Century"/>
          <w:b/>
          <w:sz w:val="22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והאסמכתאות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6.4.2021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</w:p>
    <w:p>
      <w:pPr>
        <w:pStyle w:val="Ruller43"/>
        <w:numPr>
          <w:ilvl w:val="0"/>
          <w:numId w:val="0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0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שבפנינו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  <w:spacing w:val="10"/>
          <w:sz w:val="22"/>
          <w:szCs w:val="28"/>
        </w:rPr>
      </w:pPr>
      <w:r>
        <w:rPr>
          <w:rFonts w:cs="Century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ומהימנה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אגרסיבית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נשארה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ואמינה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גרסאותיו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תואמות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רובם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התמקדות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להבדיל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מפרטיו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השוליים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הנכונה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סוכמה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עמית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2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1987/17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4.6.2019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כדלקמן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הגישה הראייתית הנהוגה בעבירות מין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ובעבירות מין במשפחה בפרט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שאין לדקדק בפרטי העדות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וניתן להסתפק בגרעין האמת המצוי 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ולעיתים אף בגרעין הקשה בלבד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כאשר העדות לוקה בבלבול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דיוק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ובחוסר בהירות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ראו שם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ההפניות הושמטו – א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.).</w:t>
      </w:r>
    </w:p>
    <w:p>
      <w:pPr>
        <w:pStyle w:val="Ruller42"/>
        <w:ind w:end="0"/>
        <w:jc w:val="both"/>
        <w:rPr>
          <w:rFonts w:ascii="Garamond" w:hAnsi="Garamond" w:cs="Garamond"/>
          <w:sz w:val="28"/>
        </w:rPr>
      </w:pPr>
      <w:r>
        <w:rPr>
          <w:rFonts w:cs="Garamond" w:ascii="Garamond" w:hAnsi="Garamond"/>
          <w:sz w:val="28"/>
          <w:rtl w:val="true"/>
        </w:rPr>
      </w:r>
    </w:p>
    <w:p>
      <w:pPr>
        <w:pStyle w:val="Ruller43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גרסאותיו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ונגדית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-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ללמדו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קריאה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הוביל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לקרוא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עיתון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שתוארו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גרסאותיו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הבאים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שיישב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175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Ruller43"/>
        <w:numPr>
          <w:ilvl w:val="0"/>
          <w:numId w:val="0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סמיכה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המכונות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תנועות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לחץ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והתחכך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התרגיל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ועמודים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</w:rPr>
        <w:t>4-43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13-12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Ruller43"/>
        <w:numPr>
          <w:ilvl w:val="0"/>
          <w:numId w:val="0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בישבנו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17-16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</w:rPr>
        <w:t>9-18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191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</w:rPr>
        <w:t>8-17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/,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8-7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Ruller42"/>
        <w:ind w:end="0"/>
        <w:jc w:val="both"/>
        <w:rPr>
          <w:rFonts w:ascii="Century" w:hAnsi="Century" w:cs="Century"/>
          <w:spacing w:val="10"/>
          <w:sz w:val="22"/>
          <w:szCs w:val="28"/>
        </w:rPr>
      </w:pPr>
      <w:r>
        <w:rPr>
          <w:rFonts w:cs="Century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הפשיל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מכנסיו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וחשף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6-3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7-6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</w:rPr>
        <w:t>9-18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</w:p>
    <w:p>
      <w:pPr>
        <w:pStyle w:val="Ruller43"/>
        <w:numPr>
          <w:ilvl w:val="0"/>
          <w:numId w:val="0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שייגע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וימצוץ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13-10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</w:rPr>
        <w:t>5-14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20-19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</w:rPr>
        <w:t>3-22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Ruller43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הבגדים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</w:rPr>
        <w:t>-6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Ruller42"/>
        <w:ind w:end="0"/>
        <w:jc w:val="both"/>
        <w:rPr>
          <w:rFonts w:ascii="Century" w:hAnsi="Century" w:cs="Century"/>
          <w:spacing w:val="10"/>
          <w:sz w:val="22"/>
          <w:szCs w:val="28"/>
        </w:rPr>
      </w:pPr>
      <w:r>
        <w:rPr>
          <w:rFonts w:cs="Century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1"/>
        </w:numPr>
        <w:spacing w:lineRule="auto" w:line="360"/>
        <w:ind w:hanging="0" w:start="0" w:end="0"/>
        <w:jc w:val="both"/>
        <w:rPr/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גרסאותיו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להתבייש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- </w:t>
      </w:r>
      <w:r>
        <w:rPr>
          <w:rFonts w:cs="FrankRuehl" w:ascii="Century" w:hAnsi="Century"/>
          <w:spacing w:val="10"/>
          <w:sz w:val="22"/>
          <w:szCs w:val="28"/>
        </w:rPr>
        <w:t>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להזיז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כשנגע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</w:rPr>
        <w:t>1-50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בהתאמה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שאינם</w:t>
      </w:r>
      <w:r>
        <w:rPr>
          <w:rFonts w:eastAsia="Garamond" w:cs="Garamond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בליבת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שאשתו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מתרחקת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במכנסי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סעיפים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45-44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כספי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למשפחתו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התלונה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הכספי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בסכסוכים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כגון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סולחה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לסחוט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ואישומי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סרק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  <w:spacing w:val="10"/>
          <w:sz w:val="22"/>
          <w:szCs w:val="28"/>
        </w:rPr>
      </w:pPr>
      <w:r>
        <w:rPr>
          <w:rFonts w:cs="Century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והמהימנות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Garamond" w:hAnsi="Garamond" w:cs="Garamond"/>
          <w:spacing w:val="10"/>
          <w:sz w:val="24"/>
          <w:szCs w:val="28"/>
        </w:rPr>
      </w:pPr>
      <w:r>
        <w:rPr>
          <w:rFonts w:cs="Garamond" w:ascii="Garamond" w:hAnsi="Garamond"/>
          <w:spacing w:val="10"/>
          <w:sz w:val="24"/>
          <w:szCs w:val="28"/>
          <w:rtl w:val="true"/>
        </w:rPr>
      </w:r>
    </w:p>
    <w:p>
      <w:pPr>
        <w:pStyle w:val="Ruller43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מהמוסכם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לגרסתו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גרסאותיו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בצדק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סתירות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במהימנותו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באמרות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שנאמרו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לעשותו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אמינות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הסכמת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יעקב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קדמי</w:t>
        </w:r>
        <w:r>
          <w:rPr>
            <w:rStyle w:val="Hyperlink"/>
            <w:rFonts w:eastAsia="Garamond" w:cs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על</w:t>
        </w:r>
        <w:r>
          <w:rPr>
            <w:rStyle w:val="Hyperlink"/>
            <w:rFonts w:eastAsia="Garamond" w:cs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הראיות</w:t>
        </w:r>
        <w:r>
          <w:rPr>
            <w:rStyle w:val="Hyperlink"/>
            <w:rFonts w:eastAsia="Garamond" w:cs="Garamond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חלק</w:t>
        </w:r>
      </w:hyperlink>
      <w:r>
        <w:rPr>
          <w:rFonts w:eastAsia="Garamond" w:cs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 w:val="28"/>
          <w:szCs w:val="28"/>
          <w:rtl w:val="true"/>
        </w:rPr>
        <w:t>ראשון</w:t>
      </w:r>
      <w:r>
        <w:rPr>
          <w:rFonts w:eastAsia="Garamond" w:cs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pacing w:val="10"/>
          <w:sz w:val="28"/>
          <w:szCs w:val="28"/>
        </w:rPr>
        <w:t>551-549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pacing w:val="10"/>
          <w:sz w:val="28"/>
          <w:szCs w:val="28"/>
        </w:rPr>
        <w:t>2009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)).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בהחלטת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בישבנו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להתכופף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מיוזמתו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ביסודיות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בהתנהלות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צפייה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בתמלולי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אפשרית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ברצונו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  <w:spacing w:val="10"/>
          <w:sz w:val="22"/>
          <w:szCs w:val="28"/>
        </w:rPr>
      </w:pPr>
      <w:r>
        <w:rPr>
          <w:rFonts w:cs="Century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הכחיש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כשמכנסיו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מופשלים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Ruller42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מחדלי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מחדלי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להיבנות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מוגבלת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ומצומצמת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מחדלים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חמורים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שעיקרם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נקיטת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להפליל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2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9306/20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ברגות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והאסמכתאות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24.4.21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מחדלי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לקיומם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מרשימה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מחסור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מחזקות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אהדדי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המתארת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כילד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גדול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בריון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להדוף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מבוגר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וחלש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שצפיתי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שמתעד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נוכחתי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בילד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רגיל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לחלוטין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</w:t>
      </w:r>
    </w:p>
    <w:p>
      <w:pPr>
        <w:pStyle w:val="Ruller43"/>
        <w:numPr>
          <w:ilvl w:val="0"/>
          <w:numId w:val="0"/>
        </w:numPr>
        <w:spacing w:lineRule="auto" w:line="360"/>
        <w:ind w:hanging="0" w:start="0"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0"/>
        </w:numPr>
        <w:spacing w:lineRule="auto" w:line="360"/>
        <w:ind w:hanging="0" w:start="0"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טענות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בדבר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התנהלות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</w:t>
      </w:r>
    </w:p>
    <w:p>
      <w:pPr>
        <w:pStyle w:val="Ruller42"/>
        <w:ind w:end="0"/>
        <w:jc w:val="both"/>
        <w:rPr>
          <w:rFonts w:ascii="Century" w:hAnsi="Century" w:cs="Century"/>
          <w:b/>
          <w:sz w:val="22"/>
        </w:rPr>
      </w:pPr>
      <w:r>
        <w:rPr>
          <w:rFonts w:cs="Century" w:ascii="Century" w:hAnsi="Century"/>
          <w:b/>
          <w:sz w:val="22"/>
          <w:rtl w:val="true"/>
        </w:rPr>
      </w:r>
    </w:p>
    <w:p>
      <w:pPr>
        <w:pStyle w:val="Ruller43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לתמלילים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שתוקנו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כלשהו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מחלוקת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התמלול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שידענו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הזדמנות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תיקוני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תמלול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מוצתה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למצותה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לטרוניית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לתמלול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3"/>
        <w:numPr>
          <w:ilvl w:val="0"/>
          <w:numId w:val="0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סבורני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בהחלטתו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לחקור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מוגבלת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ובסוג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השאלות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hyperlink r:id="rId23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2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לתיקון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סדרי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הדין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חקירת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עדים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1957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הנידן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הוגנת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עלבון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הפחדה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הנידן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הסמכות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ולכוון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המתאימות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בניהולה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מבזבזת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תועלת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להליך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פוגענית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עלבונות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הפחדה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2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5518/17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Times New Roman" w:ascii="Times New Roman" w:hAnsi="Times New Roman"/>
          <w:sz w:val="22"/>
          <w:rtl w:val="true"/>
        </w:rPr>
        <w:t>[</w:t>
      </w:r>
      <w:r>
        <w:rPr>
          <w:rFonts w:ascii="Times New Roman" w:hAnsi="Times New Roman" w:cs="Times New Roman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z w:val="22"/>
          <w:sz w:val="22"/>
          <w:rtl w:val="true"/>
        </w:rPr>
        <w:t xml:space="preserve"> </w:t>
      </w:r>
      <w:r>
        <w:rPr>
          <w:rFonts w:ascii="Times New Roman" w:hAnsi="Times New Roman" w:cs="Times New Roman"/>
          <w:sz w:val="22"/>
          <w:sz w:val="22"/>
          <w:rtl w:val="true"/>
        </w:rPr>
        <w:t>בנבו</w:t>
      </w:r>
      <w:r>
        <w:rPr>
          <w:rFonts w:cs="Times New Roman" w:ascii="Times New Roman" w:hAnsi="Times New Roman"/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והאסמכתאות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17.6.18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</w:p>
    <w:p>
      <w:pPr>
        <w:pStyle w:val="Ruller42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בפרוטוקול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eastAsia="Garamond" w:cs="Garamond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נחקר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שהתקיימה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אפקטיבית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ומקיפה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הוקצב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הנגדית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בהחלט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ותחום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בהחלטתו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הנגדית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נשיאת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1-17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סדרי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cs="FrankRuehl" w:ascii="Century" w:hAnsi="Century"/>
          <w:spacing w:val="10"/>
          <w:sz w:val="22"/>
          <w:szCs w:val="28"/>
        </w:rPr>
        <w:t>6.9.2017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Ruller42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במיוחס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3"/>
        <w:numPr>
          <w:ilvl w:val="0"/>
          <w:numId w:val="1"/>
        </w:numPr>
        <w:spacing w:lineRule="auto" w:line="360"/>
        <w:ind w:hanging="0" w:start="0" w:end="0"/>
        <w:jc w:val="both"/>
        <w:rPr/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חשיבותם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ברצוני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רוחי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החלטותיו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זכויותיו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שולחו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לזיכויו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השמעת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ניהול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לגיטימי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לחלוטין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ולעתים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נחוץ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בבואו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להשמיע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הביקורת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נוקבים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הסניגור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להתנסח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שמכבד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הנהוגה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הרפואי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פשוט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המוחי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לחבריי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במידת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לדעתי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נפחית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תקופת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ונגדיל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  <w:spacing w:val="10"/>
          <w:sz w:val="22"/>
          <w:szCs w:val="28"/>
        </w:rPr>
      </w:pPr>
      <w:r>
        <w:rPr>
          <w:rFonts w:cs="Century" w:ascii="Century" w:hAnsi="Century"/>
          <w:spacing w:val="10"/>
          <w:sz w:val="22"/>
          <w:szCs w:val="28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2"/>
        <w:ind w:end="0"/>
        <w:jc w:val="both"/>
        <w:rPr>
          <w:rFonts w:ascii="Century" w:hAnsi="Century" w:cs="Century"/>
          <w:b/>
          <w:spacing w:val="0"/>
          <w:sz w:val="12"/>
          <w:szCs w:val="18"/>
        </w:rPr>
      </w:pPr>
      <w:r>
        <w:rPr>
          <w:rFonts w:cs="Century" w:ascii="Century" w:hAnsi="Century"/>
          <w:b/>
          <w:spacing w:val="0"/>
          <w:sz w:val="12"/>
          <w:szCs w:val="18"/>
          <w:rtl w:val="true"/>
        </w:rPr>
      </w:r>
    </w:p>
    <w:p>
      <w:pPr>
        <w:pStyle w:val="Ruller43"/>
        <w:numPr>
          <w:ilvl w:val="0"/>
          <w:numId w:val="1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ויתקבל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שיוטלו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בניכוי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יעבור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בפיצוי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נתערב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FrankRuehl"/>
          <w:spacing w:val="10"/>
          <w:sz w:val="6"/>
          <w:szCs w:val="12"/>
        </w:rPr>
      </w:pPr>
      <w:r>
        <w:rPr>
          <w:rFonts w:cs="FrankRuehl" w:ascii="Century" w:hAnsi="Century"/>
          <w:spacing w:val="10"/>
          <w:sz w:val="6"/>
          <w:szCs w:val="12"/>
          <w:rtl w:val="true"/>
        </w:rPr>
      </w:r>
    </w:p>
    <w:p>
      <w:pPr>
        <w:pStyle w:val="Ruller43"/>
        <w:numPr>
          <w:ilvl w:val="0"/>
          <w:numId w:val="0"/>
        </w:numPr>
        <w:spacing w:lineRule="auto" w:line="360"/>
        <w:ind w:hanging="0" w:start="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יתייצב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5.12.2021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10:00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ניצן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הסוהר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כשברשותו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תעודת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דרכון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למאסר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מוקדם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הסוהר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cs="FrankRuehl" w:ascii="Century" w:hAnsi="Century"/>
          <w:spacing w:val="10"/>
          <w:sz w:val="22"/>
          <w:szCs w:val="28"/>
        </w:rPr>
        <w:t>08-9787377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 </w:t>
      </w:r>
      <w:r>
        <w:rPr>
          <w:rFonts w:cs="FrankRuehl" w:ascii="Century" w:hAnsi="Century"/>
          <w:spacing w:val="10"/>
          <w:sz w:val="22"/>
          <w:szCs w:val="28"/>
        </w:rPr>
        <w:t>08-9787336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2"/>
              <w:snapToGrid w:val="false"/>
              <w:ind w:end="0"/>
              <w:jc w:val="both"/>
              <w:rPr>
                <w:sz w:val="10"/>
                <w:szCs w:val="16"/>
              </w:rPr>
            </w:pPr>
            <w:r>
              <w:rPr>
                <w:sz w:val="10"/>
                <w:szCs w:val="16"/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2"/>
              <w:snapToGrid w:val="false"/>
              <w:ind w:end="0"/>
              <w:jc w:val="center"/>
              <w:rPr>
                <w:sz w:val="10"/>
                <w:szCs w:val="16"/>
              </w:rPr>
            </w:pPr>
            <w:r>
              <w:rPr>
                <w:sz w:val="10"/>
                <w:szCs w:val="16"/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2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עמית</w:t>
      </w:r>
      <w:r>
        <w:rPr>
          <w:rtl w:val="true"/>
        </w:rPr>
        <w:t>:</w:t>
      </w:r>
    </w:p>
    <w:p>
      <w:pPr>
        <w:pStyle w:val="Ruller42"/>
        <w:ind w:end="0"/>
        <w:jc w:val="both"/>
        <w:rPr>
          <w:sz w:val="10"/>
          <w:szCs w:val="16"/>
        </w:rPr>
      </w:pPr>
      <w:r>
        <w:rPr>
          <w:sz w:val="10"/>
          <w:szCs w:val="16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2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גרוסקופף</w:t>
      </w:r>
      <w:r>
        <w:rPr>
          <w:u w:val="single"/>
          <w:rtl w:val="true"/>
        </w:rPr>
        <w:t>:</w:t>
      </w:r>
    </w:p>
    <w:p>
      <w:pPr>
        <w:pStyle w:val="Ruller42"/>
        <w:ind w:end="0"/>
        <w:jc w:val="both"/>
        <w:rPr>
          <w:sz w:val="10"/>
          <w:szCs w:val="16"/>
        </w:rPr>
      </w:pPr>
      <w:r>
        <w:rPr>
          <w:sz w:val="10"/>
          <w:szCs w:val="16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2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2"/>
        <w:ind w:end="0"/>
        <w:jc w:val="both"/>
        <w:rPr>
          <w:sz w:val="10"/>
          <w:szCs w:val="16"/>
        </w:rPr>
      </w:pPr>
      <w:r>
        <w:rPr>
          <w:sz w:val="10"/>
          <w:szCs w:val="16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bookmarkStart w:id="21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בכסלו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7.11.2021</w:t>
      </w:r>
      <w:r>
        <w:rPr>
          <w:rtl w:val="true"/>
        </w:rPr>
        <w:t xml:space="preserve">). </w:t>
      </w:r>
      <w:bookmarkEnd w:id="21"/>
    </w:p>
    <w:p>
      <w:pPr>
        <w:pStyle w:val="Ruller42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2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2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20045110</w:t>
      </w:r>
      <w:r>
        <w:rPr>
          <w:sz w:val="16"/>
          <w:rtl w:val="true"/>
        </w:rPr>
        <w:t>_</w:t>
      </w:r>
      <w:r>
        <w:rPr>
          <w:sz w:val="16"/>
        </w:rPr>
        <w:t>F10.docx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6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54678313-4511/20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8"/>
      <w:footerReference w:type="default" r:id="rId2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4511/20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10"/>
        <w:i w:val="false"/>
        <w:shadow w:val="false"/>
        <w:u w:val="none"/>
        <w:b w:val="false"/>
        <w:kern w:val="0"/>
        <w:szCs w:val="24"/>
        <w:iCs w:val="false"/>
        <w:bCs w:val="false"/>
        <w:w w:val="100"/>
        <w:vanish w:val="false"/>
        <w:rFonts w:ascii="Century" w:hAnsi="Century" w:cs="FrankRuehl"/>
        <w:color w:val="000000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Century" w:hAnsi="Century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0"/>
      <w:sz w:val="20"/>
      <w:szCs w:val="24"/>
      <w:u w:val="none"/>
      <w:vertAlign w:val="baseline"/>
    </w:rPr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 4 ממוספר תו"/>
    <w:qFormat/>
    <w:rPr>
      <w:rFonts w:ascii="Garamond" w:hAnsi="Garamond" w:cs="David"/>
      <w:sz w:val="24"/>
      <w:szCs w:val="24"/>
    </w:rPr>
  </w:style>
  <w:style w:type="character" w:styleId="Ruller41">
    <w:name w:val="Ruller4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2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1"/>
      </w:numPr>
      <w:spacing w:lineRule="auto" w:line="240"/>
    </w:pPr>
    <w:rPr>
      <w:rFonts w:ascii="Garamond" w:hAnsi="Garamond" w:cs="David"/>
      <w:spacing w:val="0"/>
      <w:sz w:val="24"/>
      <w:szCs w:val="24"/>
    </w:rPr>
  </w:style>
  <w:style w:type="paragraph" w:styleId="ruller411">
    <w:name w:val="ruller4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pacing w:val="10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group/2156" TargetMode="External"/><Relationship Id="rId3" Type="http://schemas.openxmlformats.org/officeDocument/2006/relationships/hyperlink" Target="http://www.nevo.co.il/safrut/bookgroup/2156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345.a.1" TargetMode="External"/><Relationship Id="rId6" Type="http://schemas.openxmlformats.org/officeDocument/2006/relationships/hyperlink" Target="http://www.nevo.co.il/law/70301/345.b.1" TargetMode="External"/><Relationship Id="rId7" Type="http://schemas.openxmlformats.org/officeDocument/2006/relationships/hyperlink" Target="http://www.nevo.co.il/law/70301/348.b" TargetMode="External"/><Relationship Id="rId8" Type="http://schemas.openxmlformats.org/officeDocument/2006/relationships/hyperlink" Target="http://www.nevo.co.il/law/98569" TargetMode="External"/><Relationship Id="rId9" Type="http://schemas.openxmlformats.org/officeDocument/2006/relationships/hyperlink" Target="http://www.nevo.co.il/law/98569/12.a" TargetMode="External"/><Relationship Id="rId10" Type="http://schemas.openxmlformats.org/officeDocument/2006/relationships/hyperlink" Target="http://www.nevo.co.il/law/74883" TargetMode="External"/><Relationship Id="rId11" Type="http://schemas.openxmlformats.org/officeDocument/2006/relationships/hyperlink" Target="http://www.nevo.co.il/law/74883/2" TargetMode="External"/><Relationship Id="rId12" Type="http://schemas.openxmlformats.org/officeDocument/2006/relationships/hyperlink" Target="http://www.nevo.co.il/case/23631227" TargetMode="External"/><Relationship Id="rId13" Type="http://schemas.openxmlformats.org/officeDocument/2006/relationships/hyperlink" Target="http://www.nevo.co.il/law/70301/348.b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345.b.1" TargetMode="External"/><Relationship Id="rId16" Type="http://schemas.openxmlformats.org/officeDocument/2006/relationships/hyperlink" Target="http://www.nevo.co.il/law/70301/345.a.1" TargetMode="External"/><Relationship Id="rId17" Type="http://schemas.openxmlformats.org/officeDocument/2006/relationships/hyperlink" Target="http://www.nevo.co.il/law/98569/12.a" TargetMode="External"/><Relationship Id="rId18" Type="http://schemas.openxmlformats.org/officeDocument/2006/relationships/hyperlink" Target="http://www.nevo.co.il/law/98569" TargetMode="External"/><Relationship Id="rId19" Type="http://schemas.openxmlformats.org/officeDocument/2006/relationships/hyperlink" Target="http://www.nevo.co.il/case/26396573" TargetMode="External"/><Relationship Id="rId20" Type="http://schemas.openxmlformats.org/officeDocument/2006/relationships/hyperlink" Target="http://www.nevo.co.il/case/22303637" TargetMode="External"/><Relationship Id="rId21" Type="http://schemas.openxmlformats.org/officeDocument/2006/relationships/hyperlink" Target="http://www.nevo.co.il/safrut/bookgroup/2156" TargetMode="External"/><Relationship Id="rId22" Type="http://schemas.openxmlformats.org/officeDocument/2006/relationships/hyperlink" Target="http://www.nevo.co.il/case/27292055" TargetMode="External"/><Relationship Id="rId23" Type="http://schemas.openxmlformats.org/officeDocument/2006/relationships/hyperlink" Target="http://www.nevo.co.il/law/74883/2" TargetMode="External"/><Relationship Id="rId24" Type="http://schemas.openxmlformats.org/officeDocument/2006/relationships/hyperlink" Target="http://www.nevo.co.il/law/74883" TargetMode="External"/><Relationship Id="rId25" Type="http://schemas.openxmlformats.org/officeDocument/2006/relationships/hyperlink" Target="http://www.nevo.co.il/case/22853229" TargetMode="External"/><Relationship Id="rId26" Type="http://schemas.openxmlformats.org/officeDocument/2006/relationships/hyperlink" Target="https://supreme.court.gov.il/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2022-08-31T13:21:00Z</dcterms:created>
  <dc:creator> </dc:creator>
  <dc:description/>
  <cp:keywords/>
  <dc:language>en-IL</dc:language>
  <cp:lastModifiedBy>h11</cp:lastModifiedBy>
  <cp:lastPrinted>2021-11-07T11:01:00Z</cp:lastPrinted>
  <dcterms:modified xsi:type="dcterms:W3CDTF">2022-08-31T13:21:00Z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EE">
    <vt:lpwstr>מדינת ישראל</vt:lpwstr>
  </property>
  <property fmtid="{D5CDD505-2E9C-101B-9397-08002B2CF9AE}" pid="4" name="BOOKGROUPTMP1">
    <vt:lpwstr>2156:2</vt:lpwstr>
  </property>
  <property fmtid="{D5CDD505-2E9C-101B-9397-08002B2CF9AE}" pid="5" name="CASESLISTTMP1">
    <vt:lpwstr>23631227;26396573;22303637;27292055;22853229</vt:lpwstr>
  </property>
  <property fmtid="{D5CDD505-2E9C-101B-9397-08002B2CF9AE}" pid="6" name="DATE">
    <vt:lpwstr>20211107</vt:lpwstr>
  </property>
  <property fmtid="{D5CDD505-2E9C-101B-9397-08002B2CF9AE}" pid="7" name="ISABSTRACT">
    <vt:lpwstr>Y</vt:lpwstr>
  </property>
  <property fmtid="{D5CDD505-2E9C-101B-9397-08002B2CF9AE}" pid="8" name="JUDGE">
    <vt:lpwstr>י' עמית;ע' גרוסקופף;א' שטיין</vt:lpwstr>
  </property>
  <property fmtid="{D5CDD505-2E9C-101B-9397-08002B2CF9AE}" pid="9" name="LAWLISTTMP1">
    <vt:lpwstr>70301/348.b;345.b.1;345.a.1</vt:lpwstr>
  </property>
  <property fmtid="{D5CDD505-2E9C-101B-9397-08002B2CF9AE}" pid="10" name="LAWLISTTMP2">
    <vt:lpwstr>98569/012.a</vt:lpwstr>
  </property>
  <property fmtid="{D5CDD505-2E9C-101B-9397-08002B2CF9AE}" pid="11" name="LAWLISTTMP3">
    <vt:lpwstr>74883/002</vt:lpwstr>
  </property>
  <property fmtid="{D5CDD505-2E9C-101B-9397-08002B2CF9AE}" pid="12" name="LAWYER">
    <vt:lpwstr>אושרה פטל רוזנברג;יעקב קמר</vt:lpwstr>
  </property>
  <property fmtid="{D5CDD505-2E9C-101B-9397-08002B2CF9AE}" pid="13" name="METAKZER">
    <vt:lpwstr>פאני</vt:lpwstr>
  </property>
  <property fmtid="{D5CDD505-2E9C-101B-9397-08002B2CF9AE}" pid="14" name="NOSE11">
    <vt:lpwstr>דיון פלילי</vt:lpwstr>
  </property>
  <property fmtid="{D5CDD505-2E9C-101B-9397-08002B2CF9AE}" pid="15" name="NOSE12">
    <vt:lpwstr>דיון פלילי</vt:lpwstr>
  </property>
  <property fmtid="{D5CDD505-2E9C-101B-9397-08002B2CF9AE}" pid="16" name="NOSE13">
    <vt:lpwstr>דיון פלילי</vt:lpwstr>
  </property>
  <property fmtid="{D5CDD505-2E9C-101B-9397-08002B2CF9AE}" pid="17" name="NOSE14">
    <vt:lpwstr>עונשין</vt:lpwstr>
  </property>
  <property fmtid="{D5CDD505-2E9C-101B-9397-08002B2CF9AE}" pid="18" name="NOSE15">
    <vt:lpwstr>עונשין</vt:lpwstr>
  </property>
  <property fmtid="{D5CDD505-2E9C-101B-9397-08002B2CF9AE}" pid="19" name="NOSE1ID">
    <vt:lpwstr>18;18;18;77;77</vt:lpwstr>
  </property>
  <property fmtid="{D5CDD505-2E9C-101B-9397-08002B2CF9AE}" pid="20" name="NOSE21">
    <vt:lpwstr>הרשעה</vt:lpwstr>
  </property>
  <property fmtid="{D5CDD505-2E9C-101B-9397-08002B2CF9AE}" pid="21" name="NOSE22">
    <vt:lpwstr>ערעור</vt:lpwstr>
  </property>
  <property fmtid="{D5CDD505-2E9C-101B-9397-08002B2CF9AE}" pid="22" name="NOSE23">
    <vt:lpwstr>ערעור</vt:lpwstr>
  </property>
  <property fmtid="{D5CDD505-2E9C-101B-9397-08002B2CF9AE}" pid="23" name="NOSE24">
    <vt:lpwstr>ענישה</vt:lpwstr>
  </property>
  <property fmtid="{D5CDD505-2E9C-101B-9397-08002B2CF9AE}" pid="24" name="NOSE25">
    <vt:lpwstr>ענישה</vt:lpwstr>
  </property>
  <property fmtid="{D5CDD505-2E9C-101B-9397-08002B2CF9AE}" pid="25" name="NOSE2ID">
    <vt:lpwstr>465;504;504;1446;1446</vt:lpwstr>
  </property>
  <property fmtid="{D5CDD505-2E9C-101B-9397-08002B2CF9AE}" pid="26" name="NOSE31">
    <vt:lpwstr>ערעור</vt:lpwstr>
  </property>
  <property fmtid="{D5CDD505-2E9C-101B-9397-08002B2CF9AE}" pid="27" name="NOSE32">
    <vt:lpwstr>אי-התערבות בממצאים עובדתיים</vt:lpwstr>
  </property>
  <property fmtid="{D5CDD505-2E9C-101B-9397-08002B2CF9AE}" pid="28" name="NOSE33">
    <vt:lpwstr>התערבות במידת העונש</vt:lpwstr>
  </property>
  <property fmtid="{D5CDD505-2E9C-101B-9397-08002B2CF9AE}" pid="29" name="NOSE34">
    <vt:lpwstr>מדיניות ענישה: עבירות מין בקטינים</vt:lpwstr>
  </property>
  <property fmtid="{D5CDD505-2E9C-101B-9397-08002B2CF9AE}" pid="30" name="NOSE35">
    <vt:lpwstr>מדיניות ענישה: שיקולים לקולה</vt:lpwstr>
  </property>
  <property fmtid="{D5CDD505-2E9C-101B-9397-08002B2CF9AE}" pid="31" name="NOSE3ID">
    <vt:lpwstr>3638;3849;15230;16970;8996</vt:lpwstr>
  </property>
  <property fmtid="{D5CDD505-2E9C-101B-9397-08002B2CF9AE}" pid="32" name="PADIDATE">
    <vt:lpwstr>20211108</vt:lpwstr>
  </property>
  <property fmtid="{D5CDD505-2E9C-101B-9397-08002B2CF9AE}" pid="33" name="PADIMAIL">
    <vt:lpwstr>YES</vt:lpwstr>
  </property>
  <property fmtid="{D5CDD505-2E9C-101B-9397-08002B2CF9AE}" pid="34" name="PROCESS">
    <vt:lpwstr>עפ</vt:lpwstr>
  </property>
  <property fmtid="{D5CDD505-2E9C-101B-9397-08002B2CF9AE}" pid="35" name="PROCNUM">
    <vt:lpwstr>4511</vt:lpwstr>
  </property>
  <property fmtid="{D5CDD505-2E9C-101B-9397-08002B2CF9AE}" pid="36" name="PROCYEAR">
    <vt:lpwstr>20</vt:lpwstr>
  </property>
  <property fmtid="{D5CDD505-2E9C-101B-9397-08002B2CF9AE}" pid="37" name="PSAKDIN">
    <vt:lpwstr>פסק-דין</vt:lpwstr>
  </property>
  <property fmtid="{D5CDD505-2E9C-101B-9397-08002B2CF9AE}" pid="38" name="TYPE">
    <vt:lpwstr>1</vt:lpwstr>
  </property>
  <property fmtid="{D5CDD505-2E9C-101B-9397-08002B2CF9AE}" pid="39" name="TYPE_ABS_DATE">
    <vt:lpwstr>410120211107</vt:lpwstr>
  </property>
  <property fmtid="{D5CDD505-2E9C-101B-9397-08002B2CF9AE}" pid="40" name="TYPE_N_DATE">
    <vt:lpwstr>41020211107</vt:lpwstr>
  </property>
  <property fmtid="{D5CDD505-2E9C-101B-9397-08002B2CF9AE}" pid="41" name="WORDNUMPAGES">
    <vt:lpwstr>13</vt:lpwstr>
  </property>
</Properties>
</file>