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4524/18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חנוכייב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30838-11-16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30.4.2018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סלע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566"/>
        <w:gridCol w:w="56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Century"/>
                <w:spacing w:val="10"/>
                <w:sz w:val="24"/>
                <w:szCs w:val="24"/>
              </w:rPr>
            </w:pPr>
            <w:r>
              <w:rPr>
                <w:rFonts w:ascii="Century" w:hAnsi="Century" w:cs="Century"/>
                <w:spacing w:val="10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Century" w:ascii="Century" w:hAnsi="Century"/>
                <w:spacing w:val="10"/>
                <w:sz w:val="24"/>
                <w:szCs w:val="24"/>
                <w:rtl w:val="true"/>
              </w:rPr>
              <w:t>:</w:t>
            </w:r>
          </w:p>
        </w:tc>
        <w:tc>
          <w:tcPr>
            <w:tcW w:w="456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</w:t>
            </w:r>
            <w:r>
              <w:rPr>
                <w:rtl w:val="true"/>
              </w:rPr>
              <w:t>(</w:t>
            </w:r>
            <w:r>
              <w:rPr/>
              <w:t>20.2.2019</w:t>
            </w:r>
            <w:r>
              <w:rPr>
                <w:rtl w:val="true"/>
              </w:rPr>
              <w:t xml:space="preserve">) </w:t>
            </w:r>
          </w:p>
        </w:tc>
        <w:tc>
          <w:tcPr>
            <w:tcW w:w="56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נדשי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נדחה ערעור על עונש מאסר בפועל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 שהושת על המערער ועונשים נוספים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הרשעתו בהריגה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זה מקרה חריג המצדיק התערבות ערכאת הערעור בעונש שקבעה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יש צורך בנקיטת ענישה מחמירה שתבטא סלידה מביצוע מעשי הריגה ותרתיע עבריינים פוטנציאליים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שקל את כלל הנסיבות הרלוונטיות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והעניק להן משקל ראוי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הריגה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הגנות – שכרות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עונש –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פי הודאתו במסגרת הסדר טיעון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של הריגה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חלף עבירת רצח שיוחסה לו בכתב האישום המקורי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גזר על המערער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ופיצויים לנפגעי העבירה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258,000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נסב אודות חומרת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פוגלמן ומזוז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 הערעור לא תתערב בעונש שקבעה הערכאה הדיונית אלא במקרים חריגים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שבהם סבור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כי נפלה טעות מהותית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כשהעונש שהוטל על המערער סוטה באופן קיצוני ממדיניות הענישה הנהוגה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מקרה זה אינו נמנה בין החריגים האמורים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עבירת ההריגה כוללת מנעד רחב של 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ובהתאם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מציע הדין מנעד ענישה רחב לצִדם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 הפסיקה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מנעד הענישה בעבירת הריגה יכול שינוע בין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כתלות בנסיבות ביצוע העבירה ונסיבותיו האישיות של מבצעהּ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מעשי האלימות להם אנו עדים לאחרונה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והקלות הבלתי נסבלת של השימוש בסכין לפגיעה באחר עד כדי נטילת חייו מלמדת על זילוּת בחיי אדם ומחייבת ענישה מחמירה אשר תבטא את הסלידה ממעשים אלה ותרתיע עבריינים פוטנציאליים מביצוען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אחת כמה וכמה כאשר המעשים נעשים באכזריות רבה ויוצאת דופן כבמקרה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גרם למותו של המנוח בדם קר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באכזריות רבה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עת שיסף את גרונו מספר פעמים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 זאת בזמן שהמנוח שרוע על הרצפה בחוסר אונים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שהמערער הפליא בו את מכותיו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מסכת עובדתית זו מגלמת את עבירת ההריגה בצורתה המחמירה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כפסע מעבירת הרצח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והעונש שהוטל על המערער מבטא נאמנה את חומרת המעשה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בעובדה שהמערער ביצע את מעשיו תחת השפעת אלכוהול כדי להצדיק הפחתה בעונש שהוטל עליו בנסיבות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משנכנס המערער למצב שיכרות מבחירה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הוא יכול להלין על תוצאותיה של בחירה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בנסיבותיו האישיות של המערער כדי לשנות ממסקנה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שקל את כלל הנסיבות הרלוונטיות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והעניק להן משקל ראוי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כל מקום להתערב בתוצאה אליה הגיע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אב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30838-11-16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30.4.2018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המערער עונש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פיצויים לנפגעי העבירה בסך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במועדים הרלוונטיים לכתב האישום התגורר המערער עם אמו ואחיו בבניין דירות</w:t>
      </w:r>
      <w:r>
        <w:rPr>
          <w:rtl w:val="true"/>
        </w:rPr>
        <w:t xml:space="preserve">, </w:t>
      </w:r>
      <w:r>
        <w:rPr>
          <w:rtl w:val="true"/>
        </w:rPr>
        <w:t>וכן התגורר לסירוגין במחסן שבבעלות משפחתו</w:t>
      </w:r>
      <w:r>
        <w:rPr>
          <w:rtl w:val="true"/>
        </w:rPr>
        <w:t xml:space="preserve">, </w:t>
      </w:r>
      <w:r>
        <w:rPr>
          <w:rtl w:val="true"/>
        </w:rPr>
        <w:t>הממוקם בקומת הכניסה לבניין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25.10.2016</w:t>
      </w:r>
      <w:r>
        <w:rPr>
          <w:rtl w:val="true"/>
        </w:rPr>
        <w:t xml:space="preserve">, </w:t>
      </w:r>
      <w:r>
        <w:rPr>
          <w:rtl w:val="true"/>
        </w:rPr>
        <w:t>המערער והמנוח ישבו יחדיו למשך מספר שעות בחצר הבניין</w:t>
      </w:r>
      <w:r>
        <w:rPr>
          <w:rtl w:val="true"/>
        </w:rPr>
        <w:t xml:space="preserve">, </w:t>
      </w:r>
      <w:r>
        <w:rPr>
          <w:rtl w:val="true"/>
        </w:rPr>
        <w:t>במהלכן סעדו ושתו משקאות אלכוהוליים רבים</w:t>
      </w:r>
      <w:r>
        <w:rPr>
          <w:rtl w:val="true"/>
        </w:rPr>
        <w:t xml:space="preserve">. </w:t>
      </w:r>
      <w:r>
        <w:rPr>
          <w:rtl w:val="true"/>
        </w:rPr>
        <w:t>בעת ששהו כך יחדיו</w:t>
      </w:r>
      <w:r>
        <w:rPr>
          <w:rtl w:val="true"/>
        </w:rPr>
        <w:t xml:space="preserve">, </w:t>
      </w:r>
      <w:r>
        <w:rPr>
          <w:rtl w:val="true"/>
        </w:rPr>
        <w:t xml:space="preserve">התפתח בין השניים </w:t>
      </w:r>
      <w:r>
        <w:rPr>
          <w:rtl w:val="true"/>
        </w:rPr>
        <w:t>"</w:t>
      </w:r>
      <w:r>
        <w:rPr>
          <w:rtl w:val="true"/>
        </w:rPr>
        <w:t>עימות פיזי הדדי משמעותי</w:t>
      </w:r>
      <w:r>
        <w:rPr>
          <w:rtl w:val="true"/>
        </w:rPr>
        <w:t xml:space="preserve">", </w:t>
      </w:r>
      <w:r>
        <w:rPr>
          <w:rtl w:val="true"/>
        </w:rPr>
        <w:t>שבסופו הפיל המערער את המנוח על הרצפה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ושיסף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שבית המשפט המחוזי שמע חלק נכבד מראיות התביעה</w:t>
      </w:r>
      <w:r>
        <w:rPr>
          <w:rtl w:val="true"/>
        </w:rPr>
        <w:t xml:space="preserve">, </w:t>
      </w:r>
      <w:r>
        <w:rPr>
          <w:rtl w:val="true"/>
        </w:rPr>
        <w:t>הגיעו הצדדים כאמור להסדר טיעון</w:t>
      </w:r>
      <w:r>
        <w:rPr>
          <w:rtl w:val="true"/>
        </w:rPr>
        <w:t xml:space="preserve">, </w:t>
      </w:r>
      <w:r>
        <w:rPr>
          <w:rtl w:val="true"/>
        </w:rPr>
        <w:t>במסגרתו תוקן נוסחו של כתב האישום המקורי</w:t>
      </w:r>
      <w:r>
        <w:rPr>
          <w:rtl w:val="true"/>
        </w:rPr>
        <w:t xml:space="preserve">, </w:t>
      </w:r>
      <w:r>
        <w:rPr>
          <w:rtl w:val="true"/>
        </w:rPr>
        <w:t>באופן שהמערער הואשם בעבירת הריגה</w:t>
      </w:r>
      <w:r>
        <w:rPr>
          <w:rtl w:val="true"/>
        </w:rPr>
        <w:t xml:space="preserve">, </w:t>
      </w:r>
      <w:r>
        <w:rPr>
          <w:rtl w:val="true"/>
        </w:rPr>
        <w:t>חלף עבירת רצח שיוחסה לו בכתב האישום המקורי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בחן בית המשפט המחוזי את טיעוני הצדדים לעונש וכן את תסקיר נפגעי העבירה</w:t>
      </w:r>
      <w:r>
        <w:rPr>
          <w:rtl w:val="true"/>
        </w:rPr>
        <w:t xml:space="preserve">, </w:t>
      </w:r>
      <w:r>
        <w:rPr>
          <w:rtl w:val="true"/>
        </w:rPr>
        <w:t>המתאר פגיעה קשה במשפחת המנוח כתוצאה ממותו בטרם 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המשפט על ערך קדושת חיי האדם וההגנה עליהם</w:t>
      </w:r>
      <w:r>
        <w:rPr>
          <w:rtl w:val="true"/>
        </w:rPr>
        <w:t xml:space="preserve">, </w:t>
      </w:r>
      <w:r>
        <w:rPr>
          <w:rtl w:val="true"/>
        </w:rPr>
        <w:t>אשר נפגע כתוצאה ממעשהו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שהדגיש כי מדובר </w:t>
      </w:r>
      <w:r>
        <w:rPr>
          <w:rtl w:val="true"/>
        </w:rPr>
        <w:t>"</w:t>
      </w:r>
      <w:r>
        <w:rPr>
          <w:rtl w:val="true"/>
        </w:rPr>
        <w:t>באחד הערכים החברתיים הנעלים ביותר בכל שיטת משפט נאורה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בצִדה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]",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עונשו של המערער בתוך המתחם שקל בית המשפט לקוּלא את היעדר עבר פלילי</w:t>
      </w:r>
      <w:r>
        <w:rPr>
          <w:rtl w:val="true"/>
        </w:rPr>
        <w:t xml:space="preserve">; </w:t>
      </w:r>
      <w:r>
        <w:rPr>
          <w:rtl w:val="true"/>
        </w:rPr>
        <w:t>נסיבותיו האישיות הקשות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מצבו המשפחתי </w:t>
      </w:r>
      <w:r>
        <w:rPr>
          <w:rtl w:val="true"/>
        </w:rPr>
        <w:t>,</w:t>
      </w:r>
      <w:r>
        <w:rPr>
          <w:rtl w:val="true"/>
        </w:rPr>
        <w:t>התייתמותו מאב מגיל צעיר ובעיית ההתמכרות לשתייה חריפה ממנה סבל</w:t>
      </w:r>
      <w:r>
        <w:rPr>
          <w:rtl w:val="true"/>
        </w:rPr>
        <w:t xml:space="preserve">; </w:t>
      </w:r>
      <w:r>
        <w:rPr>
          <w:rtl w:val="true"/>
        </w:rPr>
        <w:t>הודאתו בביצוע העבירה והבעת החרטה</w:t>
      </w:r>
      <w:r>
        <w:rPr>
          <w:rtl w:val="true"/>
        </w:rPr>
        <w:t xml:space="preserve">; </w:t>
      </w:r>
      <w:r>
        <w:rPr>
          <w:rtl w:val="true"/>
        </w:rPr>
        <w:t>וכן את תקופת מעצרו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התרשם בית המשפט המחוזי כי חרטת המערער אינה כנה</w:t>
      </w:r>
      <w:r>
        <w:rPr>
          <w:rtl w:val="true"/>
        </w:rPr>
        <w:t xml:space="preserve">, </w:t>
      </w:r>
      <w:r>
        <w:rPr>
          <w:rtl w:val="true"/>
        </w:rPr>
        <w:t xml:space="preserve">וזאת בין היתר על יסוד אמירתו לפיה </w:t>
      </w:r>
      <w:r>
        <w:rPr>
          <w:rtl w:val="true"/>
        </w:rPr>
        <w:t>"</w:t>
      </w:r>
      <w:r>
        <w:rPr>
          <w:rtl w:val="true"/>
        </w:rPr>
        <w:t>הוא מצטער אך אין לו על מה להצטער</w:t>
      </w:r>
      <w:r>
        <w:rPr>
          <w:rtl w:val="true"/>
        </w:rPr>
        <w:t xml:space="preserve">, </w:t>
      </w:r>
      <w:r>
        <w:rPr>
          <w:rtl w:val="true"/>
        </w:rPr>
        <w:t>משום שהמנוח תקף אותו וגם הוא יכול היה להרגו</w:t>
      </w:r>
      <w:r>
        <w:rPr>
          <w:rtl w:val="true"/>
        </w:rPr>
        <w:t xml:space="preserve">", </w:t>
      </w:r>
      <w:r>
        <w:rPr>
          <w:rtl w:val="true"/>
        </w:rPr>
        <w:t>כך כלשונו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 המופנה כלפי חומרת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שגה בית המשפט המחוזי משלא נתן את המשקל הראוי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ובפרט לכך שהמעשה בוצע לאחר עימות פיזי הדדי</w:t>
      </w:r>
      <w:r>
        <w:rPr>
          <w:rtl w:val="true"/>
        </w:rPr>
        <w:t xml:space="preserve">, </w:t>
      </w:r>
      <w:r>
        <w:rPr>
          <w:rtl w:val="true"/>
        </w:rPr>
        <w:t>ובעת שהמערער נמצא במצב של שכרות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נסיבות אלו השפיעו על מידת יכולתו להימנע מביצוע העבירה ועל מידת השליטה על מעשהו באופן המצדיק הקלה במתחם 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בקטטת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שיכורים</w:t>
      </w:r>
      <w:r>
        <w:rPr>
          <w:rtl w:val="true"/>
        </w:rPr>
        <w:t xml:space="preserve">"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טוענת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העונש שהוטל על המערער הולם את המעשה האכזרי שביצע ואת תוצאתו הקטלנית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טוענת המשיבה כי אין חולק שהמערער אינו בא בגדרי סייג השכרות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ואין בהיותו שתוי במהלך ביצוע העבירה כדי להפחית ממידת החומרה שיש לייחס למעשה הקטלני</w:t>
      </w:r>
      <w:r>
        <w:rPr>
          <w:rtl w:val="true"/>
        </w:rPr>
        <w:t xml:space="preserve">, </w:t>
      </w:r>
      <w:r>
        <w:rPr>
          <w:rtl w:val="true"/>
        </w:rPr>
        <w:t>שכן הלה היה רגיל בשתיית אלכוהול ובחר במודע להיכנס למצב של שכרות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שעיינו בערעור על נספחיו הגענו לכלל מסקנה כי דינו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>שבהם סבור בית המשפט כי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כשהעונש שהוטל על המערער סוטה באופן קיצוני ממדיניות הענישה הנהוגה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11.11.2018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עבירת ההריגה כוללת מנעד רחב של מעשים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מציע הדין מנעד ענישה רחב לצִדם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 פי הפסיקה</w:t>
      </w:r>
      <w:r>
        <w:rPr>
          <w:rtl w:val="true"/>
        </w:rPr>
        <w:t xml:space="preserve">, </w:t>
      </w:r>
      <w:r>
        <w:rPr>
          <w:rtl w:val="true"/>
        </w:rPr>
        <w:t xml:space="preserve">מנעד הענישה בעבירת הריגה יכול שינוע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כתלות בנסיבות ביצוע העבירה ונסיבותיו האישיות של מבצעהּ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רבאייב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24.12.2018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וההפניות שם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 האלימות להם אנו עדים לאחרונה</w:t>
      </w:r>
      <w:r>
        <w:rPr>
          <w:rtl w:val="true"/>
        </w:rPr>
        <w:t xml:space="preserve">, </w:t>
      </w:r>
      <w:r>
        <w:rPr>
          <w:rtl w:val="true"/>
        </w:rPr>
        <w:t>והקלות הבלתי נסבלת של השימוש בסכין לפגיעה באחר עד כדי נטילת חייו מלמדת על זילוּת בחיי אדם ומחייבת ענישה מחמירה אשר תבטא את הסלידה ממעשים אלה ותרתיע עבריינים פוטנציאליים מביצוען</w:t>
      </w:r>
      <w:r>
        <w:rPr>
          <w:rtl w:val="true"/>
        </w:rPr>
        <w:t xml:space="preserve">, </w:t>
      </w:r>
      <w:r>
        <w:rPr>
          <w:rtl w:val="true"/>
        </w:rPr>
        <w:t>על אחת כמה וכמה כאשר המעשים נעשים באכזריות רבה ויוצאת דופן כבמקרה 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אנו סבורים כי אין בעובדה שהמערער ביצע את מעשיו תחת השפעת אלכוהול כדי להצדיק הפחתה בעונש שהוטל עליו בנסיבות העניין</w:t>
      </w:r>
      <w:r>
        <w:rPr>
          <w:rtl w:val="true"/>
        </w:rPr>
        <w:t xml:space="preserve">. </w:t>
      </w:r>
      <w:r>
        <w:rPr>
          <w:rtl w:val="true"/>
        </w:rPr>
        <w:t>משנכנס המערער למצב שיכרות מבחירה</w:t>
      </w:r>
      <w:r>
        <w:rPr>
          <w:rtl w:val="true"/>
        </w:rPr>
        <w:t xml:space="preserve">, </w:t>
      </w:r>
      <w:r>
        <w:rPr>
          <w:rtl w:val="true"/>
        </w:rPr>
        <w:t xml:space="preserve">אין הוא יכול להלין על תוצאותיה של בחירה זו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6656/08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חביבולין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6.1.2010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29.1.2014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לא מצאנו בנסיבותיו האישיות של המערער כדי לשנות ממסקנה זו</w:t>
      </w:r>
      <w:r>
        <w:rPr>
          <w:rtl w:val="true"/>
        </w:rPr>
        <w:t xml:space="preserve">. </w:t>
      </w:r>
      <w:r>
        <w:rPr>
          <w:rtl w:val="true"/>
        </w:rPr>
        <w:t>אנו סבורים כי בית המשפט המחוזי שקל את כלל הנסיבות הרלוונטיות</w:t>
      </w:r>
      <w:r>
        <w:rPr>
          <w:rtl w:val="true"/>
        </w:rPr>
        <w:t xml:space="preserve">, </w:t>
      </w:r>
      <w:r>
        <w:rPr>
          <w:rtl w:val="true"/>
        </w:rPr>
        <w:t>והעניק להן משקל ראוי</w:t>
      </w:r>
      <w:r>
        <w:rPr>
          <w:rtl w:val="true"/>
        </w:rPr>
        <w:t xml:space="preserve">, </w:t>
      </w:r>
      <w:r>
        <w:rPr>
          <w:rtl w:val="true"/>
        </w:rPr>
        <w:t>ואין כל מקום להתערב בתוצאה אליה הגיע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3.3.2019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18045240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54678313-4524/18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4524/18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אמיל חנוכייב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138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i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case/21613815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i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3750585" TargetMode="External"/><Relationship Id="rId12" Type="http://schemas.openxmlformats.org/officeDocument/2006/relationships/hyperlink" Target="http://www.nevo.co.il/case/23520565" TargetMode="External"/><Relationship Id="rId13" Type="http://schemas.openxmlformats.org/officeDocument/2006/relationships/hyperlink" Target="http://www.nevo.co.il/case/6076841" TargetMode="External"/><Relationship Id="rId14" Type="http://schemas.openxmlformats.org/officeDocument/2006/relationships/hyperlink" Target="http://www.nevo.co.il/case/10502090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2019-03-04T11:33:00Z</dcterms:created>
  <dc:creator>h3</dc:creator>
  <dc:description/>
  <cp:keywords/>
  <dc:language>en-IL</dc:language>
  <cp:lastModifiedBy>orly</cp:lastModifiedBy>
  <cp:lastPrinted>2019-03-03T11:49:00Z</cp:lastPrinted>
  <dcterms:modified xsi:type="dcterms:W3CDTF">2019-03-04T11:33:00Z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אמיל חנוכייב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21613815:2;23750585;23520565;6076841;10502090</vt:lpwstr>
  </property>
  <property fmtid="{D5CDD505-2E9C-101B-9397-08002B2CF9AE}" pid="9" name="CITY">
    <vt:lpwstr/>
  </property>
  <property fmtid="{D5CDD505-2E9C-101B-9397-08002B2CF9AE}" pid="10" name="DATE">
    <vt:lpwstr>20190303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מזוז;י' אלרון</vt:lpwstr>
  </property>
  <property fmtid="{D5CDD505-2E9C-101B-9397-08002B2CF9AE}" pid="14" name="LAWLISTTMP1">
    <vt:lpwstr>70301/298;034i</vt:lpwstr>
  </property>
  <property fmtid="{D5CDD505-2E9C-101B-9397-08002B2CF9AE}" pid="15" name="LAWYER">
    <vt:lpwstr>עידית פרג'ון;יאיר נדשי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הגנות</vt:lpwstr>
  </property>
  <property fmtid="{D5CDD505-2E9C-101B-9397-08002B2CF9AE}" pid="42" name="NOSE25">
    <vt:lpwstr>עונש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1446;1446;1446;1431;15425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מדיניות ענישה:שיקולים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שכרות</vt:lpwstr>
  </property>
  <property fmtid="{D5CDD505-2E9C-101B-9397-08002B2CF9AE}" pid="53" name="NOSE35">
    <vt:lpwstr>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14739;;8982;8691;15426</vt:lpwstr>
  </property>
  <property fmtid="{D5CDD505-2E9C-101B-9397-08002B2CF9AE}" pid="59" name="PADIDATE">
    <vt:lpwstr>20190304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4524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410120190303</vt:lpwstr>
  </property>
  <property fmtid="{D5CDD505-2E9C-101B-9397-08002B2CF9AE}" pid="69" name="TYPE_N_DATE">
    <vt:lpwstr>41020190303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