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456/16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1443/16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456/16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1443/16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אלכסנדר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456/16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1443/16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3-2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456/16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25.10.2015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7.1.2016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אמסטרדם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8939-08-13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31"/>
        <w:ind w:end="0"/>
        <w:jc w:val="start"/>
        <w:rPr>
          <w:sz w:val="24"/>
          <w:szCs w:val="24"/>
        </w:rPr>
      </w:pPr>
      <w:r>
        <w:rPr>
          <w:sz w:val="26"/>
          <w:sz w:val="26"/>
          <w:szCs w:val="26"/>
          <w:rtl w:val="true"/>
        </w:rPr>
        <w:t>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הישיבה</w:t>
      </w:r>
      <w:r>
        <w:rPr>
          <w:sz w:val="26"/>
          <w:szCs w:val="26"/>
          <w:rtl w:val="true"/>
        </w:rPr>
        <w:t>:</w:t>
      </w:r>
      <w:r>
        <w:rPr>
          <w:rtl w:val="true"/>
        </w:rPr>
        <w:tab/>
      </w:r>
      <w:r>
        <w:rPr>
          <w:sz w:val="26"/>
          <w:sz w:val="26"/>
          <w:szCs w:val="26"/>
          <w:rtl w:val="true"/>
        </w:rPr>
        <w:t>י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29.1.2018</w:t>
      </w:r>
      <w:r>
        <w:rPr>
          <w:sz w:val="26"/>
          <w:szCs w:val="26"/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sz w:val="28"/>
          <w:sz w:val="28"/>
          <w:rtl w:val="true"/>
        </w:rPr>
        <w:t>בשם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456/16</w:t>
      </w:r>
    </w:p>
    <w:p>
      <w:pPr>
        <w:pStyle w:val="Ruller31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והמשיב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1443/16</w:t>
      </w:r>
      <w:r>
        <w:rPr>
          <w:sz w:val="28"/>
          <w:rtl w:val="true"/>
        </w:rPr>
        <w:t xml:space="preserve">: 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גולן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קריביצקי</w:t>
      </w:r>
    </w:p>
    <w:p>
      <w:pPr>
        <w:pStyle w:val="Ruller31"/>
        <w:ind w:end="0"/>
        <w:jc w:val="start"/>
        <w:rPr/>
      </w:pPr>
      <w:bookmarkStart w:id="4" w:name="FirstLawyer"/>
      <w:r>
        <w:rPr>
          <w:sz w:val="28"/>
          <w:sz w:val="28"/>
          <w:rtl w:val="true"/>
        </w:rPr>
        <w:t>בשם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</w:t>
      </w:r>
      <w:bookmarkEnd w:id="4"/>
      <w:r>
        <w:rPr>
          <w:sz w:val="28"/>
          <w:sz w:val="28"/>
          <w:rtl w:val="true"/>
        </w:rPr>
        <w:t>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456/16</w:t>
      </w:r>
    </w:p>
    <w:p>
      <w:pPr>
        <w:pStyle w:val="Ruller31"/>
        <w:ind w:end="0"/>
        <w:jc w:val="start"/>
        <w:rPr>
          <w:sz w:val="28"/>
        </w:rPr>
      </w:pPr>
      <w:r>
        <w:rPr>
          <w:sz w:val="28"/>
          <w:sz w:val="28"/>
          <w:rtl w:val="true"/>
        </w:rPr>
        <w:t>והמערערת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1443/16</w:t>
      </w:r>
      <w:r>
        <w:rPr>
          <w:sz w:val="28"/>
          <w:rtl w:val="true"/>
        </w:rPr>
        <w:t xml:space="preserve">: 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טישלר</w:t>
      </w:r>
    </w:p>
    <w:p>
      <w:pPr>
        <w:pStyle w:val="Ruller31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</w:p>
    <w:p>
      <w:pPr>
        <w:pStyle w:val="ruller311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</w:t>
      </w:r>
      <w:bookmarkStart w:id="5" w:name="LawTable"/>
      <w:bookmarkEnd w:id="5"/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</w:p>
    <w:p>
      <w:pPr>
        <w:pStyle w:val="ruller3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היסוד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באשר לעבירת הריגה והן באשר לעבירת גרימת חבלה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בהוכחת יסודותיה העובדתיים של העבירה ובפזיזות כלפי 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כאשר חזקה על מי שנוהג בשכרות שהוא מודע לנהיגתו כשהוא שיכור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לסכנה שהוא יוצר בדרך נהיגה זו ולאפשרות הממשית כי כתוצאה מהנהיגה תיגרם פגיעה קטלנית באדם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ובהינתן נהיגתו המסוכנת של המערער כשהוא בגילופין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לראות בו כמי שלקח על עצמו ביודעין סיכון של אפשרות ממשית שנהיגתו עלולה להסתיים בתוצאה טרגית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סיכון אשר התממש במלוא עוצמתו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עבירות – הריגה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עבירות – נהיגה בשכרות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הריגה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קשר סיבתי – הריגה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פזיזות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הרשיע את המערער בעבירות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הריגה וחבלה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גרימת תאונת דרכים שהביאה להריגתו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ולפציעתו של בן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נהיגתו הפרועה של המערער במהירות גבוהה אשר הושפעה משכרותו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הסתיימה בפגיעת רכבו ברכב המנוח שהתלקח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באופן שהביא בסופו של דבר למותו של המנוח ולגרימת חבלה חמורה לבנו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העמיד את מתחם העונש ההולם בטווח שבין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לבין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ובסופו של יום גזר על המערער 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פסילת רישיון נהיגה למשך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מיום שחרורו מהמאסר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כמו כן חויב המערער בתשלום פיצוי בסך של </w:t>
      </w:r>
      <w:r>
        <w:rPr>
          <w:rFonts w:cs="Times New Roman" w:ascii="Times New Roman" w:hAnsi="Times New Roman"/>
          <w:spacing w:val="0"/>
          <w:szCs w:val="26"/>
        </w:rPr>
        <w:t>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 לעיזבון המנוח ופיצוי בסכום של </w:t>
      </w:r>
      <w:r>
        <w:rPr>
          <w:rFonts w:cs="Times New Roman" w:ascii="Times New Roman" w:hAnsi="Times New Roman"/>
          <w:spacing w:val="0"/>
          <w:szCs w:val="26"/>
        </w:rPr>
        <w:t>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לבן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מערער הן על הכרעת הדין והן על גזר הדין ואילו המשיבה הגישה ערעור שכנגד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 בהסכמת הנשיאה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 והשופט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קרא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והערעור שכנגד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לקביעה בדבר שכרות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ממש בטענותיו של המערער בדבר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הוכחת שרשרת העברת הדם במעבדה וזיהויה כמו גם בטענה כי נעשה שימוש בחומר חיטוי המכין כוהל או כי חלו שיבושים נוספים בלקיחת דגימת דמו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הקביעה בדבר שכרותו של המערער התבססה על אדנים נוספים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וביניהם עדויותיהם של שוטרים בדבר ריח האלכוהול שנדף מפיו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עדותו של המערער עצמו כי שתה שני בקבוקי בירה בסמוך למועד שבו התרחשה התאונה והתרשמות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כי אף בכך ניסה להמעיט בכמות האלכוהול שצרך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כי בהעדר חשש לקיומו של פגם בשרשרת העברת הדם במעבדה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עילה להתערב בקביעה בדבר שכרותו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לאופן התרחשות התאונה לא נמצא בטענות המערער כדי להחליש את המסקנה בדבר נהיגה פרועה במהירות מופרזת מצדו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טענותיו של המערער בהקשר זה נסובות נגד ממצאי מהימנות על בסיס שמיעתם של עדים ובחינת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ככלל אין זה מדרכה של ערכאת הערעור להתערב בהם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אדרבא לאחר בחינת מכלול העדויות נקבע כי אין מקרה זה נמנה בגדר אותם מקרים חריגים המצדיקים סטייה מהכלל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לא נמצא ממש בטענות המערער בדבר התרחיש אשר לדעת המערער הביא להשתלשלות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וכפי שגם ציין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היה מוכח כי נפל כשל באחת ממערכות רכב הפורשה של המנוח שהיה בו כדי לתרום בדרך כלשהי לאופן השריפה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לא היה מסייע למערער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העובדה שלצורך הרשעת המערער בעבירות שיוחסו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התנהגותו צריכה הייתה להיות בעלת תרומה הכרחית להתרחשות התוצאה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היא אינה צריכה הייתה להוות הסיבה היחידה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היה מוכח קיומו של כשל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בקיומו של כשל מעין זה לנתק את הקשר הסיבתי בין התנהגותו של המערער לבין התאונה שהתרחשה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אלמלא אותה התנהגות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הייתה מתרחשת אותה תוצאה עגומה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נדחתה טענת המערער כי לא היה מקום להרשיעו בעבירת הריגה או בגרימת חבלה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לכל היותר ניתן היה לראותו כבעל יסוד נפשי של רשלנות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מבהיר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כי הן באשר לעבירת הריגה והן באשר לעבירת גרימת חבלה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בהוכחת יסודותיה העובדתיים של העבירה ובפזיזות כלפי התוצאה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כאשר חזקה על מי שנוהג בשכרות שהוא מודע לנהיגתו כשהוא שיכור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לסכנה שהוא יוצר בדרך נהיגה זו ולאפשרות הממשית כי כתוצאה מהנהיגה תיגרם פגיעה קטלנית באדם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ובהינתן נהיגתו המסוכנת של המערער כשהוא בגילופין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לראות בו כמי שלקח על עצמו ביודעין סיכון של אפשרות ממשית שנהיגתו עלולה להסתיים בתוצאה טרגית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סיכון אשר התממש במלוא עוצמתו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לאור האמור לא נמצא להתערב הכרעת הדין ויש להותיר את הרשעתו של המערער על כנה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לא נמצא להתערב 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 דינו התייחס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לשיקולי הענישה השונים בעבירות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הנסיבות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קביעת מתחם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על הנסיבות שאינן קשורות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וביניהן עוצמת הפגיעה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בבנו ובבני המשפחה שעולמם התהפך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שהמערער שיקר בחקירתו ולא נטל אחריות על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ובמגמת ההחמרה בענישה בעבירות מעין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את דעתו גם לנסיבות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לעובדה שהוא אב לילד שהוא חב במזונותיו ולהיעדר עבר פלילי מכביד בתחום התעבורתי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במכלול 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לומר כי העונש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כלל רכיביו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בעל חומרה מיוחדת ואף רחוק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אינו חורג ממדיניות הענישה המקובלת בעבירות דומות באופן המצדיק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במעשיו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בשכרותו קיפח חייו של אדם וגרם לשינוי מסלול חייו של צעיר לבלי היכר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מבלי שנטל כל אחריות למעשים הקשים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במידת מה נגזר דינו של המערער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כפסע היה אפוא מלהחמיר בעונשו ולקבל את ערעור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בשל התחשבות בנוהג לפיו אין ערכאות הערעור נוטה למצות את הדין עם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הוחלט להותיר את העונש על כנו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1"/>
        <w:ind w:end="0"/>
        <w:jc w:val="start"/>
        <w:rPr>
          <w:rFonts w:ascii="Times New Roman" w:hAnsi="Times New Roman" w:cs="Times New Roman"/>
          <w:spacing w:val="0"/>
          <w:sz w:val="26"/>
          <w:szCs w:val="26"/>
        </w:rPr>
      </w:pPr>
      <w:r>
        <w:rPr>
          <w:rFonts w:cs="Times New Roman"/>
          <w:spacing w:val="0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</w:t>
      </w:r>
      <w:r>
        <w:rPr>
          <w:rtl w:val="true"/>
        </w:rPr>
        <w:t>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אמסטרדם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8939-08-13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25.10.2015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6.1.2016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המערער הורשע בעבירות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הריגה לפי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וחבלה חמורה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לחוק האמור בגין גרימת תאונת דרכים שהביאה להריגתו של אדם</w:t>
      </w:r>
      <w:r>
        <w:rPr>
          <w:rtl w:val="true"/>
        </w:rPr>
        <w:t xml:space="preserve">, </w:t>
      </w:r>
      <w:r>
        <w:rPr>
          <w:rtl w:val="true"/>
        </w:rPr>
        <w:t>מר חנן גולד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ולפציעתו של בן המנוח</w:t>
      </w:r>
      <w:r>
        <w:rPr>
          <w:rtl w:val="true"/>
        </w:rPr>
        <w:t xml:space="preserve">, </w:t>
      </w:r>
      <w:r>
        <w:rPr>
          <w:rtl w:val="true"/>
        </w:rPr>
        <w:t>גיא גולד</w:t>
      </w:r>
      <w:r>
        <w:rPr>
          <w:rtl w:val="true"/>
        </w:rPr>
        <w:t xml:space="preserve">, </w:t>
      </w:r>
      <w:r>
        <w:rPr>
          <w:rtl w:val="true"/>
        </w:rPr>
        <w:t xml:space="preserve">שהיה באותה עת כבן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גיא</w:t>
      </w:r>
      <w:r>
        <w:rPr>
          <w:rtl w:val="true"/>
        </w:rPr>
        <w:t xml:space="preserve">). </w:t>
      </w:r>
      <w:r>
        <w:rPr>
          <w:rtl w:val="true"/>
        </w:rPr>
        <w:t xml:space="preserve">על המערער נגזרו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פסילת רישיון נהיגה למשך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מיום שחרורו מהמאסר</w:t>
      </w:r>
      <w:r>
        <w:rPr>
          <w:rtl w:val="true"/>
        </w:rPr>
        <w:t xml:space="preserve">. </w:t>
      </w:r>
      <w:r>
        <w:rPr>
          <w:rtl w:val="true"/>
        </w:rPr>
        <w:t xml:space="preserve">כמו כן חויב המערער בתשלום פיצוי 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לעיזבון המנוח ופיצוי בסכום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לגיא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כמפורט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נהג ביום </w:t>
      </w:r>
      <w:r>
        <w:rPr/>
        <w:t>17.5.2013</w:t>
      </w:r>
      <w:r>
        <w:rPr>
          <w:rtl w:val="true"/>
        </w:rPr>
        <w:t xml:space="preserve"> </w:t>
      </w:r>
      <w:r>
        <w:rPr>
          <w:rtl w:val="true"/>
        </w:rPr>
        <w:t xml:space="preserve">ברכב מסוג </w:t>
      </w:r>
      <w:r>
        <w:rPr/>
        <w:t>BMW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/>
        <w:t>BMW</w:t>
      </w:r>
      <w:r>
        <w:rPr>
          <w:rtl w:val="true"/>
        </w:rPr>
        <w:t xml:space="preserve">) </w:t>
      </w:r>
      <w:r>
        <w:rPr>
          <w:rtl w:val="true"/>
        </w:rPr>
        <w:t xml:space="preserve">בכביש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לכיוון דרום</w:t>
      </w:r>
      <w:r>
        <w:rPr>
          <w:rtl w:val="true"/>
        </w:rPr>
        <w:t xml:space="preserve">, </w:t>
      </w:r>
      <w:r>
        <w:rPr>
          <w:rtl w:val="true"/>
        </w:rPr>
        <w:t>בנתיב האמצעי מבין שלושה נתיבים</w:t>
      </w:r>
      <w:r>
        <w:rPr>
          <w:rtl w:val="true"/>
        </w:rPr>
        <w:t xml:space="preserve">, </w:t>
      </w:r>
      <w:r>
        <w:rPr>
          <w:rtl w:val="true"/>
        </w:rPr>
        <w:t>כאשר הוא נתון תחת השפעת משקאות משכרים</w:t>
      </w:r>
      <w:r>
        <w:rPr>
          <w:rtl w:val="true"/>
        </w:rPr>
        <w:t xml:space="preserve">. </w:t>
      </w:r>
      <w:r>
        <w:rPr>
          <w:rtl w:val="true"/>
        </w:rPr>
        <w:t xml:space="preserve">במושב לצדו ישב אלכסיי גדייב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אלכסיי</w:t>
      </w:r>
      <w:r>
        <w:rPr>
          <w:rtl w:val="true"/>
        </w:rPr>
        <w:t xml:space="preserve">). </w:t>
      </w:r>
      <w:r>
        <w:rPr>
          <w:rtl w:val="true"/>
        </w:rPr>
        <w:t>עם התקרבו למחלף בר אילן</w:t>
      </w:r>
      <w:r>
        <w:rPr>
          <w:rtl w:val="true"/>
        </w:rPr>
        <w:t xml:space="preserve">, </w:t>
      </w:r>
      <w:r>
        <w:rPr>
          <w:rtl w:val="true"/>
        </w:rPr>
        <w:t>עקף המערער רכב פרטי שנסע לפניו בנתיב האמצעי</w:t>
      </w:r>
      <w:r>
        <w:rPr>
          <w:rtl w:val="true"/>
        </w:rPr>
        <w:t xml:space="preserve">, </w:t>
      </w:r>
      <w:r>
        <w:rPr>
          <w:rtl w:val="true"/>
        </w:rPr>
        <w:t>במהירות ובפראות</w:t>
      </w:r>
      <w:r>
        <w:rPr>
          <w:rtl w:val="true"/>
        </w:rPr>
        <w:t xml:space="preserve">, </w:t>
      </w:r>
      <w:r>
        <w:rPr>
          <w:rtl w:val="true"/>
        </w:rPr>
        <w:t>כשהוא משתחל בינו לבין רכב שנסע בנתיב השמאלי ומיד לאחר מכן סטה סטייה חדה מהנתיב השמאלי ימינה</w:t>
      </w:r>
      <w:r>
        <w:rPr>
          <w:rtl w:val="true"/>
        </w:rPr>
        <w:t xml:space="preserve">, </w:t>
      </w:r>
      <w:r>
        <w:rPr>
          <w:rtl w:val="true"/>
        </w:rPr>
        <w:t>איבד שליטה על רכבו והתנגש במעקה הבטיחות בצד הימני של הכביש</w:t>
      </w:r>
      <w:r>
        <w:rPr>
          <w:rtl w:val="true"/>
        </w:rPr>
        <w:t xml:space="preserve">. </w:t>
      </w:r>
      <w:r>
        <w:rPr>
          <w:rtl w:val="true"/>
        </w:rPr>
        <w:t>לאחר ההתנגשות</w:t>
      </w:r>
      <w:r>
        <w:rPr>
          <w:rtl w:val="true"/>
        </w:rPr>
        <w:t xml:space="preserve">, </w:t>
      </w:r>
      <w:r>
        <w:rPr>
          <w:rtl w:val="true"/>
        </w:rPr>
        <w:t xml:space="preserve">נהדף רכבו חזרה אל הכביש וחסם את דרכו של רכב פרטי מסוג פורשה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הפורשה</w:t>
      </w:r>
      <w:r>
        <w:rPr>
          <w:rtl w:val="true"/>
        </w:rPr>
        <w:t xml:space="preserve">) </w:t>
      </w:r>
      <w:r>
        <w:rPr>
          <w:rtl w:val="true"/>
        </w:rPr>
        <w:t>שנסע בנתיב הימני בו ישבו המנוח וגיא</w:t>
      </w:r>
      <w:r>
        <w:rPr>
          <w:rtl w:val="true"/>
        </w:rPr>
        <w:t xml:space="preserve">. </w:t>
      </w:r>
      <w:r>
        <w:rPr>
          <w:rtl w:val="true"/>
        </w:rPr>
        <w:t>שני כלי הרכב התנגשו זה בזה</w:t>
      </w:r>
      <w:r>
        <w:rPr>
          <w:rtl w:val="true"/>
        </w:rPr>
        <w:t xml:space="preserve">, </w:t>
      </w:r>
      <w:r>
        <w:rPr>
          <w:rtl w:val="true"/>
        </w:rPr>
        <w:t>נהדפו עד לעצירתם בנתיב השמאלי של הכביש והחלו להתלקח באש</w:t>
      </w:r>
      <w:r>
        <w:rPr>
          <w:rtl w:val="true"/>
        </w:rPr>
        <w:t xml:space="preserve">. </w:t>
      </w:r>
      <w:r>
        <w:rPr>
          <w:rtl w:val="true"/>
        </w:rPr>
        <w:t>בעוד שהמערער ואלכסיי הצליחו לצאת מה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BMW</w:t>
      </w:r>
      <w:r>
        <w:rPr>
          <w:rtl w:val="true"/>
        </w:rPr>
        <w:t>לפני שנשרף</w:t>
      </w:r>
      <w:r>
        <w:rPr>
          <w:rtl w:val="true"/>
        </w:rPr>
        <w:t xml:space="preserve">, </w:t>
      </w:r>
      <w:r>
        <w:rPr>
          <w:rtl w:val="true"/>
        </w:rPr>
        <w:t>המנוח וגיא נלכדו ברכב הפורשה</w:t>
      </w:r>
      <w:r>
        <w:rPr>
          <w:rtl w:val="true"/>
        </w:rPr>
        <w:t xml:space="preserve">. </w:t>
      </w:r>
      <w:r>
        <w:rPr>
          <w:rtl w:val="true"/>
        </w:rPr>
        <w:t>הם חולצו לבסוף מרכבם והובהלו לבית החולים עם כוויות קשות בכל חלקי גופם</w:t>
      </w:r>
      <w:r>
        <w:rPr>
          <w:rtl w:val="true"/>
        </w:rPr>
        <w:t xml:space="preserve">, </w:t>
      </w:r>
      <w:r>
        <w:rPr>
          <w:rtl w:val="true"/>
        </w:rPr>
        <w:t>שם אושפזו כשהם מונשמים ומורדמים</w:t>
      </w:r>
      <w:r>
        <w:rPr>
          <w:rtl w:val="true"/>
        </w:rPr>
        <w:t xml:space="preserve">. </w:t>
      </w:r>
      <w:r>
        <w:rPr>
          <w:rtl w:val="true"/>
        </w:rPr>
        <w:t xml:space="preserve">המנוח נפטר ביום </w:t>
      </w:r>
      <w:r>
        <w:rPr/>
        <w:t>2.6.2013</w:t>
      </w:r>
      <w:r>
        <w:rPr>
          <w:rtl w:val="true"/>
        </w:rPr>
        <w:t xml:space="preserve">. </w:t>
      </w:r>
      <w:r>
        <w:rPr>
          <w:rtl w:val="true"/>
        </w:rPr>
        <w:t>גיא נפגע בכוויות דרגה ב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על פני כ</w:t>
      </w:r>
      <w:r>
        <w:rPr>
          <w:rtl w:val="true"/>
        </w:rPr>
        <w:t xml:space="preserve">- </w:t>
      </w:r>
      <w:r>
        <w:rPr/>
        <w:t>70%</w:t>
      </w:r>
      <w:r>
        <w:rPr>
          <w:rtl w:val="true"/>
        </w:rPr>
        <w:t xml:space="preserve"> </w:t>
      </w:r>
      <w:r>
        <w:rPr>
          <w:rtl w:val="true"/>
        </w:rPr>
        <w:t>משטח גופו ונזקק לטיפולים רבים</w:t>
      </w:r>
      <w:r>
        <w:rPr>
          <w:rtl w:val="true"/>
        </w:rPr>
        <w:t xml:space="preserve">, </w:t>
      </w:r>
      <w:r>
        <w:rPr>
          <w:rtl w:val="true"/>
        </w:rPr>
        <w:t>לעשרות ניתוחים ולהשתלות עור</w:t>
      </w:r>
      <w:r>
        <w:rPr>
          <w:rtl w:val="true"/>
        </w:rPr>
        <w:t xml:space="preserve">. </w:t>
      </w:r>
      <w:r>
        <w:rPr>
          <w:rtl w:val="true"/>
        </w:rPr>
        <w:t>בשל הפגיעה</w:t>
      </w:r>
      <w:r>
        <w:rPr>
          <w:rtl w:val="true"/>
        </w:rPr>
        <w:t xml:space="preserve">, </w:t>
      </w:r>
      <w:r>
        <w:rPr>
          <w:rtl w:val="true"/>
        </w:rPr>
        <w:t>אצבעות ידיו ואוזניו של גיא נקטעו וצלקות קשות מכסות את כל גופו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לאחר בחינת המסכת העובדתית</w:t>
      </w:r>
      <w:r>
        <w:rPr>
          <w:rtl w:val="true"/>
        </w:rPr>
        <w:t xml:space="preserve">, </w:t>
      </w:r>
      <w:r>
        <w:rPr>
          <w:rtl w:val="true"/>
        </w:rPr>
        <w:t>מכלול הראיות</w:t>
      </w:r>
      <w:r>
        <w:rPr>
          <w:rtl w:val="true"/>
        </w:rPr>
        <w:t xml:space="preserve">, </w:t>
      </w:r>
      <w:r>
        <w:rPr>
          <w:rtl w:val="true"/>
        </w:rPr>
        <w:t>חוות הדעת שהוגשו</w:t>
      </w:r>
      <w:r>
        <w:rPr>
          <w:rtl w:val="true"/>
        </w:rPr>
        <w:t xml:space="preserve">, </w:t>
      </w:r>
      <w:r>
        <w:rPr>
          <w:rtl w:val="true"/>
        </w:rPr>
        <w:t>מסמכים שונים המתעדים את שרשרת דגימות הדם שבוצעו למערער ולמנוח ותוצאותיהן ועדויותיהם המפורטות של עדי הראיה לתאונה</w:t>
      </w:r>
      <w:r>
        <w:rPr>
          <w:rtl w:val="true"/>
        </w:rPr>
        <w:t xml:space="preserve">, </w:t>
      </w:r>
      <w:r>
        <w:rPr>
          <w:rtl w:val="true"/>
        </w:rPr>
        <w:t>הגיע בית המשפט המחוזי לכלל מסקנה כי יש להרשיע את המערער בעבירות שיוחסו לו</w:t>
      </w:r>
      <w:r>
        <w:rPr>
          <w:rtl w:val="true"/>
        </w:rPr>
        <w:t xml:space="preserve">. </w:t>
      </w:r>
      <w:r>
        <w:rPr>
          <w:rtl w:val="true"/>
        </w:rPr>
        <w:t>נקבע כי נהיגתו הפרועה של המערער במהירות גבוהה אשר הושפעה משכרותו</w:t>
      </w:r>
      <w:r>
        <w:rPr>
          <w:rtl w:val="true"/>
        </w:rPr>
        <w:t xml:space="preserve">, </w:t>
      </w:r>
      <w:r>
        <w:rPr>
          <w:rtl w:val="true"/>
        </w:rPr>
        <w:t>הסתיימה בפגיעת רכבו ברכב הפורשה שהתלקח</w:t>
      </w:r>
      <w:r>
        <w:rPr>
          <w:rtl w:val="true"/>
        </w:rPr>
        <w:t xml:space="preserve">, </w:t>
      </w:r>
      <w:r>
        <w:rPr>
          <w:rtl w:val="true"/>
        </w:rPr>
        <w:t>וזאת באופן שהביא בסופו של דבר למותו של המנוח ולגרימת חבלה חמורה לבנו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בית המשפט המחוזי דחה את גרסתו של המערער כי הוא לא היה שיכור בזמן התאונה</w:t>
      </w:r>
      <w:r>
        <w:rPr>
          <w:rtl w:val="true"/>
        </w:rPr>
        <w:t xml:space="preserve">, </w:t>
      </w:r>
      <w:r>
        <w:rPr>
          <w:rtl w:val="true"/>
        </w:rPr>
        <w:t>וכן את טענתו כי תוצאות בדיקת הדם שנערכה לו לאחר התאונה התייחסה לדגימה זרה שניטלה מאדם אחר</w:t>
      </w:r>
      <w:r>
        <w:rPr>
          <w:rtl w:val="true"/>
        </w:rPr>
        <w:t xml:space="preserve">. </w:t>
      </w:r>
      <w:r>
        <w:rPr>
          <w:rtl w:val="true"/>
        </w:rPr>
        <w:t>כן נדחו טענות המערער כי השריפה שגרמה למות המנוח ולפציעת בנו פרצה ברכב הפורשה עוד טרם ההתנגשות וכי רכב הפורשה הוא זה אשר פגע ברכב ה</w:t>
      </w:r>
      <w:r>
        <w:rPr>
          <w:rtl w:val="true"/>
        </w:rPr>
        <w:t>-</w:t>
      </w:r>
      <w:r>
        <w:rPr/>
        <w:t>BMW</w:t>
      </w:r>
      <w:r>
        <w:rPr>
          <w:rtl w:val="true"/>
        </w:rPr>
        <w:t xml:space="preserve"> </w:t>
      </w:r>
      <w:r>
        <w:rPr>
          <w:rtl w:val="true"/>
        </w:rPr>
        <w:t>באופן אשר הביא את המערער לאובדן שליטה ברכב ולסטייה מהנתיב בו נסע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בית המשפט המחוזי קבע כי המערער נהג במצב של שכרות בעת שנגרמה התאונה כאשר שיעור האלכוהול בדמו עמד על </w:t>
      </w:r>
      <w:r>
        <w:rPr/>
        <w:t>184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ג אלכוהול לכל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ל דם</w:t>
      </w:r>
      <w:r>
        <w:rPr>
          <w:rtl w:val="true"/>
        </w:rPr>
        <w:t xml:space="preserve">. </w:t>
      </w:r>
      <w:r>
        <w:rPr>
          <w:rtl w:val="true"/>
        </w:rPr>
        <w:t>קביעה זו התבססה בראש ובראשונה על תוצאת בדיקת הדם שנערכה לו והתייחסה לדגימת דם שנלקחה ממנו</w:t>
      </w:r>
      <w:r>
        <w:rPr>
          <w:rtl w:val="true"/>
        </w:rPr>
        <w:t xml:space="preserve">, </w:t>
      </w:r>
      <w:r>
        <w:rPr>
          <w:rtl w:val="true"/>
        </w:rPr>
        <w:t xml:space="preserve">כמו גם לעדות המערער עצמו כי צרך לפני הנסיעה משקאות אלכוהוליים </w:t>
      </w:r>
      <w:r>
        <w:rPr>
          <w:rtl w:val="true"/>
        </w:rPr>
        <w:t>–</w:t>
      </w:r>
      <w:r>
        <w:rPr>
          <w:rtl w:val="true"/>
        </w:rPr>
        <w:t xml:space="preserve"> שני בקבוקי בירה</w:t>
      </w:r>
      <w:r>
        <w:rPr>
          <w:rtl w:val="true"/>
        </w:rPr>
        <w:t xml:space="preserve">, </w:t>
      </w:r>
      <w:r>
        <w:rPr>
          <w:rtl w:val="true"/>
        </w:rPr>
        <w:t>ולעדויותיהם של שני שוטרים לפיהן נדף מהמערער ריח אלכוהול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כן נדחו טענות המערער באשר לסתירות לכאורה שנפלו בין מסמכים שונים שנחתמו בקשר לבדיקת הדם שנערכה לו</w:t>
      </w:r>
      <w:r>
        <w:rPr>
          <w:rtl w:val="true"/>
        </w:rPr>
        <w:t xml:space="preserve">, </w:t>
      </w:r>
      <w:r>
        <w:rPr>
          <w:rtl w:val="true"/>
        </w:rPr>
        <w:t>ולטענות שנטענו באשר לאי</w:t>
      </w:r>
      <w:r>
        <w:rPr>
          <w:rtl w:val="true"/>
        </w:rPr>
        <w:t>-</w:t>
      </w:r>
      <w:r>
        <w:rPr>
          <w:rtl w:val="true"/>
        </w:rPr>
        <w:t>הבהירות הנובעת מכך שתעודת עובד ציבור בעניין קבלת דגימת דמו של המערער מולאה עם פרטיה של ד</w:t>
      </w:r>
      <w:r>
        <w:rPr>
          <w:rtl w:val="true"/>
        </w:rPr>
        <w:t>"</w:t>
      </w:r>
      <w:r>
        <w:rPr>
          <w:rtl w:val="true"/>
        </w:rPr>
        <w:t xml:space="preserve">ר אסתר שלמך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zCs w:val="24"/>
          <w:rtl w:val="true"/>
        </w:rPr>
        <w:t>ד</w:t>
      </w:r>
      <w:r>
        <w:rPr>
          <w:rFonts w:cs="Miriam"/>
          <w:b/>
          <w:szCs w:val="24"/>
          <w:rtl w:val="true"/>
        </w:rPr>
        <w:t>"</w:t>
      </w:r>
      <w:r>
        <w:rPr>
          <w:rFonts w:cs="Miriam"/>
          <w:b/>
          <w:b/>
          <w:szCs w:val="24"/>
          <w:rtl w:val="true"/>
        </w:rPr>
        <w:t>ר</w:t>
      </w:r>
      <w:r>
        <w:rPr>
          <w:rFonts w:eastAsia="Garamond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שלמך</w:t>
      </w:r>
      <w:r>
        <w:rPr>
          <w:rtl w:val="true"/>
        </w:rPr>
        <w:t xml:space="preserve">), </w:t>
      </w:r>
      <w:r>
        <w:rPr>
          <w:rtl w:val="true"/>
        </w:rPr>
        <w:t>מנהלת היחידה לטוקסיקולוגיה משפטית במעבדה לטוקסיקולוגיה ופרמקולוגיה בבית החולים ע</w:t>
      </w:r>
      <w:r>
        <w:rPr>
          <w:rtl w:val="true"/>
        </w:rPr>
        <w:t>"</w:t>
      </w:r>
      <w:r>
        <w:rPr>
          <w:rtl w:val="true"/>
        </w:rPr>
        <w:t xml:space="preserve">ש חיים שיבא </w:t>
      </w:r>
      <w:r>
        <w:rPr>
          <w:rtl w:val="true"/>
        </w:rPr>
        <w:t>"</w:t>
      </w:r>
      <w:r>
        <w:rPr>
          <w:rtl w:val="true"/>
        </w:rPr>
        <w:t>תל השומר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המעבדה</w:t>
      </w:r>
      <w:r>
        <w:rPr>
          <w:rtl w:val="true"/>
        </w:rPr>
        <w:t xml:space="preserve">), </w:t>
      </w:r>
      <w:r>
        <w:rPr>
          <w:rtl w:val="true"/>
        </w:rPr>
        <w:t xml:space="preserve">ופעם נוספת עם פרטיו של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אשר גופר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ד</w:t>
      </w:r>
      <w:r>
        <w:rPr>
          <w:rFonts w:cs="Miriam" w:ascii="Century" w:hAnsi="Century"/>
          <w:b/>
          <w:szCs w:val="24"/>
          <w:rtl w:val="true"/>
        </w:rPr>
        <w:t>"</w:t>
      </w:r>
      <w:r>
        <w:rPr>
          <w:rFonts w:ascii="Century" w:hAnsi="Century" w:cs="Miriam"/>
          <w:b/>
          <w:b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Cs w:val="24"/>
          <w:rtl w:val="true"/>
        </w:rPr>
        <w:t>גופר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סגן מנהלת המעבדה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נמצא כי היה בהתנהלות זו כדי לעורר חשש שהדגימה שהתייחסה לדמו של המערער ניטלה למעשה מאדם אחר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באשר לאופן קרות התאונה</w:t>
      </w:r>
      <w:r>
        <w:rPr>
          <w:rtl w:val="true"/>
        </w:rPr>
        <w:t xml:space="preserve">, </w:t>
      </w:r>
      <w:r>
        <w:rPr>
          <w:rtl w:val="true"/>
        </w:rPr>
        <w:t>שלל בית המשפט המחוזי את טענת המערער כי רכב הפורשה התנגש ברכבו בעת שנסע בנתיב האמצעי</w:t>
      </w:r>
      <w:r>
        <w:rPr>
          <w:rtl w:val="true"/>
        </w:rPr>
        <w:t xml:space="preserve">. </w:t>
      </w:r>
      <w:r>
        <w:rPr>
          <w:rtl w:val="true"/>
        </w:rPr>
        <w:t>נמצא שאין כל ראיה של ממש התומכת בגרסת המערער בהקשר זה</w:t>
      </w:r>
      <w:r>
        <w:rPr>
          <w:rtl w:val="true"/>
        </w:rPr>
        <w:t xml:space="preserve">, </w:t>
      </w:r>
      <w:r>
        <w:rPr>
          <w:rtl w:val="true"/>
        </w:rPr>
        <w:t>גרסה שהייתה מתפתחת ובלתי עקבית</w:t>
      </w:r>
      <w:r>
        <w:rPr>
          <w:rtl w:val="true"/>
        </w:rPr>
        <w:t xml:space="preserve">. </w:t>
      </w:r>
      <w:r>
        <w:rPr>
          <w:rtl w:val="true"/>
        </w:rPr>
        <w:t>כמו כן נשלל התרחיש לפיו רכב הפורשה התלקח עוד לפני קרות התאונה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בחן את חוות דעתו של המהנדס אשר סלוצקי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המהנדס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סלוצקי</w:t>
      </w:r>
      <w:r>
        <w:rPr>
          <w:rtl w:val="true"/>
        </w:rPr>
        <w:t xml:space="preserve">) </w:t>
      </w:r>
      <w:r>
        <w:rPr>
          <w:rtl w:val="true"/>
        </w:rPr>
        <w:t>שהוגשה מטעם המערער ונטען בה כי השריפה נגרמה כתוצאה מקצר חשמלי ברכב הפורשה</w:t>
      </w:r>
      <w:r>
        <w:rPr>
          <w:rtl w:val="true"/>
        </w:rPr>
        <w:t xml:space="preserve">. </w:t>
      </w:r>
      <w:r>
        <w:rPr>
          <w:rtl w:val="true"/>
        </w:rPr>
        <w:t>בית המשפט העדיף את עדויותיהם של אנשי המקצוע מטעם המשיבה</w:t>
      </w:r>
      <w:r>
        <w:rPr>
          <w:rtl w:val="true"/>
        </w:rPr>
        <w:t xml:space="preserve">, </w:t>
      </w:r>
      <w:r>
        <w:rPr>
          <w:rtl w:val="true"/>
        </w:rPr>
        <w:t>לפיהם התאונה היא זו שגרמה להצתה שהובילה לשריפה</w:t>
      </w:r>
      <w:r>
        <w:rPr>
          <w:rtl w:val="true"/>
        </w:rPr>
        <w:t xml:space="preserve">. </w:t>
      </w:r>
      <w:r>
        <w:rPr>
          <w:rtl w:val="true"/>
        </w:rPr>
        <w:t>אף צוין כי גם אם הייתה מתקבלת טענת המערער כי ברכב הפורשה נפל כֶּשֶל כלשהו שהיה בו כדי לתרום לאופן שריפתו</w:t>
      </w:r>
      <w:r>
        <w:rPr>
          <w:rtl w:val="true"/>
        </w:rPr>
        <w:t xml:space="preserve">, </w:t>
      </w:r>
      <w:r>
        <w:rPr>
          <w:rtl w:val="true"/>
        </w:rPr>
        <w:t>לא היה הדבר מסייע למערער נוכח מבחני הקשר הסיבתי המקובלים בפסיקה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בהמשך להרשעתו בדין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6.1.2016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 xml:space="preserve">המחוזי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 המשפט קבע כי בהתחשב בחומרתן של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נהיגתו של המערער בשכרות ובחריגה מתנאי הדרך</w:t>
      </w:r>
      <w:r>
        <w:rPr>
          <w:rtl w:val="true"/>
        </w:rPr>
        <w:t xml:space="preserve">, </w:t>
      </w:r>
      <w:r>
        <w:rPr>
          <w:rtl w:val="true"/>
        </w:rPr>
        <w:t>באופן שיצר סיכון משמעותי לסביבה והנזק החמור שנגרם כתוצאה מכך</w:t>
      </w:r>
      <w:r>
        <w:rPr>
          <w:rtl w:val="true"/>
        </w:rPr>
        <w:t xml:space="preserve">, </w:t>
      </w:r>
      <w:r>
        <w:rPr>
          <w:rtl w:val="true"/>
        </w:rPr>
        <w:t xml:space="preserve">יש להעמיד את מתחם העונש ההולם בטווח שבין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בית המשפט לקח בחשבון לקולא את העובדה שהמערער אינו בעל עבר תעבורתי כבד ואת היותו אב לילד שהוא מחויב במזונותיו</w:t>
      </w:r>
      <w:r>
        <w:rPr>
          <w:rtl w:val="true"/>
        </w:rPr>
        <w:t xml:space="preserve">. </w:t>
      </w:r>
      <w:r>
        <w:rPr>
          <w:rtl w:val="true"/>
        </w:rPr>
        <w:t>אך בהתחשב בכלל הנסיבות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ובין היתר בעוצמת הפגיעה במנוח</w:t>
      </w:r>
      <w:r>
        <w:rPr>
          <w:rtl w:val="true"/>
        </w:rPr>
        <w:t xml:space="preserve">, </w:t>
      </w:r>
      <w:r>
        <w:rPr>
          <w:rtl w:val="true"/>
        </w:rPr>
        <w:t>בגיא ובבני משפחתם</w:t>
      </w:r>
      <w:r>
        <w:rPr>
          <w:rtl w:val="true"/>
        </w:rPr>
        <w:t xml:space="preserve">, </w:t>
      </w:r>
      <w:r>
        <w:rPr>
          <w:rtl w:val="true"/>
        </w:rPr>
        <w:t>בכך שהמערער לא נטל אחריות על מעשיו ושיקר בחקירתו במשטרה ובמגמת ההחמרה בענישה בעבירות האמורות</w:t>
      </w:r>
      <w:r>
        <w:rPr>
          <w:rtl w:val="true"/>
        </w:rPr>
        <w:t xml:space="preserve">, </w:t>
      </w:r>
      <w:r>
        <w:rPr>
          <w:rtl w:val="true"/>
        </w:rPr>
        <w:t>נגזרו על המערער העונשים שפורטו 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בהודעת הערעור המערער טען כי התגלו סתירות מהותיות הנוגעות לממצאים בעלי משקל משמעותי ביותר לעניין ההרשעה</w:t>
      </w:r>
      <w:r>
        <w:rPr>
          <w:rtl w:val="true"/>
        </w:rPr>
        <w:t xml:space="preserve">, </w:t>
      </w:r>
      <w:r>
        <w:rPr>
          <w:rtl w:val="true"/>
        </w:rPr>
        <w:t>באשר לקביעה כי נהג בשכרות</w:t>
      </w:r>
      <w:r>
        <w:rPr>
          <w:rtl w:val="true"/>
        </w:rPr>
        <w:t xml:space="preserve">. </w:t>
      </w:r>
      <w:r>
        <w:rPr>
          <w:rtl w:val="true"/>
        </w:rPr>
        <w:t>נטען כי לא הוכח כי נטילת דגימת הדם ממנו בוצעה עם חומר חיטוי שאינו מכיל כוהל</w:t>
      </w:r>
      <w:r>
        <w:rPr>
          <w:rtl w:val="true"/>
        </w:rPr>
        <w:t xml:space="preserve">; </w:t>
      </w:r>
      <w:r>
        <w:rPr>
          <w:rtl w:val="true"/>
        </w:rPr>
        <w:t>כי לא הוכח שבוחן התנועה שקיבל את המבחנה מהאחות בבית החולים אכן קיבל את דגימת הדם שלו ולא של אדם אחר</w:t>
      </w:r>
      <w:r>
        <w:rPr>
          <w:rtl w:val="true"/>
        </w:rPr>
        <w:t xml:space="preserve">; </w:t>
      </w:r>
      <w:r>
        <w:rPr>
          <w:rtl w:val="true"/>
        </w:rPr>
        <w:t>וכי גם לא הוכח שדגימת הדם שהתקבלה במעבדה הינה שלו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יצוין כי בעיקרי הטיעון שהוגשו</w:t>
      </w:r>
      <w:r>
        <w:rPr>
          <w:rtl w:val="true"/>
        </w:rPr>
        <w:t xml:space="preserve">, </w:t>
      </w:r>
      <w:r>
        <w:rPr>
          <w:rtl w:val="true"/>
        </w:rPr>
        <w:t>ובשונה מהודעת הערעור</w:t>
      </w:r>
      <w:r>
        <w:rPr>
          <w:rtl w:val="true"/>
        </w:rPr>
        <w:t xml:space="preserve">, </w:t>
      </w:r>
      <w:r>
        <w:rPr>
          <w:rtl w:val="true"/>
        </w:rPr>
        <w:t>התמקד המערער בטענה בדבר פגם בשרשרת העברת דגימת הדם במעבדה כשהוא זונח למעשה את שאר הטענות שהעלה בקשר לקביעה כי נהג בשכרות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העלה המערער טענות שונות באשר לקביעות בית המשפט המחוזי לגבי אופן התרחשות התאונה</w:t>
      </w:r>
      <w:r>
        <w:rPr>
          <w:rtl w:val="true"/>
        </w:rPr>
        <w:t xml:space="preserve">. </w:t>
      </w:r>
      <w:r>
        <w:rPr>
          <w:rtl w:val="true"/>
        </w:rPr>
        <w:t>בהודעת הערעור שטח המערער טענות שונות</w:t>
      </w:r>
      <w:r>
        <w:rPr>
          <w:rtl w:val="true"/>
        </w:rPr>
        <w:t xml:space="preserve">, </w:t>
      </w:r>
      <w:r>
        <w:rPr>
          <w:rtl w:val="true"/>
        </w:rPr>
        <w:t>באשר לאופן בו נבחנו ונדחו חוות הדעת שהוגשו מטעמו</w:t>
      </w:r>
      <w:r>
        <w:rPr>
          <w:rtl w:val="true"/>
        </w:rPr>
        <w:t xml:space="preserve">, </w:t>
      </w:r>
      <w:r>
        <w:rPr>
          <w:rtl w:val="true"/>
        </w:rPr>
        <w:t>בעוד שהכרעתו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הושתתה על הנחות שהניח בוחן התנועה ללא שהוצגה תשתית אובייקטיבית ברורה המוכיחה הנחות אלו</w:t>
      </w:r>
      <w:r>
        <w:rPr>
          <w:rtl w:val="true"/>
        </w:rPr>
        <w:t xml:space="preserve">. </w:t>
      </w:r>
      <w:r>
        <w:rPr>
          <w:rtl w:val="true"/>
        </w:rPr>
        <w:t>בעיקר נטען כי נדחתה שלא בצדק טענתו כי רכב הפורשה התלקח באש עוד קודם להתרחשות התאונה</w:t>
      </w:r>
      <w:r>
        <w:rPr>
          <w:rtl w:val="true"/>
        </w:rPr>
        <w:t xml:space="preserve">, </w:t>
      </w:r>
      <w:r>
        <w:rPr>
          <w:rtl w:val="true"/>
        </w:rPr>
        <w:t>וכי רכב הפורשה הוא זה שפגע ברכב ה</w:t>
      </w:r>
      <w:r>
        <w:rPr>
          <w:rtl w:val="true"/>
        </w:rPr>
        <w:t>-</w:t>
      </w:r>
      <w:r>
        <w:rPr/>
        <w:t>BMW</w:t>
      </w:r>
      <w:r>
        <w:rPr>
          <w:rtl w:val="true"/>
        </w:rPr>
        <w:t xml:space="preserve"> </w:t>
      </w:r>
      <w:r>
        <w:rPr>
          <w:rtl w:val="true"/>
        </w:rPr>
        <w:t>עוד לפני ההתנגשות שהתרחשה מאוחר יותר</w:t>
      </w:r>
      <w:r>
        <w:rPr>
          <w:rtl w:val="true"/>
        </w:rPr>
        <w:t xml:space="preserve">. </w:t>
      </w:r>
      <w:r>
        <w:rPr>
          <w:rtl w:val="true"/>
        </w:rPr>
        <w:t>בעיקרי הטיעון התמקד המערער בטענה כי מדברי העדים לתאונה עולים סתירות שונות ולא ניתן היה לקבוע מהם לשיטתו</w:t>
      </w:r>
      <w:r>
        <w:rPr>
          <w:rtl w:val="true"/>
        </w:rPr>
        <w:t xml:space="preserve">, </w:t>
      </w:r>
      <w:r>
        <w:rPr>
          <w:rtl w:val="true"/>
        </w:rPr>
        <w:t>כי נהג ברכבו במהירות מופרזת או מסוכנת</w:t>
      </w:r>
      <w:r>
        <w:rPr>
          <w:rtl w:val="true"/>
        </w:rPr>
        <w:t xml:space="preserve">. </w:t>
      </w:r>
      <w:r>
        <w:rPr>
          <w:rtl w:val="true"/>
        </w:rPr>
        <w:t>עוד נטען כי יש בעדויות אלה כדי לחזק את המסקנה כי רכב הפורשה עלה באש לפני התאונה</w:t>
      </w:r>
      <w:r>
        <w:rPr>
          <w:rtl w:val="true"/>
        </w:rPr>
        <w:t xml:space="preserve">, </w:t>
      </w:r>
      <w:r>
        <w:rPr>
          <w:rtl w:val="true"/>
        </w:rPr>
        <w:t>והוא גם זה אשר פגע ברכב ה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BMW</w:t>
      </w:r>
      <w:r>
        <w:rPr>
          <w:rtl w:val="true"/>
        </w:rPr>
        <w:t>עוד קודם להתנגשות ביניהם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טען המערער כי לא הוכח קיומו של היסוד הנפשי הנדרש לצורך הרשעה בעבירות הריגה וגרימת חבלה חמורה</w:t>
      </w:r>
      <w:r>
        <w:rPr>
          <w:rtl w:val="true"/>
        </w:rPr>
        <w:t xml:space="preserve">, </w:t>
      </w:r>
      <w:r>
        <w:rPr>
          <w:rtl w:val="true"/>
        </w:rPr>
        <w:t>שכן לכל היותר נמצא בסיס לקיומה של עבירת גרם מוות ברשלנות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באשר לגזר הדין ולערעור המשיבה</w:t>
      </w:r>
      <w:r>
        <w:rPr>
          <w:rtl w:val="true"/>
        </w:rPr>
        <w:t xml:space="preserve">, </w:t>
      </w:r>
      <w:r>
        <w:rPr>
          <w:rtl w:val="true"/>
        </w:rPr>
        <w:t>נטען כי אין כל מקום לטענת המשיבה כי מתחם הענישה שנקבע על ידי בית המשפט המחוזי הוא נמוך מידי</w:t>
      </w:r>
      <w:r>
        <w:rPr>
          <w:rtl w:val="true"/>
        </w:rPr>
        <w:t xml:space="preserve">, </w:t>
      </w:r>
      <w:r>
        <w:rPr>
          <w:rtl w:val="true"/>
        </w:rPr>
        <w:t>שעה שהמשיבה עצמה הציעה מתחם ענישה דומה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נטען כי המתחם שנקבע הינו גבוה מידי ומחמיר עם המערער יתר על המידה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המשיבה סמכה </w:t>
      </w:r>
      <w:r>
        <w:rPr>
          <w:rtl w:val="true"/>
        </w:rPr>
        <w:t>ידיה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 xml:space="preserve">נטען כי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 xml:space="preserve">התבססה </w:t>
      </w:r>
      <w:r>
        <w:rPr>
          <w:rtl w:val="true"/>
        </w:rPr>
        <w:t>היטב</w:t>
      </w:r>
      <w:r>
        <w:rPr>
          <w:rtl w:val="true"/>
        </w:rPr>
        <w:t xml:space="preserve"> </w:t>
      </w:r>
      <w:r>
        <w:rPr>
          <w:rtl w:val="true"/>
        </w:rPr>
        <w:t>על חומר ה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>שהובא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 xml:space="preserve">ועל </w:t>
      </w:r>
      <w:r>
        <w:rPr>
          <w:rtl w:val="true"/>
        </w:rPr>
        <w:t>ממצאי</w:t>
      </w:r>
      <w:r>
        <w:rPr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נוטה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המשיבה דחתה את הטענות בדבר אי</w:t>
      </w:r>
      <w:r>
        <w:rPr>
          <w:rtl w:val="true"/>
        </w:rPr>
        <w:t>-</w:t>
      </w:r>
      <w:r>
        <w:rPr>
          <w:rtl w:val="true"/>
        </w:rPr>
        <w:t>הוכחת שרשרת דגימת הדם</w:t>
      </w:r>
      <w:r>
        <w:rPr>
          <w:rtl w:val="true"/>
        </w:rPr>
        <w:t xml:space="preserve">, </w:t>
      </w:r>
      <w:r>
        <w:rPr>
          <w:rtl w:val="true"/>
        </w:rPr>
        <w:t>הן לאור העובדה שטענה זו לא בא זכרה לפני בית המשפט המחוזי ואף לא בהודעת הערעור</w:t>
      </w:r>
      <w:r>
        <w:rPr>
          <w:rtl w:val="true"/>
        </w:rPr>
        <w:t xml:space="preserve">, </w:t>
      </w:r>
      <w:r>
        <w:rPr>
          <w:rtl w:val="true"/>
        </w:rPr>
        <w:t>והן לגופהּ</w:t>
      </w:r>
      <w:r>
        <w:rPr>
          <w:rtl w:val="true"/>
        </w:rPr>
        <w:t xml:space="preserve">, </w:t>
      </w:r>
      <w:r>
        <w:rPr>
          <w:rtl w:val="true"/>
        </w:rPr>
        <w:t>שעה שדגימת דמו של המערער הועברה למעבדה כשהיא נתונה במעטפה סגורה ועל המבחנה עצמה הייתה מודבקת מדבקה הנושאת את פרטי המערער</w:t>
      </w:r>
      <w:r>
        <w:rPr>
          <w:rtl w:val="true"/>
        </w:rPr>
        <w:t xml:space="preserve">. </w:t>
      </w:r>
      <w:r>
        <w:rPr>
          <w:rtl w:val="true"/>
        </w:rPr>
        <w:t>כן הדגישה המשיבה כי המסקנה בדבר שכרותו של המערער התבססה על שורה ארוכה של ממצאים עובדתיים נוספים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כן דחתה המשיבה את טענות המערער כי מעדויות הראיה עולה כי המערער לא נהג במהירות גבוהה מהמותר או בצורה מסוכנת</w:t>
      </w:r>
      <w:r>
        <w:rPr>
          <w:rtl w:val="true"/>
        </w:rPr>
        <w:t xml:space="preserve">. </w:t>
      </w:r>
      <w:r>
        <w:rPr>
          <w:rtl w:val="true"/>
        </w:rPr>
        <w:t>מהעדויות עולה באופן חד</w:t>
      </w:r>
      <w:r>
        <w:rPr>
          <w:rtl w:val="true"/>
        </w:rPr>
        <w:t>-</w:t>
      </w:r>
      <w:r>
        <w:rPr>
          <w:rtl w:val="true"/>
        </w:rPr>
        <w:t>משמעי כי המערער נהג במהירות מופרזת ועבר בין נתיבי הנסיעה בצורה חדה ומסוכנת תוך סיכון חיי הנוהגים בכביש</w:t>
      </w:r>
      <w:r>
        <w:rPr>
          <w:rtl w:val="true"/>
        </w:rPr>
        <w:t xml:space="preserve">. </w:t>
      </w:r>
      <w:r>
        <w:rPr>
          <w:rtl w:val="true"/>
        </w:rPr>
        <w:t>עדויות אלה תומכות בתרחיש שהוצג על ידי בוחן התנועה</w:t>
      </w:r>
      <w:r>
        <w:rPr>
          <w:rtl w:val="true"/>
        </w:rPr>
        <w:t xml:space="preserve">, </w:t>
      </w:r>
      <w:r>
        <w:rPr>
          <w:rtl w:val="true"/>
        </w:rPr>
        <w:t>וגם ניתן לשלול על בסיסן את הטענה כי רכב הפורשה הוא זה שפגע</w:t>
      </w:r>
      <w:r>
        <w:rPr>
          <w:rtl w:val="true"/>
        </w:rPr>
        <w:t xml:space="preserve">, </w:t>
      </w:r>
      <w:r>
        <w:rPr>
          <w:rtl w:val="true"/>
        </w:rPr>
        <w:t>קודם לתאונה</w:t>
      </w:r>
      <w:r>
        <w:rPr>
          <w:rtl w:val="true"/>
        </w:rPr>
        <w:t xml:space="preserve">, </w:t>
      </w:r>
      <w:r>
        <w:rPr>
          <w:rtl w:val="true"/>
        </w:rPr>
        <w:t>ברכב ה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באשר ליסוד הנפשי הנדרש להוכחת יסודות העבירה</w:t>
      </w:r>
      <w:r>
        <w:rPr>
          <w:rtl w:val="true"/>
        </w:rPr>
        <w:t xml:space="preserve">, </w:t>
      </w:r>
      <w:r>
        <w:rPr>
          <w:rtl w:val="true"/>
        </w:rPr>
        <w:t>נטען כי משנסע המערער כשבגופו שיעור גבוה של אלכוהול</w:t>
      </w:r>
      <w:r>
        <w:rPr>
          <w:rtl w:val="true"/>
        </w:rPr>
        <w:t xml:space="preserve">, </w:t>
      </w:r>
      <w:r>
        <w:rPr>
          <w:rtl w:val="true"/>
        </w:rPr>
        <w:t>קמה נגדו חזקה שלפיה הייתה בשכרות זו כדי להשפיע על יכולתו לנהוג ברכב במידת הזהירות הנדרשת לעניין</w:t>
      </w:r>
      <w:r>
        <w:rPr>
          <w:rtl w:val="true"/>
        </w:rPr>
        <w:t xml:space="preserve">. </w:t>
      </w:r>
      <w:r>
        <w:rPr>
          <w:rtl w:val="true"/>
        </w:rPr>
        <w:t>משנמצא בחומר הראיות תימוכין לכך שלשכרותו גם הייתה השפעה על נהיגתו במהירות מופרזת באופן שהיווה סכנה לחי אדם</w:t>
      </w:r>
      <w:r>
        <w:rPr>
          <w:rtl w:val="true"/>
        </w:rPr>
        <w:t xml:space="preserve">, </w:t>
      </w:r>
      <w:r>
        <w:rPr>
          <w:rtl w:val="true"/>
        </w:rPr>
        <w:t>די בכך כדי להרשיע את המערער בעבירות שיוחסו 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בערעורהּ טענה המשיבה כי העונש שהוטל על המערער אינו עולה בקנה אחד עם החומרה הרבה שבמעשיו</w:t>
      </w:r>
      <w:r>
        <w:rPr>
          <w:rtl w:val="true"/>
        </w:rPr>
        <w:t xml:space="preserve">. </w:t>
      </w:r>
      <w:r>
        <w:rPr>
          <w:rtl w:val="true"/>
        </w:rPr>
        <w:t>בהתחשב במגמת ההחמרה בענישה בעבירות אלה</w:t>
      </w:r>
      <w:r>
        <w:rPr>
          <w:rtl w:val="true"/>
        </w:rPr>
        <w:t xml:space="preserve">, </w:t>
      </w:r>
      <w:r>
        <w:rPr>
          <w:rtl w:val="true"/>
        </w:rPr>
        <w:t>על מנת לסייע במיגור תאונות הדרכים ותופעת הנהיגה בשכרות</w:t>
      </w:r>
      <w:r>
        <w:rPr>
          <w:rtl w:val="true"/>
        </w:rPr>
        <w:t xml:space="preserve">, </w:t>
      </w:r>
      <w:r>
        <w:rPr>
          <w:rtl w:val="true"/>
        </w:rPr>
        <w:t>היה צריך להחמיר בעונשו של המערער</w:t>
      </w:r>
      <w:r>
        <w:rPr>
          <w:rtl w:val="true"/>
        </w:rPr>
        <w:t xml:space="preserve">, </w:t>
      </w:r>
      <w:r>
        <w:rPr>
          <w:rtl w:val="true"/>
        </w:rPr>
        <w:t>כאשר לא הובהר מדוע זה הועמד בחלקו הנמוך של המתחם</w:t>
      </w:r>
      <w:r>
        <w:rPr>
          <w:rtl w:val="true"/>
        </w:rPr>
        <w:t xml:space="preserve">, </w:t>
      </w:r>
      <w:r>
        <w:rPr>
          <w:rtl w:val="true"/>
        </w:rPr>
        <w:t>ללא שהוכחו נסיבות המצדיקות זאת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לשלמות התמונה</w:t>
      </w:r>
      <w:r>
        <w:rPr>
          <w:rtl w:val="true"/>
        </w:rPr>
        <w:t xml:space="preserve">, </w:t>
      </w:r>
      <w:r>
        <w:rPr>
          <w:rtl w:val="true"/>
        </w:rPr>
        <w:t xml:space="preserve">יצוין כי המערער הגיש ביום </w:t>
      </w:r>
      <w:r>
        <w:rPr/>
        <w:t>6.10.2016</w:t>
      </w:r>
      <w:r>
        <w:rPr>
          <w:rtl w:val="true"/>
        </w:rPr>
        <w:t xml:space="preserve"> </w:t>
      </w:r>
      <w:r>
        <w:rPr>
          <w:rtl w:val="true"/>
        </w:rPr>
        <w:t xml:space="preserve">בקשה </w:t>
      </w:r>
      <w:r>
        <w:rPr>
          <w:rtl w:val="true"/>
        </w:rPr>
        <w:t>"</w:t>
      </w:r>
      <w:r>
        <w:rPr>
          <w:rtl w:val="true"/>
        </w:rPr>
        <w:t>לתיקון הודעת הערעור וכן בקשה לצירוף ראיות חדשות</w:t>
      </w:r>
      <w:r>
        <w:rPr>
          <w:rtl w:val="true"/>
        </w:rPr>
        <w:t xml:space="preserve">", </w:t>
      </w:r>
      <w:r>
        <w:rPr>
          <w:rtl w:val="true"/>
        </w:rPr>
        <w:t>במסגרתה ביקש להוסיף את הטענה כי לא הוכחה שרשרת העברת הדם בתוך המעבדה</w:t>
      </w:r>
      <w:r>
        <w:rPr>
          <w:rtl w:val="true"/>
        </w:rPr>
        <w:t xml:space="preserve">. </w:t>
      </w:r>
      <w:r>
        <w:rPr>
          <w:rtl w:val="true"/>
        </w:rPr>
        <w:t>לצורך הוכחת טענה זו התבקשה גם העדתם של ד</w:t>
      </w:r>
      <w:r>
        <w:rPr>
          <w:rtl w:val="true"/>
        </w:rPr>
        <w:t>"</w:t>
      </w:r>
      <w:r>
        <w:rPr>
          <w:rtl w:val="true"/>
        </w:rPr>
        <w:t>ר גופר וד</w:t>
      </w:r>
      <w:r>
        <w:rPr>
          <w:rtl w:val="true"/>
        </w:rPr>
        <w:t>"</w:t>
      </w:r>
      <w:r>
        <w:rPr>
          <w:rtl w:val="true"/>
        </w:rPr>
        <w:t>ר שלמך פעם נוספת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4.7.2017</w:t>
      </w:r>
      <w:r>
        <w:rPr>
          <w:rtl w:val="true"/>
        </w:rPr>
        <w:t xml:space="preserve"> </w:t>
      </w:r>
      <w:r>
        <w:rPr>
          <w:rtl w:val="true"/>
        </w:rPr>
        <w:t>דחינו את בקשת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נקבע כי </w:t>
      </w:r>
      <w:r>
        <w:rPr>
          <w:rFonts w:ascii="Century" w:hAnsi="Century" w:cs="Century"/>
          <w:sz w:val="22"/>
          <w:sz w:val="22"/>
          <w:rtl w:val="true"/>
        </w:rPr>
        <w:t>המערער לא הצביע על פגם כלשהו המקים חשש לפגם בשרשרת הראייתית הקשורה לדגימת הדם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וכי לא נמצא שמדובר בראיה שהמערער לא יכול היה להשיגה ולחקור בעניינה </w:t>
      </w:r>
      <w:r>
        <w:rPr>
          <w:rFonts w:ascii="Century" w:hAnsi="Century" w:cs="Century"/>
          <w:rtl w:val="true"/>
        </w:rPr>
        <w:t>במסגרת ההליך לפני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למשקל הפוטנציאלי הגלום בראיה המבוקשת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לא קיימת הצדקה לאפשר את המבוקש על ידי המערער בדרך של פתיחת ההליך מחדש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זאת שעה שלא נמצא כי המערער מחזיק </w:t>
      </w:r>
      <w:r>
        <w:rPr>
          <w:rFonts w:ascii="Century" w:hAnsi="Century" w:cs="Century"/>
          <w:sz w:val="22"/>
          <w:sz w:val="22"/>
          <w:rtl w:val="true"/>
        </w:rPr>
        <w:t>בתשתית ראייתית כלשהי שיש בה כדי להטיל ספק בממצא העובדתי שנקבע בעניין שיעור האלכוהול בדמו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בהתחשב גם במארג הראיות הכולל שהוצג לפני בית המשפט המחוזי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המערער לא השלים עם ההחלטה האמורה וביום </w:t>
      </w:r>
      <w:r>
        <w:rPr/>
        <w:t>28.1.2018</w:t>
      </w:r>
      <w:r>
        <w:rPr>
          <w:rtl w:val="true"/>
        </w:rPr>
        <w:t xml:space="preserve">, </w:t>
      </w:r>
      <w:r>
        <w:rPr>
          <w:rtl w:val="true"/>
        </w:rPr>
        <w:t>ערב הדיון בערעורו</w:t>
      </w:r>
      <w:r>
        <w:rPr>
          <w:rtl w:val="true"/>
        </w:rPr>
        <w:t xml:space="preserve">, </w:t>
      </w:r>
      <w:r>
        <w:rPr>
          <w:rtl w:val="true"/>
        </w:rPr>
        <w:t>הוא הגיש בקשה לעיון חוזר בהחלטה</w:t>
      </w:r>
      <w:r>
        <w:rPr>
          <w:rtl w:val="true"/>
        </w:rPr>
        <w:t xml:space="preserve">. </w:t>
      </w:r>
      <w:r>
        <w:rPr>
          <w:rtl w:val="true"/>
        </w:rPr>
        <w:t>בבקשה התבקש פעם נוספת צירופן של ראיות חדשות לערעור</w:t>
      </w:r>
      <w:r>
        <w:rPr>
          <w:rtl w:val="true"/>
        </w:rPr>
        <w:t xml:space="preserve">, </w:t>
      </w:r>
      <w:r>
        <w:rPr>
          <w:rtl w:val="true"/>
        </w:rPr>
        <w:t xml:space="preserve">ונטען כי בית משפט זה בהחלטתו מיום </w:t>
      </w:r>
      <w:r>
        <w:rPr/>
        <w:t>4.7.2017</w:t>
      </w:r>
      <w:r>
        <w:rPr>
          <w:rtl w:val="true"/>
        </w:rPr>
        <w:t xml:space="preserve"> </w:t>
      </w:r>
      <w:r>
        <w:rPr>
          <w:rtl w:val="true"/>
        </w:rPr>
        <w:t>לא נתן דעתו די הצורך לנטען בעניין מדבקות הזיהוי בהן מופיעות פרטי הנבדק שהודבקו על תעודות עובד הציבור המצביעות על קבלת דגימת הדם במעבדה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בעוד שתעודת עובד הציבור בעניינו של המערער נשאה את המספר הסידורי </w:t>
      </w:r>
      <w:r>
        <w:rPr/>
        <w:t>14200750</w:t>
      </w:r>
      <w:r>
        <w:rPr>
          <w:rtl w:val="true"/>
        </w:rPr>
        <w:t xml:space="preserve"> </w:t>
      </w:r>
      <w:r>
        <w:rPr>
          <w:rtl w:val="true"/>
        </w:rPr>
        <w:t xml:space="preserve">ותעודת עובד הציבור בעניינו של המנוח נשאה את המספר הסידורי </w:t>
      </w:r>
      <w:r>
        <w:rPr/>
        <w:t>14200751</w:t>
      </w:r>
      <w:r>
        <w:rPr>
          <w:rtl w:val="true"/>
        </w:rPr>
        <w:t xml:space="preserve">, </w:t>
      </w:r>
      <w:r>
        <w:rPr>
          <w:rtl w:val="true"/>
        </w:rPr>
        <w:t>תעודת עובד הציבור אשר נחתמה פעם נוספת בעניינו של המערער נשאה גם היא את המספר הסידורי הראשון מביניהם</w:t>
      </w:r>
      <w:r>
        <w:rPr>
          <w:rtl w:val="true"/>
        </w:rPr>
        <w:t xml:space="preserve">, </w:t>
      </w:r>
      <w:r>
        <w:rPr>
          <w:rtl w:val="true"/>
        </w:rPr>
        <w:t xml:space="preserve">היינו זה שספרותיו האחרונות הן </w:t>
      </w:r>
      <w:r>
        <w:rPr/>
        <w:t>750</w:t>
      </w:r>
      <w:r>
        <w:rPr>
          <w:rtl w:val="true"/>
        </w:rPr>
        <w:t xml:space="preserve">. </w:t>
      </w:r>
      <w:r>
        <w:rPr>
          <w:rtl w:val="true"/>
        </w:rPr>
        <w:t>כך נטען כי יש באופן המספור האמור כדי לעורר את הצורך בהעדתם של ד</w:t>
      </w:r>
      <w:r>
        <w:rPr>
          <w:rtl w:val="true"/>
        </w:rPr>
        <w:t>"</w:t>
      </w:r>
      <w:r>
        <w:rPr>
          <w:rtl w:val="true"/>
        </w:rPr>
        <w:t>ר שלמך וד</w:t>
      </w:r>
      <w:r>
        <w:rPr>
          <w:rtl w:val="true"/>
        </w:rPr>
        <w:t>"</w:t>
      </w:r>
      <w:r>
        <w:rPr>
          <w:rtl w:val="true"/>
        </w:rPr>
        <w:t>ר גופר פעם נוספת</w:t>
      </w:r>
      <w:r>
        <w:rPr>
          <w:rtl w:val="true"/>
        </w:rPr>
        <w:t xml:space="preserve">. </w:t>
      </w:r>
      <w:r>
        <w:rPr>
          <w:rtl w:val="true"/>
        </w:rPr>
        <w:t>בהחלטה מאותו יום נקבע כי אין בבקשה כדי להצדיק עיון חוזר בהחלטה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העובדה כי תעודת הציבור שהוצאה בעניין דגימת דמו של המערער נושאת מספר סידורי שונה מתעודת עובד הציבור בעניין דגימת דמו של המנוח</w:t>
      </w:r>
      <w:r>
        <w:rPr>
          <w:rtl w:val="true"/>
        </w:rPr>
        <w:t xml:space="preserve">, </w:t>
      </w:r>
      <w:r>
        <w:rPr>
          <w:rtl w:val="true"/>
        </w:rPr>
        <w:t>אך תומכת בעדויותיהם של ד</w:t>
      </w:r>
      <w:r>
        <w:rPr>
          <w:rtl w:val="true"/>
        </w:rPr>
        <w:t>"</w:t>
      </w:r>
      <w:r>
        <w:rPr>
          <w:rtl w:val="true"/>
        </w:rPr>
        <w:t>ר שלמך וד</w:t>
      </w:r>
      <w:r>
        <w:rPr>
          <w:rtl w:val="true"/>
        </w:rPr>
        <w:t>"</w:t>
      </w:r>
      <w:r>
        <w:rPr>
          <w:rtl w:val="true"/>
        </w:rPr>
        <w:t>ר גופר ומחזקת את הטענה כי לא היה כל בלבול בין דגימת דמו של המערער לבין זו של 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לערעור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לגופו של עניין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משזנח המערער את מרבית הטענות שפורטו בהודעת הערעור</w:t>
      </w:r>
      <w:r>
        <w:rPr>
          <w:rtl w:val="true"/>
        </w:rPr>
        <w:t xml:space="preserve">, </w:t>
      </w:r>
      <w:r>
        <w:rPr>
          <w:rtl w:val="true"/>
        </w:rPr>
        <w:t>מצטמצם ערעורו אפוא למספר חזיתות עיקריות</w:t>
      </w:r>
      <w:r>
        <w:rPr>
          <w:rtl w:val="true"/>
        </w:rPr>
        <w:t xml:space="preserve">: </w:t>
      </w:r>
      <w:r>
        <w:rPr>
          <w:rtl w:val="true"/>
        </w:rPr>
        <w:t>החזית האחת</w:t>
      </w:r>
      <w:r>
        <w:rPr>
          <w:rtl w:val="true"/>
        </w:rPr>
        <w:t xml:space="preserve">, </w:t>
      </w:r>
      <w:r>
        <w:rPr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שרשרת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במעבדה</w:t>
      </w:r>
      <w:r>
        <w:rPr>
          <w:rtl w:val="true"/>
        </w:rPr>
        <w:t xml:space="preserve">; </w:t>
      </w:r>
      <w:r>
        <w:rPr>
          <w:rtl w:val="true"/>
        </w:rPr>
        <w:t>החזית השנייה</w:t>
      </w:r>
      <w:r>
        <w:rPr>
          <w:rtl w:val="true"/>
        </w:rPr>
        <w:t xml:space="preserve">, </w:t>
      </w:r>
      <w:r>
        <w:rPr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ובעיקר נגד קביעת בית המשפט המחוזי כי המערער נהג במהירות גבוהה ומסוכנת</w:t>
      </w:r>
      <w:r>
        <w:rPr>
          <w:rtl w:val="true"/>
        </w:rPr>
        <w:t xml:space="preserve">; </w:t>
      </w:r>
      <w:r>
        <w:rPr>
          <w:rtl w:val="true"/>
        </w:rPr>
        <w:t>החזית השלישית</w:t>
      </w:r>
      <w:r>
        <w:rPr>
          <w:rtl w:val="true"/>
        </w:rPr>
        <w:t xml:space="preserve">, </w:t>
      </w:r>
      <w:r>
        <w:rPr>
          <w:rtl w:val="true"/>
        </w:rPr>
        <w:t>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tl w:val="true"/>
        </w:rPr>
        <w:t xml:space="preserve"> הנדרש לצורך הרשעה בעבירת הריגה וגרימת חבלה חמורה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באשר לטענות בדבר שרשרת העברת הדם במעבדה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בקשתו של המערער לתיקון הודעת הערעור בנקודה זו</w:t>
      </w:r>
      <w:r>
        <w:rPr>
          <w:rtl w:val="true"/>
        </w:rPr>
        <w:t xml:space="preserve">, </w:t>
      </w:r>
      <w:r>
        <w:rPr>
          <w:rtl w:val="true"/>
        </w:rPr>
        <w:t xml:space="preserve">כמו גם בקשתו לצירוף ראיות </w:t>
      </w:r>
      <w:r>
        <w:rPr>
          <w:rtl w:val="true"/>
        </w:rPr>
        <w:t>–</w:t>
      </w:r>
      <w:r>
        <w:rPr>
          <w:rtl w:val="true"/>
        </w:rPr>
        <w:t xml:space="preserve"> ובעיקר</w:t>
      </w:r>
      <w:r>
        <w:rPr>
          <w:rtl w:val="true"/>
        </w:rPr>
        <w:t xml:space="preserve">, </w:t>
      </w:r>
      <w:r>
        <w:rPr>
          <w:rtl w:val="true"/>
        </w:rPr>
        <w:t xml:space="preserve">העדתם פעם נוספת של עובדי המעבדה באשר לאופן העברת הדם </w:t>
      </w:r>
      <w:r>
        <w:rPr>
          <w:rtl w:val="true"/>
        </w:rPr>
        <w:t>–</w:t>
      </w:r>
      <w:r>
        <w:rPr>
          <w:rtl w:val="true"/>
        </w:rPr>
        <w:t xml:space="preserve"> נדחו זה מכבר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במרכזה של טענת המערער כי נפל פגם בשרשרת העברת הדם במעבדה</w:t>
      </w:r>
      <w:r>
        <w:rPr>
          <w:rtl w:val="true"/>
        </w:rPr>
        <w:t xml:space="preserve">, </w:t>
      </w:r>
      <w:r>
        <w:rPr>
          <w:rtl w:val="true"/>
        </w:rPr>
        <w:t>ניצבות שתי תעודות עובד ציבור שמרבית הפרטים הכתובים בכל אחת מהן</w:t>
      </w:r>
      <w:r>
        <w:rPr>
          <w:rtl w:val="true"/>
        </w:rPr>
        <w:t xml:space="preserve">, </w:t>
      </w:r>
      <w:r>
        <w:rPr>
          <w:rtl w:val="true"/>
        </w:rPr>
        <w:t>זהים</w:t>
      </w:r>
      <w:r>
        <w:rPr>
          <w:rtl w:val="true"/>
        </w:rPr>
        <w:t xml:space="preserve">. </w:t>
      </w:r>
      <w:r>
        <w:rPr>
          <w:rtl w:val="true"/>
        </w:rPr>
        <w:t>בשתיהן</w:t>
      </w:r>
      <w:r>
        <w:rPr>
          <w:rtl w:val="true"/>
        </w:rPr>
        <w:t xml:space="preserve">, </w:t>
      </w:r>
      <w:r>
        <w:rPr>
          <w:rtl w:val="true"/>
        </w:rPr>
        <w:t>מצוין שם המערער</w:t>
      </w:r>
      <w:r>
        <w:rPr>
          <w:rtl w:val="true"/>
        </w:rPr>
        <w:t xml:space="preserve">, </w:t>
      </w:r>
      <w:r>
        <w:rPr>
          <w:rtl w:val="true"/>
        </w:rPr>
        <w:t xml:space="preserve">תעודת הזהות שלו ובשתיהן החתום עליהן מאשר כי בתאריך </w:t>
      </w:r>
      <w:r>
        <w:rPr/>
        <w:t>19.5.2013</w:t>
      </w:r>
      <w:r>
        <w:rPr>
          <w:rtl w:val="true"/>
        </w:rPr>
        <w:t xml:space="preserve"> </w:t>
      </w:r>
      <w:r>
        <w:rPr>
          <w:rtl w:val="true"/>
        </w:rPr>
        <w:t xml:space="preserve">התקבלה דגימת דם במבחנה פלסטית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ל הנושאת תווית ובה פרטים נוספים</w:t>
      </w:r>
      <w:r>
        <w:rPr>
          <w:rtl w:val="true"/>
        </w:rPr>
        <w:t xml:space="preserve">, </w:t>
      </w:r>
      <w:r>
        <w:rPr>
          <w:rtl w:val="true"/>
        </w:rPr>
        <w:t>מהשוטר שלמה מזרחי</w:t>
      </w:r>
      <w:r>
        <w:rPr>
          <w:rtl w:val="true"/>
        </w:rPr>
        <w:t xml:space="preserve">. </w:t>
      </w:r>
      <w:r>
        <w:rPr>
          <w:rtl w:val="true"/>
        </w:rPr>
        <w:t xml:space="preserve">בשתי התעודות מצוין בכתב יד כי </w:t>
      </w:r>
      <w:r>
        <w:rPr>
          <w:rtl w:val="true"/>
        </w:rPr>
        <w:t>"</w:t>
      </w:r>
      <w:r>
        <w:rPr>
          <w:rtl w:val="true"/>
        </w:rPr>
        <w:t>הדגימה הגיעה במעטפה</w:t>
      </w:r>
      <w:r>
        <w:rPr>
          <w:rtl w:val="true"/>
        </w:rPr>
        <w:t xml:space="preserve">. </w:t>
      </w:r>
      <w:r>
        <w:rPr>
          <w:rtl w:val="true"/>
        </w:rPr>
        <w:t>על המבחנה מדבקת בית חולים עם פרטי הנבדק</w:t>
      </w:r>
      <w:r>
        <w:rPr>
          <w:rtl w:val="true"/>
        </w:rPr>
        <w:t xml:space="preserve">". </w:t>
      </w:r>
      <w:r>
        <w:rPr>
          <w:rtl w:val="true"/>
        </w:rPr>
        <w:t>בשולי הטופס חתומה אותה חתימה בדיוק</w:t>
      </w:r>
      <w:r>
        <w:rPr>
          <w:rtl w:val="true"/>
        </w:rPr>
        <w:t xml:space="preserve">. </w:t>
      </w:r>
      <w:r>
        <w:rPr>
          <w:rtl w:val="true"/>
        </w:rPr>
        <w:t>ההבדלים היחידים בין שתי התעודות</w:t>
      </w:r>
      <w:r>
        <w:rPr>
          <w:rtl w:val="true"/>
        </w:rPr>
        <w:t xml:space="preserve">, </w:t>
      </w:r>
      <w:r>
        <w:rPr>
          <w:rtl w:val="true"/>
        </w:rPr>
        <w:t xml:space="preserve">באים לידי ביטוי בציון שמו של </w:t>
      </w:r>
      <w:r>
        <w:rPr>
          <w:rtl w:val="true"/>
        </w:rPr>
        <w:t>"</w:t>
      </w:r>
      <w:r>
        <w:rPr>
          <w:rtl w:val="true"/>
        </w:rPr>
        <w:t>עובד הציבור</w:t>
      </w:r>
      <w:r>
        <w:rPr>
          <w:rtl w:val="true"/>
        </w:rPr>
        <w:t xml:space="preserve">" </w:t>
      </w:r>
      <w:r>
        <w:rPr>
          <w:rtl w:val="true"/>
        </w:rPr>
        <w:t>המודפס על התעודה</w:t>
      </w:r>
      <w:r>
        <w:rPr>
          <w:rtl w:val="true"/>
        </w:rPr>
        <w:t xml:space="preserve">, </w:t>
      </w:r>
      <w:r>
        <w:rPr>
          <w:rtl w:val="true"/>
        </w:rPr>
        <w:t>בציון שעת מסירת הדגימה ובכיתוב נוסף בכתב</w:t>
      </w:r>
      <w:r>
        <w:rPr>
          <w:rtl w:val="true"/>
        </w:rPr>
        <w:t>-</w:t>
      </w:r>
      <w:r>
        <w:rPr>
          <w:rtl w:val="true"/>
        </w:rPr>
        <w:t>יד המופיע רק על התעודה הראשונה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בעוד שבתעודה האחת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 xml:space="preserve">בחלק שבו מצוינים פרטי </w:t>
      </w:r>
      <w:r>
        <w:rPr>
          <w:rtl w:val="true"/>
        </w:rPr>
        <w:t>"</w:t>
      </w:r>
      <w:r>
        <w:rPr>
          <w:rtl w:val="true"/>
        </w:rPr>
        <w:t>שם עובד הציבור</w:t>
      </w:r>
      <w:r>
        <w:rPr>
          <w:rtl w:val="true"/>
        </w:rPr>
        <w:t xml:space="preserve">" </w:t>
      </w:r>
      <w:r>
        <w:rPr>
          <w:rtl w:val="true"/>
        </w:rPr>
        <w:t xml:space="preserve">מודפסים פרטיו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גופר</w:t>
      </w:r>
      <w:r>
        <w:rPr>
          <w:rtl w:val="true"/>
        </w:rPr>
        <w:t xml:space="preserve">, </w:t>
      </w:r>
      <w:r>
        <w:rPr>
          <w:rtl w:val="true"/>
        </w:rPr>
        <w:t xml:space="preserve">בתעודה השנייה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 xml:space="preserve">מודפסים פרטיה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שלמך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בתעודה הראשונה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 xml:space="preserve">מצויינת שעת מסירת הדגימה </w:t>
      </w:r>
      <w:r>
        <w:rPr/>
        <w:t>08:35</w:t>
      </w:r>
      <w:r>
        <w:rPr>
          <w:rtl w:val="true"/>
        </w:rPr>
        <w:t xml:space="preserve">, </w:t>
      </w:r>
      <w:r>
        <w:rPr>
          <w:rtl w:val="true"/>
        </w:rPr>
        <w:t xml:space="preserve">ובתעודה השניה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 </w:t>
      </w:r>
      <w:r>
        <w:rPr>
          <w:rtl w:val="true"/>
        </w:rPr>
        <w:t xml:space="preserve">מצויינת השעה </w:t>
      </w:r>
      <w:r>
        <w:rPr/>
        <w:t>01:35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על פני הראשונה מתנוסס כיתוב בכתב יד </w:t>
      </w:r>
      <w:r>
        <w:rPr>
          <w:rtl w:val="true"/>
        </w:rPr>
        <w:t>–</w:t>
      </w:r>
      <w:r>
        <w:rPr>
          <w:rtl w:val="true"/>
        </w:rPr>
        <w:t xml:space="preserve"> אשר כפי שעולה מעדותו של ד</w:t>
      </w:r>
      <w:r>
        <w:rPr>
          <w:rtl w:val="true"/>
        </w:rPr>
        <w:t>"</w:t>
      </w:r>
      <w:r>
        <w:rPr>
          <w:rtl w:val="true"/>
        </w:rPr>
        <w:t>ר גופר</w:t>
      </w:r>
      <w:r>
        <w:rPr>
          <w:rtl w:val="true"/>
        </w:rPr>
        <w:t xml:space="preserve">, </w:t>
      </w:r>
      <w:r>
        <w:rPr>
          <w:rtl w:val="true"/>
        </w:rPr>
        <w:t xml:space="preserve">המדובר בכתב ידו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167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בבית המשפט המחוזי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הפרוטוקול</w:t>
      </w:r>
      <w:r>
        <w:rPr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נשלח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והוחלף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השתמשה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שלמך וד</w:t>
      </w:r>
      <w:r>
        <w:rPr>
          <w:rtl w:val="true"/>
        </w:rPr>
        <w:t>"</w:t>
      </w:r>
      <w:r>
        <w:rPr>
          <w:rtl w:val="true"/>
        </w:rPr>
        <w:t>ר גופר העידו במסגרת ההליך בבית המשפט המחוזי</w:t>
      </w:r>
      <w:r>
        <w:rPr>
          <w:rtl w:val="true"/>
        </w:rPr>
        <w:t xml:space="preserve">, </w:t>
      </w:r>
      <w:r>
        <w:rPr>
          <w:rtl w:val="true"/>
        </w:rPr>
        <w:t>ולא נשאלו כלל על אופן הטיפול בדגימה במעבדה</w:t>
      </w:r>
      <w:r>
        <w:rPr>
          <w:rtl w:val="true"/>
        </w:rPr>
        <w:t xml:space="preserve">. </w:t>
      </w:r>
      <w:r>
        <w:rPr>
          <w:rtl w:val="true"/>
        </w:rPr>
        <w:t>זאת בעוד שההסברים שניתנו על ידיהם</w:t>
      </w:r>
      <w:r>
        <w:rPr>
          <w:rtl w:val="true"/>
        </w:rPr>
        <w:t xml:space="preserve">, </w:t>
      </w:r>
      <w:r>
        <w:rPr>
          <w:rtl w:val="true"/>
        </w:rPr>
        <w:t>באשר לאופן שבו נוצרה</w:t>
      </w:r>
      <w:r>
        <w:rPr>
          <w:rtl w:val="true"/>
        </w:rPr>
        <w:t xml:space="preserve">, </w:t>
      </w:r>
      <w:r>
        <w:rPr>
          <w:rtl w:val="true"/>
        </w:rPr>
        <w:t>בשוגג</w:t>
      </w:r>
      <w:r>
        <w:rPr>
          <w:rtl w:val="true"/>
        </w:rPr>
        <w:t xml:space="preserve">, </w:t>
      </w:r>
      <w:r>
        <w:rPr>
          <w:rtl w:val="true"/>
        </w:rPr>
        <w:t xml:space="preserve">תעודת עובד ציבור </w:t>
      </w:r>
      <w:r>
        <w:rPr>
          <w:rtl w:val="true"/>
        </w:rPr>
        <w:t>"</w:t>
      </w:r>
      <w:r>
        <w:rPr>
          <w:rtl w:val="true"/>
        </w:rPr>
        <w:t>כפולה</w:t>
      </w:r>
      <w:r>
        <w:rPr>
          <w:rtl w:val="true"/>
        </w:rPr>
        <w:t xml:space="preserve">" </w:t>
      </w:r>
      <w:r>
        <w:rPr>
          <w:rtl w:val="true"/>
        </w:rPr>
        <w:t>באשר לדגימת דמו של המערער</w:t>
      </w:r>
      <w:r>
        <w:rPr>
          <w:rtl w:val="true"/>
        </w:rPr>
        <w:t xml:space="preserve">, </w:t>
      </w:r>
      <w:r>
        <w:rPr>
          <w:rtl w:val="true"/>
        </w:rPr>
        <w:t>מניחים את הדעת</w:t>
      </w:r>
      <w:r>
        <w:rPr>
          <w:rtl w:val="true"/>
        </w:rPr>
        <w:t xml:space="preserve">. </w:t>
      </w:r>
      <w:r>
        <w:rPr>
          <w:rtl w:val="true"/>
        </w:rPr>
        <w:t>כפי שהסבירה ד</w:t>
      </w:r>
      <w:r>
        <w:rPr>
          <w:rtl w:val="true"/>
        </w:rPr>
        <w:t>"</w:t>
      </w:r>
      <w:r>
        <w:rPr>
          <w:rtl w:val="true"/>
        </w:rPr>
        <w:t>ר שלמך</w:t>
      </w:r>
      <w:r>
        <w:rPr>
          <w:rtl w:val="true"/>
        </w:rPr>
        <w:t xml:space="preserve">, </w:t>
      </w:r>
      <w:r>
        <w:rPr>
          <w:rtl w:val="true"/>
        </w:rPr>
        <w:t>נפלה טעות בטופס שאותו מילאה</w:t>
      </w:r>
      <w:r>
        <w:rPr>
          <w:rtl w:val="true"/>
        </w:rPr>
        <w:t xml:space="preserve">, </w:t>
      </w:r>
      <w:r>
        <w:rPr>
          <w:rtl w:val="true"/>
        </w:rPr>
        <w:t>כך שכאשר הגיעה דגימת דמו של המערער לידיה</w:t>
      </w:r>
      <w:r>
        <w:rPr>
          <w:rtl w:val="true"/>
        </w:rPr>
        <w:t xml:space="preserve">, </w:t>
      </w:r>
      <w:r>
        <w:rPr>
          <w:rtl w:val="true"/>
        </w:rPr>
        <w:t>במקום לקחת את הטופס עליו מודפס שמה</w:t>
      </w:r>
      <w:r>
        <w:rPr>
          <w:rtl w:val="true"/>
        </w:rPr>
        <w:t xml:space="preserve">, </w:t>
      </w:r>
      <w:r>
        <w:rPr>
          <w:rtl w:val="true"/>
        </w:rPr>
        <w:t>היא השתמשה בטופס שמודפס עליו שמו של ד</w:t>
      </w:r>
      <w:r>
        <w:rPr>
          <w:rtl w:val="true"/>
        </w:rPr>
        <w:t>"</w:t>
      </w:r>
      <w:r>
        <w:rPr>
          <w:rtl w:val="true"/>
        </w:rPr>
        <w:t xml:space="preserve">ר גופר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רק מאוחר יותר כאשר הסב ד</w:t>
      </w:r>
      <w:r>
        <w:rPr>
          <w:rtl w:val="true"/>
        </w:rPr>
        <w:t>"</w:t>
      </w:r>
      <w:r>
        <w:rPr>
          <w:rtl w:val="true"/>
        </w:rPr>
        <w:t>ר גופר את תשומת לבה לכך</w:t>
      </w:r>
      <w:r>
        <w:rPr>
          <w:rtl w:val="true"/>
        </w:rPr>
        <w:t xml:space="preserve">, </w:t>
      </w:r>
      <w:r>
        <w:rPr>
          <w:rtl w:val="true"/>
        </w:rPr>
        <w:t>הבחינה כי מילאה טופס שבו מודפסים פרטיו של ד</w:t>
      </w:r>
      <w:r>
        <w:rPr>
          <w:rtl w:val="true"/>
        </w:rPr>
        <w:t>"</w:t>
      </w:r>
      <w:r>
        <w:rPr>
          <w:rtl w:val="true"/>
        </w:rPr>
        <w:t xml:space="preserve">ר גופר ולא שלה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מולא הטופס בשנית והפעם כאשר פרטיה של ד</w:t>
      </w:r>
      <w:r>
        <w:rPr>
          <w:rtl w:val="true"/>
        </w:rPr>
        <w:t>"</w:t>
      </w:r>
      <w:r>
        <w:rPr>
          <w:rtl w:val="true"/>
        </w:rPr>
        <w:t>ר שלמך הם אלו שמודפסים על התעודה</w:t>
      </w:r>
      <w:r>
        <w:rPr>
          <w:rtl w:val="true"/>
        </w:rPr>
        <w:t xml:space="preserve">. </w:t>
      </w:r>
      <w:r>
        <w:rPr>
          <w:rtl w:val="true"/>
        </w:rPr>
        <w:t>לכך גם מצטרפת עדותו של ד</w:t>
      </w:r>
      <w:r>
        <w:rPr>
          <w:rtl w:val="true"/>
        </w:rPr>
        <w:t>"</w:t>
      </w:r>
      <w:r>
        <w:rPr>
          <w:rtl w:val="true"/>
        </w:rPr>
        <w:t xml:space="preserve">ר גופר אשר העיד על השתלשלות הדברים באופן דומה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167-168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אין בדברים אלו כדי לעורר חשש כלשהו כי דגימת דם אחרת היא זו אשר הגיעה לידי המעבדה</w:t>
      </w:r>
      <w:r>
        <w:rPr>
          <w:rtl w:val="true"/>
        </w:rPr>
        <w:t xml:space="preserve">, </w:t>
      </w:r>
      <w:r>
        <w:rPr>
          <w:rtl w:val="true"/>
        </w:rPr>
        <w:t>תחת מדבקת פרטיו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דגימת הדם הועברה כשעל המבחנה מודבקת מדבקת בית חולים ובה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 בלבד</w:t>
      </w:r>
      <w:r>
        <w:rPr>
          <w:rtl w:val="true"/>
        </w:rPr>
        <w:t xml:space="preserve">. </w:t>
      </w:r>
      <w:r>
        <w:rPr>
          <w:rtl w:val="true"/>
        </w:rPr>
        <w:t>לא פרטי המנוח</w:t>
      </w:r>
      <w:r>
        <w:rPr>
          <w:rtl w:val="true"/>
        </w:rPr>
        <w:t xml:space="preserve">, </w:t>
      </w:r>
      <w:r>
        <w:rPr>
          <w:rtl w:val="true"/>
        </w:rPr>
        <w:t>לא פרטיו של מאן דהוא אחר</w:t>
      </w:r>
      <w:r>
        <w:rPr>
          <w:rtl w:val="true"/>
        </w:rPr>
        <w:t xml:space="preserve">, </w:t>
      </w:r>
      <w:r>
        <w:rPr>
          <w:rtl w:val="true"/>
        </w:rPr>
        <w:t>אלא פרטי המערער עצמו</w:t>
      </w:r>
      <w:r>
        <w:rPr>
          <w:rtl w:val="true"/>
        </w:rPr>
        <w:t xml:space="preserve">. </w:t>
      </w:r>
      <w:r>
        <w:rPr>
          <w:rtl w:val="true"/>
        </w:rPr>
        <w:t>העובדה שלאחר מכן נחתמו שתי תעודות עובד ציבור בכפל</w:t>
      </w:r>
      <w:r>
        <w:rPr>
          <w:rtl w:val="true"/>
        </w:rPr>
        <w:t xml:space="preserve">, </w:t>
      </w:r>
      <w:r>
        <w:rPr>
          <w:rtl w:val="true"/>
        </w:rPr>
        <w:t>בשוגג</w:t>
      </w:r>
      <w:r>
        <w:rPr>
          <w:rtl w:val="true"/>
        </w:rPr>
        <w:t xml:space="preserve">, </w:t>
      </w:r>
      <w:r>
        <w:rPr>
          <w:rtl w:val="true"/>
        </w:rPr>
        <w:t>אין בה כדי להשליך דבר על עובדה זו</w:t>
      </w:r>
      <w:r>
        <w:rPr>
          <w:rtl w:val="true"/>
        </w:rPr>
        <w:t xml:space="preserve">. </w:t>
      </w:r>
      <w:r>
        <w:rPr>
          <w:rtl w:val="true"/>
        </w:rPr>
        <w:t xml:space="preserve">כפי שקבענו גם בהחלטה שניתנה ערב הדיון ביום </w:t>
      </w:r>
      <w:r>
        <w:rPr/>
        <w:t>8.1.2018</w:t>
      </w:r>
      <w:r>
        <w:rPr>
          <w:rtl w:val="true"/>
        </w:rPr>
        <w:t xml:space="preserve">, </w:t>
      </w:r>
      <w:r>
        <w:rPr>
          <w:rtl w:val="true"/>
        </w:rPr>
        <w:t>טענת המערער כי העובדה שעל שתי תעודות עובד הציבור הכפולות</w:t>
      </w:r>
      <w:r>
        <w:rPr>
          <w:rtl w:val="true"/>
        </w:rPr>
        <w:t xml:space="preserve">, </w:t>
      </w:r>
      <w:r>
        <w:rPr>
          <w:rtl w:val="true"/>
        </w:rPr>
        <w:t>זו שהוצאה בטעות וזו שתוקנה</w:t>
      </w:r>
      <w:r>
        <w:rPr>
          <w:rtl w:val="true"/>
        </w:rPr>
        <w:t xml:space="preserve">, </w:t>
      </w:r>
      <w:r>
        <w:rPr>
          <w:rtl w:val="true"/>
        </w:rPr>
        <w:t xml:space="preserve">מופיע מספר סידורי זהה </w:t>
      </w:r>
      <w:r>
        <w:rPr>
          <w:rtl w:val="true"/>
        </w:rPr>
        <w:t>(</w:t>
      </w:r>
      <w:r>
        <w:rPr>
          <w:rtl w:val="true"/>
        </w:rPr>
        <w:t xml:space="preserve">שספרותיו האחרונות </w:t>
      </w:r>
      <w:r>
        <w:rPr/>
        <w:t>750</w:t>
      </w:r>
      <w:r>
        <w:rPr>
          <w:rtl w:val="true"/>
        </w:rPr>
        <w:t xml:space="preserve">) </w:t>
      </w:r>
      <w:r>
        <w:rPr>
          <w:rtl w:val="true"/>
        </w:rPr>
        <w:t>מלמדת על שיבוש נוסף</w:t>
      </w:r>
      <w:r>
        <w:rPr>
          <w:rtl w:val="true"/>
        </w:rPr>
        <w:t xml:space="preserve">, </w:t>
      </w:r>
      <w:r>
        <w:rPr>
          <w:rtl w:val="true"/>
        </w:rPr>
        <w:t>אינה יכולה להתקבל</w:t>
      </w:r>
      <w:r>
        <w:rPr>
          <w:rtl w:val="true"/>
        </w:rPr>
        <w:t xml:space="preserve">. </w:t>
      </w:r>
      <w:r>
        <w:rPr>
          <w:rtl w:val="true"/>
        </w:rPr>
        <w:t>אף ההיפך הוא הנכון</w:t>
      </w:r>
      <w:r>
        <w:rPr>
          <w:rtl w:val="true"/>
        </w:rPr>
        <w:t xml:space="preserve">. </w:t>
      </w:r>
      <w:r>
        <w:rPr>
          <w:rtl w:val="true"/>
        </w:rPr>
        <w:t xml:space="preserve">שעה שאין חולק כי תעודת עובד הציבור שהוצאה בעניין דגימת דמו של המנוח נשאה מספר סידורי שונה </w:t>
      </w:r>
      <w:r>
        <w:rPr>
          <w:rtl w:val="true"/>
        </w:rPr>
        <w:t>(</w:t>
      </w:r>
      <w:r>
        <w:rPr>
          <w:rtl w:val="true"/>
        </w:rPr>
        <w:t xml:space="preserve">שספרותיו האחרונות </w:t>
      </w:r>
      <w:r>
        <w:rPr/>
        <w:t>751</w:t>
      </w:r>
      <w:r>
        <w:rPr>
          <w:rtl w:val="true"/>
        </w:rPr>
        <w:t xml:space="preserve">), </w:t>
      </w:r>
      <w:r>
        <w:rPr>
          <w:rtl w:val="true"/>
        </w:rPr>
        <w:t>הרי שאופן המספור האמור אך מחזק את הקביעה כי שתי דגימות הדם אכן הופרדו זו מזו כהלכה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כי יש בטענות המערער </w:t>
      </w:r>
      <w:r>
        <w:rPr>
          <w:rtl w:val="true"/>
        </w:rPr>
        <w:t>–</w:t>
      </w:r>
      <w:r>
        <w:rPr>
          <w:rtl w:val="true"/>
        </w:rPr>
        <w:t xml:space="preserve"> אשר נותרו בגדרי הודעת הערעור בלבד ולא בא זכרן בעיקרי הטיעון </w:t>
      </w:r>
      <w:r>
        <w:rPr>
          <w:rtl w:val="true"/>
        </w:rPr>
        <w:t>–</w:t>
      </w:r>
      <w:r>
        <w:rPr>
          <w:rtl w:val="true"/>
        </w:rPr>
        <w:t xml:space="preserve"> כי נעשה שימוש בחומר חיטוי המכין כוהל או כי חלו שיבושים נוספים בלקיחת דגימת דמו של המערער</w:t>
      </w:r>
      <w:r>
        <w:rPr>
          <w:rtl w:val="true"/>
        </w:rPr>
        <w:t xml:space="preserve">, </w:t>
      </w:r>
      <w:r>
        <w:rPr>
          <w:rtl w:val="true"/>
        </w:rPr>
        <w:t>כדי להביא לתוצאה שיש בה כדי לשנות מהכרעת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נדרש למכלול העדויות הרלוונטיות לעניין </w:t>
      </w:r>
      <w:r>
        <w:rPr>
          <w:rtl w:val="true"/>
        </w:rPr>
        <w:t>(</w:t>
      </w:r>
      <w:r>
        <w:rPr>
          <w:rtl w:val="true"/>
        </w:rPr>
        <w:t>עדותה של האחות תמר שטטלנדר שלקחה את דגימת הדם מהמערער</w:t>
      </w:r>
      <w:r>
        <w:rPr>
          <w:rtl w:val="true"/>
        </w:rPr>
        <w:t xml:space="preserve">; </w:t>
      </w:r>
      <w:r>
        <w:rPr>
          <w:rtl w:val="true"/>
        </w:rPr>
        <w:t>עדותו של רס</w:t>
      </w:r>
      <w:r>
        <w:rPr>
          <w:rtl w:val="true"/>
        </w:rPr>
        <w:t>"</w:t>
      </w:r>
      <w:r>
        <w:rPr>
          <w:rtl w:val="true"/>
        </w:rPr>
        <w:t xml:space="preserve">ב אלי צמח אשר קיבל את דגימת הדם של המערער מבית החולים ומסרה לבוחן התנועה </w:t>
      </w:r>
      <w:r>
        <w:rPr>
          <w:rtl w:val="true"/>
        </w:rPr>
        <w:t>(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ב שלמה מזרחי</w:t>
      </w:r>
      <w:r>
        <w:rPr>
          <w:rtl w:val="true"/>
        </w:rPr>
        <w:t xml:space="preserve">); </w:t>
      </w:r>
      <w:r>
        <w:rPr>
          <w:rtl w:val="true"/>
        </w:rPr>
        <w:t>עדותו של רס</w:t>
      </w:r>
      <w:r>
        <w:rPr>
          <w:rtl w:val="true"/>
        </w:rPr>
        <w:t>"</w:t>
      </w:r>
      <w:r>
        <w:rPr>
          <w:rtl w:val="true"/>
        </w:rPr>
        <w:t>ב שלמה מזרחי אשר העביר את דגימת דמו של המערער למעבדה</w:t>
      </w:r>
      <w:r>
        <w:rPr>
          <w:rtl w:val="true"/>
        </w:rPr>
        <w:t xml:space="preserve">), </w:t>
      </w:r>
      <w:r>
        <w:rPr>
          <w:rtl w:val="true"/>
        </w:rPr>
        <w:t>נתן דעתו לטענותיו של המערער בהקשר זה</w:t>
      </w:r>
      <w:r>
        <w:rPr>
          <w:rtl w:val="true"/>
        </w:rPr>
        <w:t xml:space="preserve">, </w:t>
      </w:r>
      <w:r>
        <w:rPr>
          <w:rtl w:val="true"/>
        </w:rPr>
        <w:t>והכריע בהתבסס על מכלול חומר הראיות הרלוונטי כי לא נפל פגם בנטילת דגימת הדם או בזיהויה</w:t>
      </w:r>
      <w:r>
        <w:rPr>
          <w:rtl w:val="true"/>
        </w:rPr>
        <w:t xml:space="preserve">. </w:t>
      </w:r>
      <w:r>
        <w:rPr>
          <w:rtl w:val="true"/>
        </w:rPr>
        <w:t>לא נמצאה אפוא כל עילה להתערב גם בקביעה מבוססת 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כפי שציינו כבר בהחלטה מיום </w:t>
      </w:r>
      <w:r>
        <w:rPr/>
        <w:t>4.7.2017</w:t>
      </w:r>
      <w:r>
        <w:rPr>
          <w:rtl w:val="true"/>
        </w:rPr>
        <w:t xml:space="preserve">, </w:t>
      </w:r>
      <w:r>
        <w:rPr>
          <w:rtl w:val="true"/>
        </w:rPr>
        <w:t>וכפי שנטען על ידי המשיבה</w:t>
      </w:r>
      <w:r>
        <w:rPr>
          <w:rtl w:val="true"/>
        </w:rPr>
        <w:t xml:space="preserve">, </w:t>
      </w:r>
      <w:r>
        <w:rPr>
          <w:rtl w:val="true"/>
        </w:rPr>
        <w:t>הקביעה בדבר שכרותו של המערער התבססה על אדנים נוספים</w:t>
      </w:r>
      <w:r>
        <w:rPr>
          <w:rtl w:val="true"/>
        </w:rPr>
        <w:t xml:space="preserve">, </w:t>
      </w:r>
      <w:r>
        <w:rPr>
          <w:rtl w:val="true"/>
        </w:rPr>
        <w:t>וביניהם עדויותיהם של שוטרים בדבר ריח האלכוהול שנדף מפיו של המערער</w:t>
      </w:r>
      <w:r>
        <w:rPr>
          <w:rtl w:val="true"/>
        </w:rPr>
        <w:t xml:space="preserve">, </w:t>
      </w:r>
      <w:r>
        <w:rPr>
          <w:rtl w:val="true"/>
        </w:rPr>
        <w:t>עדותו של המערער עצמו כי שתה שני בקבוקי בירה בסמוך למועד שבו התרחשה התאונה והתרשמות בית המשפט המחוזי כי אף בכך ניסה להמעיט בכמות האלכוהול שצרך</w:t>
      </w:r>
      <w:r>
        <w:rPr>
          <w:rtl w:val="true"/>
        </w:rPr>
        <w:t xml:space="preserve">. </w:t>
      </w:r>
      <w:r>
        <w:rPr>
          <w:rtl w:val="true"/>
        </w:rPr>
        <w:t>מכאן כי בהעדר חשש לקיומו של פגם בשרשרת העברת הדם במעבדה</w:t>
      </w:r>
      <w:r>
        <w:rPr>
          <w:rtl w:val="true"/>
        </w:rPr>
        <w:t xml:space="preserve">, </w:t>
      </w:r>
      <w:r>
        <w:rPr>
          <w:rtl w:val="true"/>
        </w:rPr>
        <w:t>אין כל עילה להתערב בקביעה בדבר שכרותו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חזית נוספת בה מיקד המערער טיעוניו</w:t>
      </w:r>
      <w:r>
        <w:rPr>
          <w:rtl w:val="true"/>
        </w:rPr>
        <w:t xml:space="preserve">, </w:t>
      </w:r>
      <w:r>
        <w:rPr>
          <w:rtl w:val="true"/>
        </w:rPr>
        <w:t>היא כאמור באשר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התרחשות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כאמור</w:t>
      </w:r>
      <w:r>
        <w:rPr>
          <w:rtl w:val="true"/>
        </w:rPr>
        <w:t xml:space="preserve">, </w:t>
      </w:r>
      <w:r>
        <w:rPr>
          <w:rtl w:val="true"/>
        </w:rPr>
        <w:t>כי בהתבסס על מכלול עדויות הראייה</w:t>
      </w:r>
      <w:r>
        <w:rPr>
          <w:rtl w:val="true"/>
        </w:rPr>
        <w:t xml:space="preserve">, </w:t>
      </w:r>
      <w:r>
        <w:rPr>
          <w:rtl w:val="true"/>
        </w:rPr>
        <w:t>עולה כי המערער נהג במהירות גבוהה כשהוא סוטה לכיוון הנתיב השמאלי</w:t>
      </w:r>
      <w:r>
        <w:rPr>
          <w:rtl w:val="true"/>
        </w:rPr>
        <w:t xml:space="preserve">, </w:t>
      </w:r>
      <w:r>
        <w:rPr>
          <w:rtl w:val="true"/>
        </w:rPr>
        <w:t>וחוזר באופן מהיר לכיוון הנתיב הימני באופן שיצר סיכון לנהגי המכוניות בכביש</w:t>
      </w:r>
      <w:r>
        <w:rPr>
          <w:rtl w:val="true"/>
        </w:rPr>
        <w:t xml:space="preserve">. </w:t>
      </w:r>
      <w:r>
        <w:rPr>
          <w:rtl w:val="true"/>
        </w:rPr>
        <w:t>המערער ביקש להסתמך על קטעים מתוך אותן עדויות ועל סתירות שונות שעלו מהן לכאורה</w:t>
      </w:r>
      <w:r>
        <w:rPr>
          <w:rtl w:val="true"/>
        </w:rPr>
        <w:t xml:space="preserve">, </w:t>
      </w:r>
      <w:r>
        <w:rPr>
          <w:rtl w:val="true"/>
        </w:rPr>
        <w:t>שיש בהן כדי להחליש את המסקנה בדבר נהיגה מסוכנת מצדו של המערער</w:t>
      </w:r>
      <w:r>
        <w:rPr>
          <w:rtl w:val="true"/>
        </w:rPr>
        <w:t xml:space="preserve">. </w:t>
      </w:r>
      <w:r>
        <w:rPr>
          <w:rtl w:val="true"/>
        </w:rPr>
        <w:t>אלא שלא מצאתי כי יש לקבל טענות אלה</w:t>
      </w:r>
      <w:r>
        <w:rPr>
          <w:rtl w:val="true"/>
        </w:rPr>
        <w:t xml:space="preserve">. </w:t>
      </w:r>
      <w:r>
        <w:rPr>
          <w:rtl w:val="true"/>
        </w:rPr>
        <w:t>טענותיו של המערער בהקשר זה נסובות נגד ממצאי מהימנות על בסיס שמיעתם של עדים ובחינת הראיות</w:t>
      </w:r>
      <w:r>
        <w:rPr>
          <w:rtl w:val="true"/>
        </w:rPr>
        <w:t xml:space="preserve">, </w:t>
      </w:r>
      <w:r>
        <w:rPr>
          <w:rtl w:val="true"/>
        </w:rPr>
        <w:t xml:space="preserve">אשר ככלל אין זה מדרכה של ערכאת הערעור להתערב בהם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6411/98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מנבר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150</w:t>
      </w:r>
      <w:r>
        <w:rPr>
          <w:rtl w:val="true"/>
        </w:rPr>
        <w:t xml:space="preserve">, </w:t>
      </w:r>
      <w:r>
        <w:rPr/>
        <w:t>165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2.6.2014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בדארנה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22.1.2017</w:t>
      </w:r>
      <w:r>
        <w:rPr>
          <w:rtl w:val="true"/>
        </w:rPr>
        <w:t xml:space="preserve">)).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לאחר בחינת מכלול העדויות כמו גם הציטוטים הספציפיים אליהם הפנה המערער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אין מקרה זה נמנה בגדר אותם מקרים חריגים המצדיקים סטייה מהכלל האמור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מפנה המערער לעדותו של מר יוסי עמרני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עמרני</w:t>
      </w:r>
      <w:r>
        <w:rPr>
          <w:rtl w:val="true"/>
        </w:rPr>
        <w:t xml:space="preserve">) </w:t>
      </w:r>
      <w:r>
        <w:rPr>
          <w:rtl w:val="true"/>
        </w:rPr>
        <w:t xml:space="preserve">אשר העיד כי המערער עקף את רכבו באופן מסוכן ובפראות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 xml:space="preserve">המערער ביקש להתמקד בכך שמר עמרני העיד כי היה פער של </w:t>
      </w:r>
      <w:r>
        <w:rPr>
          <w:rFonts w:cs="Miriam" w:ascii="Century" w:hAnsi="Century"/>
          <w:b/>
          <w:spacing w:val="0"/>
          <w:sz w:val="22"/>
          <w:szCs w:val="24"/>
        </w:rPr>
        <w:t>10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מטרים</w:t>
      </w:r>
      <w:r>
        <w:rPr>
          <w:rtl w:val="true"/>
        </w:rPr>
        <w:t xml:space="preserve"> בין רכבו לבין רכב ה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 xml:space="preserve"> </w:t>
      </w:r>
      <w:r>
        <w:rPr>
          <w:rtl w:val="true"/>
        </w:rPr>
        <w:t>באופן שאינו יכול</w:t>
      </w:r>
      <w:r>
        <w:rPr>
          <w:rtl w:val="true"/>
        </w:rPr>
        <w:t xml:space="preserve">, </w:t>
      </w:r>
      <w:r>
        <w:rPr>
          <w:rtl w:val="true"/>
        </w:rPr>
        <w:t>כך לשיטת המערער</w:t>
      </w:r>
      <w:r>
        <w:rPr>
          <w:rtl w:val="true"/>
        </w:rPr>
        <w:t xml:space="preserve">, </w:t>
      </w:r>
      <w:r>
        <w:rPr>
          <w:rtl w:val="true"/>
        </w:rPr>
        <w:t>להצביע על נהיגה פרועה מצד המערער</w:t>
      </w:r>
      <w:r>
        <w:rPr>
          <w:rtl w:val="true"/>
        </w:rPr>
        <w:t xml:space="preserve">. </w:t>
      </w:r>
      <w:r>
        <w:rPr>
          <w:rtl w:val="true"/>
        </w:rPr>
        <w:t>אלא שאין ממש בטענה זו</w:t>
      </w:r>
      <w:r>
        <w:rPr>
          <w:rtl w:val="true"/>
        </w:rPr>
        <w:t xml:space="preserve">. </w:t>
      </w:r>
      <w:r>
        <w:rPr>
          <w:rtl w:val="true"/>
        </w:rPr>
        <w:t>מר עמרני סיפר והרחיב באופן מפורט כיצד רכב ה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 xml:space="preserve"> </w:t>
      </w:r>
      <w:r>
        <w:rPr>
          <w:rtl w:val="true"/>
        </w:rPr>
        <w:t>נסע במהירות גבוהה</w:t>
      </w:r>
      <w:r>
        <w:rPr>
          <w:rtl w:val="true"/>
        </w:rPr>
        <w:t xml:space="preserve">, </w:t>
      </w:r>
      <w:r>
        <w:rPr>
          <w:rtl w:val="true"/>
        </w:rPr>
        <w:t xml:space="preserve">כשהוא סוטה לכיוון הנתיב השמאלי במהירות כזו שדרשה ממנו לבלום בלימת חירום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28-30</w:t>
      </w:r>
      <w:r>
        <w:rPr>
          <w:rtl w:val="true"/>
        </w:rPr>
        <w:t xml:space="preserve">). </w:t>
      </w:r>
      <w:r>
        <w:rPr>
          <w:rtl w:val="true"/>
        </w:rPr>
        <w:t>מר עמרני גם פירט כי המרחק בינו לבין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>היה לא רב</w:t>
      </w:r>
      <w:r>
        <w:rPr>
          <w:rtl w:val="true"/>
        </w:rPr>
        <w:t xml:space="preserve">, </w:t>
      </w:r>
      <w:r>
        <w:rPr>
          <w:rtl w:val="true"/>
        </w:rPr>
        <w:t>ובמילותיו שלו</w:t>
      </w:r>
      <w:r>
        <w:rPr>
          <w:rtl w:val="true"/>
        </w:rPr>
        <w:t>: "</w:t>
      </w:r>
      <w:r>
        <w:rPr>
          <w:rtl w:val="true"/>
        </w:rPr>
        <w:t>הוא חתך ביני לבין הרכב</w:t>
      </w:r>
      <w:r>
        <w:rPr>
          <w:rtl w:val="true"/>
        </w:rPr>
        <w:t xml:space="preserve">, </w:t>
      </w:r>
      <w:r>
        <w:rPr>
          <w:rtl w:val="true"/>
        </w:rPr>
        <w:t>וממש הקרבה בינינו הייתה כזו</w:t>
      </w:r>
      <w:r>
        <w:rPr>
          <w:rtl w:val="true"/>
        </w:rPr>
        <w:t xml:space="preserve">, </w:t>
      </w:r>
      <w:r>
        <w:rPr>
          <w:rtl w:val="true"/>
        </w:rPr>
        <w:t xml:space="preserve">הוא עשה </w:t>
      </w:r>
      <w:r>
        <w:rPr>
          <w:rtl w:val="true"/>
        </w:rPr>
        <w:t xml:space="preserve">...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היה פער של מטרים</w:t>
      </w:r>
      <w:r>
        <w:rPr>
          <w:rtl w:val="true"/>
        </w:rPr>
        <w:t xml:space="preserve">, </w:t>
      </w:r>
      <w:r>
        <w:rPr>
          <w:rtl w:val="true"/>
        </w:rPr>
        <w:t>עשר מטר</w:t>
      </w:r>
      <w:r>
        <w:rPr>
          <w:rtl w:val="true"/>
        </w:rPr>
        <w:t xml:space="preserve">, </w:t>
      </w:r>
      <w:r>
        <w:rPr>
          <w:rtl w:val="true"/>
        </w:rPr>
        <w:t>משהו בסגנון הזה</w:t>
      </w:r>
      <w:r>
        <w:rPr>
          <w:rtl w:val="true"/>
        </w:rPr>
        <w:t xml:space="preserve">, </w:t>
      </w:r>
      <w:r>
        <w:rPr>
          <w:rtl w:val="true"/>
        </w:rPr>
        <w:t>זה לא המון</w:t>
      </w:r>
      <w:r>
        <w:rPr>
          <w:rtl w:val="true"/>
        </w:rPr>
        <w:t xml:space="preserve">. </w:t>
      </w:r>
      <w:r>
        <w:rPr>
          <w:rtl w:val="true"/>
        </w:rPr>
        <w:t>אבל לא משהו שממש מאפשר להשתחל בין רכבים בבטחה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30-34</w:t>
      </w:r>
      <w:r>
        <w:rPr>
          <w:rtl w:val="true"/>
        </w:rPr>
        <w:t xml:space="preserve">). </w:t>
      </w:r>
      <w:r>
        <w:rPr>
          <w:rtl w:val="true"/>
        </w:rPr>
        <w:t>מר עמרני גם פירט באופן חי ובהיר כי רכב ה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 xml:space="preserve"> "</w:t>
      </w:r>
      <w:r>
        <w:rPr>
          <w:rtl w:val="true"/>
        </w:rPr>
        <w:t>חתך</w:t>
      </w:r>
      <w:r>
        <w:rPr>
          <w:rtl w:val="true"/>
        </w:rPr>
        <w:t xml:space="preserve">" </w:t>
      </w:r>
      <w:r>
        <w:rPr>
          <w:rtl w:val="true"/>
        </w:rPr>
        <w:t>את נתיב הנסיעה שבו נסע רכבו שלו</w:t>
      </w:r>
      <w:r>
        <w:rPr>
          <w:rtl w:val="true"/>
        </w:rPr>
        <w:t xml:space="preserve">, </w:t>
      </w:r>
      <w:r>
        <w:rPr>
          <w:rtl w:val="true"/>
        </w:rPr>
        <w:t>במהירות רבה ובאופן שבו הוא נאלץ לבלום באופן מיידי</w:t>
      </w:r>
      <w:r>
        <w:rPr>
          <w:rtl w:val="true"/>
        </w:rPr>
        <w:t xml:space="preserve">. </w:t>
      </w:r>
      <w:r>
        <w:rPr>
          <w:rtl w:val="true"/>
        </w:rPr>
        <w:t xml:space="preserve">העובדה כי מר עמרני ציין מרחק של </w:t>
      </w:r>
      <w:r>
        <w:rPr>
          <w:rtl w:val="true"/>
        </w:rPr>
        <w:t>"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" </w:t>
      </w:r>
      <w:r>
        <w:rPr>
          <w:rtl w:val="true"/>
        </w:rPr>
        <w:t>איננה מפחיתה מתיאור זה מאומה</w:t>
      </w:r>
      <w:r>
        <w:rPr>
          <w:rtl w:val="true"/>
        </w:rPr>
        <w:t xml:space="preserve">, </w:t>
      </w:r>
      <w:r>
        <w:rPr>
          <w:rtl w:val="true"/>
        </w:rPr>
        <w:t>בהינתן העובדה שמדובר בציון יחיד של המרחק המשוער בין כלי הרכב</w:t>
      </w:r>
      <w:r>
        <w:rPr>
          <w:rtl w:val="true"/>
        </w:rPr>
        <w:t xml:space="preserve">, </w:t>
      </w:r>
      <w:r>
        <w:rPr>
          <w:rtl w:val="true"/>
        </w:rPr>
        <w:t>לעומת תיאור מפורט וברור באשר לאופן נסיעתו של המערער</w:t>
      </w:r>
      <w:r>
        <w:rPr>
          <w:rtl w:val="true"/>
        </w:rPr>
        <w:t xml:space="preserve">. </w:t>
      </w:r>
      <w:r>
        <w:rPr>
          <w:rtl w:val="true"/>
        </w:rPr>
        <w:t>בעניין זה מקובלת עלי אפוא קביעת בית המשפט המחוזי כי יש גם בעדות זו כדי לתמוך בקביעה בדבר אופן ומהירות נסיעתו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המערער גם ביקש להסתמך על קטעים אחרים מתוך עדותו של מר עמרני</w:t>
      </w:r>
      <w:r>
        <w:rPr>
          <w:rtl w:val="true"/>
        </w:rPr>
        <w:t xml:space="preserve">, </w:t>
      </w:r>
      <w:r>
        <w:rPr>
          <w:rtl w:val="true"/>
        </w:rPr>
        <w:t xml:space="preserve">מהם ניתן ללמוד לכאורה על אופן נהיגתו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 ברכב הפורשה</w:t>
      </w:r>
      <w:r>
        <w:rPr>
          <w:rtl w:val="true"/>
        </w:rPr>
        <w:t xml:space="preserve">, </w:t>
      </w:r>
      <w:r>
        <w:rPr>
          <w:rtl w:val="true"/>
        </w:rPr>
        <w:t>לפני התאונה</w:t>
      </w:r>
      <w:r>
        <w:rPr>
          <w:rtl w:val="true"/>
        </w:rPr>
        <w:t xml:space="preserve">. </w:t>
      </w:r>
      <w:r>
        <w:rPr>
          <w:rtl w:val="true"/>
        </w:rPr>
        <w:t>זאת שעה</w:t>
      </w:r>
      <w:r>
        <w:rPr>
          <w:rtl w:val="true"/>
        </w:rPr>
        <w:t xml:space="preserve">, </w:t>
      </w:r>
      <w:r>
        <w:rPr>
          <w:rtl w:val="true"/>
        </w:rPr>
        <w:t xml:space="preserve">שמר עמרני העיד במשטרה כי רכב הפורשה </w:t>
      </w:r>
      <w:r>
        <w:rPr>
          <w:rtl w:val="true"/>
        </w:rPr>
        <w:t>"</w:t>
      </w:r>
      <w:r>
        <w:rPr>
          <w:rtl w:val="true"/>
        </w:rPr>
        <w:t>זגזג</w:t>
      </w:r>
      <w:r>
        <w:rPr>
          <w:rtl w:val="true"/>
        </w:rPr>
        <w:t xml:space="preserve">" </w:t>
      </w:r>
      <w:r>
        <w:rPr>
          <w:rtl w:val="true"/>
        </w:rPr>
        <w:t>בין הנתיבים</w:t>
      </w:r>
      <w:r>
        <w:rPr>
          <w:rtl w:val="true"/>
        </w:rPr>
        <w:t xml:space="preserve">. </w:t>
      </w:r>
      <w:r>
        <w:rPr>
          <w:rtl w:val="true"/>
        </w:rPr>
        <w:t>גם בעניין זה מקובלת עלי קביעת בית המשפט המחוזי כי אין לתת משקל לביטוי בודד בתוך מכלול הדברים שנמסרו על ידי מר עמרני</w:t>
      </w:r>
      <w:r>
        <w:rPr>
          <w:rtl w:val="true"/>
        </w:rPr>
        <w:t xml:space="preserve">, </w:t>
      </w:r>
      <w:r>
        <w:rPr>
          <w:rtl w:val="true"/>
        </w:rPr>
        <w:t>במשטרה ועל דוכן העדים</w:t>
      </w:r>
      <w:r>
        <w:rPr>
          <w:rtl w:val="true"/>
        </w:rPr>
        <w:t xml:space="preserve">. </w:t>
      </w:r>
      <w:r>
        <w:rPr>
          <w:rtl w:val="true"/>
        </w:rPr>
        <w:t xml:space="preserve">זאת שעה שבית המשפט נתן דעתו לכך שמר עמרני הבהיר היטב כי באומרו שרכב הפורשה </w:t>
      </w:r>
      <w:r>
        <w:rPr>
          <w:rtl w:val="true"/>
        </w:rPr>
        <w:t>"</w:t>
      </w:r>
      <w:r>
        <w:rPr>
          <w:rtl w:val="true"/>
        </w:rPr>
        <w:t>זגזג</w:t>
      </w:r>
      <w:r>
        <w:rPr>
          <w:rtl w:val="true"/>
        </w:rPr>
        <w:t xml:space="preserve">" </w:t>
      </w:r>
      <w:r>
        <w:rPr>
          <w:rtl w:val="true"/>
        </w:rPr>
        <w:t xml:space="preserve">על הכביש התכוון רק לכך שרכב הפורשה עבר בין הנתיבים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31-34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באשר לעדותו של מר יעקב אלי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</w:t>
      </w:r>
      <w:r>
        <w:rPr>
          <w:rtl w:val="true"/>
        </w:rPr>
        <w:t xml:space="preserve">), </w:t>
      </w:r>
      <w:r>
        <w:rPr>
          <w:rtl w:val="true"/>
        </w:rPr>
        <w:t>עד ראיה נוסף אשר ראה את התאונה מגשר הולכי הרגל שמעל הכביש</w:t>
      </w:r>
      <w:r>
        <w:rPr>
          <w:rtl w:val="true"/>
        </w:rPr>
        <w:t xml:space="preserve">. </w:t>
      </w:r>
      <w:r>
        <w:rPr>
          <w:rtl w:val="true"/>
        </w:rPr>
        <w:t>מתוך עדות זו ביקש המערער ללמוד כי רכב ה</w:t>
      </w:r>
      <w:r>
        <w:rPr>
          <w:rtl w:val="true"/>
        </w:rPr>
        <w:t>-</w:t>
      </w:r>
      <w:r>
        <w:rPr/>
        <w:t>BMW</w:t>
      </w:r>
      <w:r>
        <w:rPr>
          <w:rtl w:val="true"/>
        </w:rPr>
        <w:t xml:space="preserve"> </w:t>
      </w:r>
      <w:r>
        <w:rPr>
          <w:rtl w:val="true"/>
        </w:rPr>
        <w:t xml:space="preserve">נסע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במהירות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נורמלית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28-34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10-11</w:t>
      </w:r>
      <w:r>
        <w:rPr>
          <w:rtl w:val="true"/>
        </w:rPr>
        <w:t xml:space="preserve">).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התעלם מכך</w:t>
      </w:r>
      <w:r>
        <w:rPr>
          <w:rtl w:val="true"/>
        </w:rPr>
        <w:t xml:space="preserve">, </w:t>
      </w:r>
      <w:r>
        <w:rPr>
          <w:rtl w:val="true"/>
        </w:rPr>
        <w:t xml:space="preserve">והתייחס רק לדבריו של עד זה לפיהם הוא אינו מחזיק ברישיון נהיגה ולכן התקשה להעריך מהירות נסיעה של כלי רכב בנסיעה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אלא שגם טענה זו אין לה כיצד להועיל למערער</w:t>
      </w:r>
      <w:r>
        <w:rPr>
          <w:rtl w:val="true"/>
        </w:rPr>
        <w:t xml:space="preserve">. </w:t>
      </w:r>
      <w:r>
        <w:rPr>
          <w:rtl w:val="true"/>
        </w:rPr>
        <w:t>מר אלי העיד כי ראה את החלק האחרון של התאונה</w:t>
      </w:r>
      <w:r>
        <w:rPr>
          <w:rtl w:val="true"/>
        </w:rPr>
        <w:t xml:space="preserve">, </w:t>
      </w:r>
      <w:r>
        <w:rPr>
          <w:rtl w:val="true"/>
        </w:rPr>
        <w:t>ממש לפני שהתנגש רכבו של המערער במעקה הבטיחות הימני</w:t>
      </w:r>
      <w:r>
        <w:rPr>
          <w:rtl w:val="true"/>
        </w:rPr>
        <w:t xml:space="preserve">. </w:t>
      </w:r>
      <w:r>
        <w:rPr>
          <w:rtl w:val="true"/>
        </w:rPr>
        <w:t>הוא תיאר כיצד הבחין ברכב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 xml:space="preserve"> </w:t>
      </w:r>
      <w:r>
        <w:rPr>
          <w:rtl w:val="true"/>
        </w:rPr>
        <w:t xml:space="preserve">כאשר הוא כבר </w:t>
      </w:r>
      <w:r>
        <w:rPr>
          <w:rtl w:val="true"/>
        </w:rPr>
        <w:t>"</w:t>
      </w:r>
      <w:r>
        <w:rPr>
          <w:rtl w:val="true"/>
        </w:rPr>
        <w:t>נכנס עם הקדימה שלו בגדר</w:t>
      </w:r>
      <w:r>
        <w:rPr>
          <w:rtl w:val="true"/>
        </w:rPr>
        <w:t xml:space="preserve">, </w:t>
      </w:r>
      <w:r>
        <w:rPr>
          <w:rtl w:val="true"/>
        </w:rPr>
        <w:t>מסתובב</w:t>
      </w:r>
      <w:r>
        <w:rPr>
          <w:rtl w:val="true"/>
        </w:rPr>
        <w:t xml:space="preserve">, </w:t>
      </w:r>
      <w:r>
        <w:rPr>
          <w:rtl w:val="true"/>
        </w:rPr>
        <w:t>מתהפך ומסתובב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 אומדן מהירות נסיעתו של רכב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>באותם רגעים ממש שבהם התנגש במעקה הבטיחות הימני</w:t>
      </w:r>
      <w:r>
        <w:rPr>
          <w:rtl w:val="true"/>
        </w:rPr>
        <w:t xml:space="preserve">, </w:t>
      </w:r>
      <w:r>
        <w:rPr>
          <w:rtl w:val="true"/>
        </w:rPr>
        <w:t>אינו יכול ללמד על נהיגתו של המערער ברגעים שקדמו להתנגשות ולאופן הנהיגה אשר הביא את הרכב לכדי התנגשות עם מעקה הבטיחות שלצד הכביש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עוד טען המערער כי מר אלי העיד כי רכב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 xml:space="preserve">נסע גם 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בנתיב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12-13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9</w:t>
      </w:r>
      <w:r>
        <w:rPr>
          <w:rtl w:val="true"/>
        </w:rPr>
        <w:t xml:space="preserve">), </w:t>
      </w:r>
      <w:r>
        <w:rPr>
          <w:rtl w:val="true"/>
        </w:rPr>
        <w:t xml:space="preserve">באופן המתיישב לכאורה </w:t>
      </w:r>
      <w:r>
        <w:rPr>
          <w:rtl w:val="true"/>
        </w:rPr>
        <w:t>–</w:t>
      </w:r>
      <w:r>
        <w:rPr>
          <w:rtl w:val="true"/>
        </w:rPr>
        <w:t xml:space="preserve"> כך נטען </w:t>
      </w:r>
      <w:r>
        <w:rPr>
          <w:rtl w:val="true"/>
        </w:rPr>
        <w:t>–</w:t>
      </w:r>
      <w:r>
        <w:rPr>
          <w:rtl w:val="true"/>
        </w:rPr>
        <w:t xml:space="preserve"> עם גרסתו של המערער עצמו</w:t>
      </w:r>
      <w:r>
        <w:rPr>
          <w:rtl w:val="true"/>
        </w:rPr>
        <w:t xml:space="preserve">. </w:t>
      </w:r>
      <w:r>
        <w:rPr>
          <w:rtl w:val="true"/>
        </w:rPr>
        <w:t xml:space="preserve">אלא שטענת המערער כי העדות בדבר נסיעתו בנתיב הימני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תומכת</w:t>
      </w:r>
      <w:r>
        <w:rPr>
          <w:rtl w:val="true"/>
        </w:rPr>
        <w:t xml:space="preserve"> בגרסתו שלו</w:t>
      </w:r>
      <w:r>
        <w:rPr>
          <w:rtl w:val="true"/>
        </w:rPr>
        <w:t xml:space="preserve">, </w:t>
      </w:r>
      <w:r>
        <w:rPr>
          <w:rtl w:val="true"/>
        </w:rPr>
        <w:t>אינה ברורה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בהודעותיו במשטרה כי נסע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בנתיב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השמאלי</w:t>
      </w:r>
      <w:r>
        <w:rPr>
          <w:rtl w:val="true"/>
        </w:rPr>
        <w:t xml:space="preserve"> ביותר לפני שאיבד את השליטה על רכב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הודעה במשטרה מיום </w:t>
      </w:r>
      <w:r>
        <w:rPr/>
        <w:t>19.5.2013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; </w:t>
      </w:r>
      <w:r>
        <w:rPr>
          <w:rtl w:val="true"/>
        </w:rPr>
        <w:t xml:space="preserve">הודעה במשטרה מיום </w:t>
      </w:r>
      <w:r>
        <w:rPr/>
        <w:t>3.6.2013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42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3-4</w:t>
      </w:r>
      <w:r>
        <w:rPr>
          <w:rtl w:val="true"/>
        </w:rPr>
        <w:t xml:space="preserve">). </w:t>
      </w:r>
      <w:r>
        <w:rPr>
          <w:rtl w:val="true"/>
        </w:rPr>
        <w:t xml:space="preserve">גם על דוכן העדים טען כי הוא סבר שנסע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בנתיב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השמאלי</w:t>
      </w:r>
      <w:r>
        <w:rPr>
          <w:rtl w:val="true"/>
        </w:rPr>
        <w:t xml:space="preserve">, </w:t>
      </w:r>
      <w:r>
        <w:rPr>
          <w:rtl w:val="true"/>
        </w:rPr>
        <w:t xml:space="preserve">אבל יתכן שנסע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בנתיב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האמצעי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כפי ששמע מהעדים לאירוע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17-18</w:t>
      </w:r>
      <w:r>
        <w:rPr>
          <w:rtl w:val="true"/>
        </w:rPr>
        <w:t xml:space="preserve">). </w:t>
      </w:r>
      <w:r>
        <w:rPr>
          <w:rtl w:val="true"/>
        </w:rPr>
        <w:t xml:space="preserve">גם בהודעת הערעור פורט כי המערער נסע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בנתיב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השמאלי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להודעת הערעור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כלל לא ברור כיצד רכיב זה בעדותו של מר אלי </w:t>
      </w:r>
      <w:r>
        <w:rPr>
          <w:rtl w:val="true"/>
        </w:rPr>
        <w:t>–</w:t>
      </w:r>
      <w:r>
        <w:rPr>
          <w:rtl w:val="true"/>
        </w:rPr>
        <w:t xml:space="preserve"> לפיו נסע המערער בנתיב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הימני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מסייע למערער</w:t>
      </w:r>
      <w:r>
        <w:rPr>
          <w:rtl w:val="true"/>
        </w:rPr>
        <w:t xml:space="preserve">. </w:t>
      </w:r>
      <w:r>
        <w:rPr>
          <w:rtl w:val="true"/>
        </w:rPr>
        <w:t>למעלה מכך</w:t>
      </w:r>
      <w:r>
        <w:rPr>
          <w:rtl w:val="true"/>
        </w:rPr>
        <w:t xml:space="preserve">, </w:t>
      </w:r>
      <w:r>
        <w:rPr>
          <w:rtl w:val="true"/>
        </w:rPr>
        <w:t>עדותו של מר אלי התמקדה ברגעים שבהם התנגש רכב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>במעקה הבטיחות הימני</w:t>
      </w:r>
      <w:r>
        <w:rPr>
          <w:rtl w:val="true"/>
        </w:rPr>
        <w:t xml:space="preserve">, </w:t>
      </w:r>
      <w:r>
        <w:rPr>
          <w:rtl w:val="true"/>
        </w:rPr>
        <w:t>כאשר אין כל מחלוקת כי רכב ה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szCs w:val="24"/>
          <w:rtl w:val="true"/>
        </w:rPr>
        <w:t xml:space="preserve"> </w:t>
      </w:r>
      <w:r>
        <w:rPr>
          <w:rtl w:val="true"/>
        </w:rPr>
        <w:t>סטה בסופו של יום אל הנתיב הימני והתנגש שם במעקה הבטיחות</w:t>
      </w:r>
      <w:r>
        <w:rPr>
          <w:rtl w:val="true"/>
        </w:rPr>
        <w:t xml:space="preserve">. </w:t>
      </w:r>
      <w:r>
        <w:rPr>
          <w:rtl w:val="true"/>
        </w:rPr>
        <w:t xml:space="preserve">על כן אין לעדות זו השפעה על ההכרעה בשאלה באיזה נתיב נסע הרכב ברגעים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שקדמו</w:t>
      </w:r>
      <w:r>
        <w:rPr>
          <w:rtl w:val="true"/>
        </w:rPr>
        <w:t xml:space="preserve"> לתאונה</w:t>
      </w:r>
      <w:r>
        <w:rPr>
          <w:rtl w:val="true"/>
        </w:rPr>
        <w:t xml:space="preserve">, </w:t>
      </w:r>
      <w:r>
        <w:rPr>
          <w:rtl w:val="true"/>
        </w:rPr>
        <w:t>ולפני שסטה לנתיב הימני ביותר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כן נטען על ידי המערער כי בית המשפט המחוזי שגה בכך שהסתמך על עדותו של מר יואל פרידמן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tl w:val="true"/>
        </w:rPr>
        <w:t xml:space="preserve">) </w:t>
      </w:r>
      <w:r>
        <w:rPr>
          <w:rtl w:val="true"/>
        </w:rPr>
        <w:t>אשר נהג ברכבו בזמן התאונה בנתיב האמצעי</w:t>
      </w:r>
      <w:r>
        <w:rPr>
          <w:rtl w:val="true"/>
        </w:rPr>
        <w:t xml:space="preserve">, </w:t>
      </w:r>
      <w:r>
        <w:rPr>
          <w:rtl w:val="true"/>
        </w:rPr>
        <w:t>לעניין מהירות נסיעתו של המערער</w:t>
      </w:r>
      <w:r>
        <w:rPr>
          <w:rtl w:val="true"/>
        </w:rPr>
        <w:t xml:space="preserve">. </w:t>
      </w:r>
      <w:r>
        <w:rPr>
          <w:rtl w:val="true"/>
        </w:rPr>
        <w:t>לטענת המערער מר פרידמן עצמו נסע לפי דבריו במהירות של כ</w:t>
      </w:r>
      <w:r>
        <w:rPr>
          <w:rtl w:val="true"/>
        </w:rPr>
        <w:t>-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 xml:space="preserve">ועל כן גם אם המערער נסע במהירות של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 xml:space="preserve">מהירות זו עשויה הייתה להיראות למר פרידמן כמהירות </w:t>
      </w:r>
      <w:r>
        <w:rPr>
          <w:rtl w:val="true"/>
        </w:rPr>
        <w:t>"</w:t>
      </w:r>
      <w:r>
        <w:rPr>
          <w:rtl w:val="true"/>
        </w:rPr>
        <w:t>מופרזת</w:t>
      </w:r>
      <w:r>
        <w:rPr>
          <w:rtl w:val="true"/>
        </w:rPr>
        <w:t xml:space="preserve">". </w:t>
      </w:r>
      <w:r>
        <w:rPr>
          <w:rtl w:val="true"/>
        </w:rPr>
        <w:t>גם טענה זו אינה יכולה להתקבל</w:t>
      </w:r>
      <w:r>
        <w:rPr>
          <w:rtl w:val="true"/>
        </w:rPr>
        <w:t xml:space="preserve">. </w:t>
      </w:r>
      <w:r>
        <w:rPr>
          <w:rtl w:val="true"/>
        </w:rPr>
        <w:t>כפי שגם התייחס לכך בית המשפט המחוזי</w:t>
      </w:r>
      <w:r>
        <w:rPr>
          <w:rtl w:val="true"/>
        </w:rPr>
        <w:t xml:space="preserve">, </w:t>
      </w:r>
      <w:r>
        <w:rPr>
          <w:rtl w:val="true"/>
        </w:rPr>
        <w:t>כאשר עומת מר פרידמן במהלך חקירתו הנגדית עם השאלה</w:t>
      </w:r>
      <w:r>
        <w:rPr>
          <w:rtl w:val="true"/>
        </w:rPr>
        <w:t xml:space="preserve">, </w:t>
      </w:r>
      <w:r>
        <w:rPr>
          <w:rtl w:val="true"/>
        </w:rPr>
        <w:t xml:space="preserve">האם יתכן שהמערער נהג במהירות שבין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 xml:space="preserve">עמד מר פרידמן על כך שהמערער נהג במהירות </w:t>
      </w:r>
      <w:r>
        <w:rPr>
          <w:rtl w:val="true"/>
        </w:rPr>
        <w:t>"</w:t>
      </w:r>
      <w:r>
        <w:rPr>
          <w:rtl w:val="true"/>
        </w:rPr>
        <w:t>מאוד מפורזת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מר פרידמן חזר על כך שמהירות הנהיגה ב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 xml:space="preserve"> </w:t>
      </w:r>
      <w:r>
        <w:rPr>
          <w:rtl w:val="true"/>
        </w:rPr>
        <w:t>גם הסבה את תשומת לבו באופן מיוחד</w:t>
      </w:r>
      <w:r>
        <w:rPr>
          <w:rtl w:val="true"/>
        </w:rPr>
        <w:t xml:space="preserve">, </w:t>
      </w:r>
      <w:r>
        <w:rPr>
          <w:rtl w:val="true"/>
        </w:rPr>
        <w:t xml:space="preserve">והוא שוחח על כך עם אביו שישב לידו במהלך הנסיעה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5-7</w:t>
      </w:r>
      <w:r>
        <w:rPr>
          <w:rtl w:val="true"/>
        </w:rPr>
        <w:t xml:space="preserve">). </w:t>
      </w:r>
      <w:r>
        <w:rPr>
          <w:rtl w:val="true"/>
        </w:rPr>
        <w:t>מכאן כי גם בהקשר זה לא נמצא כי יש בדבריו של מר פרידמן כדי לסייע למערער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יצוין כי לעדויות אלו מצטרפת עדות נוספת של גב</w:t>
      </w:r>
      <w:r>
        <w:rPr>
          <w:rtl w:val="true"/>
        </w:rPr>
        <w:t xml:space="preserve">' </w:t>
      </w:r>
      <w:r>
        <w:rPr>
          <w:rtl w:val="true"/>
        </w:rPr>
        <w:t xml:space="preserve">טרייסי עמרני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עמרני</w:t>
      </w:r>
      <w:r>
        <w:rPr>
          <w:rtl w:val="true"/>
        </w:rPr>
        <w:t xml:space="preserve">), </w:t>
      </w:r>
      <w:r>
        <w:rPr>
          <w:rtl w:val="true"/>
        </w:rPr>
        <w:t>אשתו של מר עמרני</w:t>
      </w:r>
      <w:r>
        <w:rPr>
          <w:rtl w:val="true"/>
        </w:rPr>
        <w:t xml:space="preserve">, </w:t>
      </w:r>
      <w:r>
        <w:rPr>
          <w:rtl w:val="true"/>
        </w:rPr>
        <w:t>אשר העידה כי רכב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>נסע במהירות מופרזת</w:t>
      </w:r>
      <w:r>
        <w:rPr>
          <w:rtl w:val="true"/>
        </w:rPr>
        <w:t>, "</w:t>
      </w:r>
      <w:r>
        <w:rPr>
          <w:rtl w:val="true"/>
        </w:rPr>
        <w:t>פשוט טס</w:t>
      </w:r>
      <w:r>
        <w:rPr>
          <w:rtl w:val="true"/>
        </w:rPr>
        <w:t xml:space="preserve">" </w:t>
      </w:r>
      <w:r>
        <w:rPr>
          <w:rtl w:val="true"/>
        </w:rPr>
        <w:t xml:space="preserve">בין הנתיבים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28-29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לא נמצא כי יש במכלול העדויות האמורות</w:t>
      </w:r>
      <w:r>
        <w:rPr>
          <w:rtl w:val="true"/>
        </w:rPr>
        <w:t xml:space="preserve">, </w:t>
      </w:r>
      <w:r>
        <w:rPr>
          <w:rtl w:val="true"/>
        </w:rPr>
        <w:t>כמו גם בציטוטים אליהם הפנה המערער כדי להחליש מהמסקנה בדבר נהיגה פרועה במהירות מופרזת מצד המערער</w:t>
      </w:r>
      <w:r>
        <w:rPr>
          <w:rtl w:val="true"/>
        </w:rPr>
        <w:t xml:space="preserve">, </w:t>
      </w:r>
      <w:r>
        <w:rPr>
          <w:rtl w:val="true"/>
        </w:rPr>
        <w:t>ויש לדחות את טענות המערער בנקודה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 xml:space="preserve">טענות נוספות </w:t>
      </w:r>
      <w:r>
        <w:rPr>
          <w:rtl w:val="true"/>
        </w:rPr>
        <w:t>–</w:t>
      </w:r>
      <w:r>
        <w:rPr>
          <w:rtl w:val="true"/>
        </w:rPr>
        <w:t xml:space="preserve"> מלבד הטענה הנוגעת למהירות נסיעתו של המערער </w:t>
      </w:r>
      <w:r>
        <w:rPr>
          <w:rtl w:val="true"/>
        </w:rPr>
        <w:t>–</w:t>
      </w:r>
      <w:r>
        <w:rPr>
          <w:rtl w:val="true"/>
        </w:rPr>
        <w:t xml:space="preserve"> בדבר התרחיש אשר לדעת המערער הביא להשתלשלות התאונה</w:t>
      </w:r>
      <w:r>
        <w:rPr>
          <w:rtl w:val="true"/>
        </w:rPr>
        <w:t xml:space="preserve">, </w:t>
      </w:r>
      <w:r>
        <w:rPr>
          <w:rtl w:val="true"/>
        </w:rPr>
        <w:t>נשמטו כמעט כולן מעיקרי הטיעון של המערער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אתייחס גם לטענות אלו בקצרת האומר ואציין כי לא נמצא גם בהן ממש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 נמצא כי יש להתערב בקביעת בית המשפט המחוזי השוללת את התרחיש שהציג המערער על שני חלקיו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כי רכב הפורשה הוא זה אשר פגע ב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 xml:space="preserve"> </w:t>
      </w:r>
      <w:r>
        <w:rPr>
          <w:rtl w:val="true"/>
        </w:rPr>
        <w:t>בפינה האחורית</w:t>
      </w:r>
      <w:r>
        <w:rPr>
          <w:rtl w:val="true"/>
        </w:rPr>
        <w:t>-</w:t>
      </w:r>
      <w:r>
        <w:rPr>
          <w:rtl w:val="true"/>
        </w:rPr>
        <w:t>ימנית של הרכב ופגיעה זו הביאה לאובדן השליטה ב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כי רכב הפורשה הוא הרכב הראשון שהתלקח באש</w:t>
      </w:r>
      <w:r>
        <w:rPr>
          <w:rtl w:val="true"/>
        </w:rPr>
        <w:t xml:space="preserve">, </w:t>
      </w:r>
      <w:r>
        <w:rPr>
          <w:rtl w:val="true"/>
        </w:rPr>
        <w:t>וזאת בשל כשל פנימי ברכב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קביעתו של בית המשפט המחוזי כי לא הוכחה פגיעה של רכב הפורשה ברכב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>(</w:t>
      </w:r>
      <w:r>
        <w:rPr>
          <w:rtl w:val="true"/>
        </w:rPr>
        <w:t>בצדו הימני</w:t>
      </w:r>
      <w:r>
        <w:rPr>
          <w:rtl w:val="true"/>
        </w:rPr>
        <w:t>-</w:t>
      </w:r>
      <w:r>
        <w:rPr>
          <w:rtl w:val="true"/>
        </w:rPr>
        <w:t>אחורי</w:t>
      </w:r>
      <w:r>
        <w:rPr>
          <w:rtl w:val="true"/>
        </w:rPr>
        <w:t xml:space="preserve">) </w:t>
      </w:r>
      <w:r>
        <w:rPr>
          <w:rtl w:val="true"/>
        </w:rPr>
        <w:t>ברגעים לפני שסטה רכב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>בין הנתיבים השונים</w:t>
      </w:r>
      <w:r>
        <w:rPr>
          <w:rtl w:val="true"/>
        </w:rPr>
        <w:t xml:space="preserve">, </w:t>
      </w:r>
      <w:r>
        <w:rPr>
          <w:rtl w:val="true"/>
        </w:rPr>
        <w:t>מעוגנת היטב בחומר הראיות</w:t>
      </w:r>
      <w:r>
        <w:rPr>
          <w:rtl w:val="true"/>
        </w:rPr>
        <w:t xml:space="preserve">, </w:t>
      </w:r>
      <w:r>
        <w:rPr>
          <w:rtl w:val="true"/>
        </w:rPr>
        <w:t>בממצאיו של בוחן התנועה ובעדויות הראיה השונות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גם נדרש לחוות דעתו של מומחה מטעם ההגנה </w:t>
      </w:r>
      <w:r>
        <w:rPr>
          <w:rtl w:val="true"/>
        </w:rPr>
        <w:t>(</w:t>
      </w:r>
      <w:r>
        <w:rPr>
          <w:rtl w:val="true"/>
        </w:rPr>
        <w:t>מר דורון פת</w:t>
      </w:r>
      <w:r>
        <w:rPr>
          <w:rtl w:val="true"/>
        </w:rPr>
        <w:t xml:space="preserve">) </w:t>
      </w:r>
      <w:r>
        <w:rPr>
          <w:rtl w:val="true"/>
        </w:rPr>
        <w:t>אשר טען כי הממצאים תומכים בפגיעה בפינה האחורית</w:t>
      </w:r>
      <w:r>
        <w:rPr>
          <w:rtl w:val="true"/>
        </w:rPr>
        <w:t>-</w:t>
      </w:r>
      <w:r>
        <w:rPr>
          <w:rtl w:val="true"/>
        </w:rPr>
        <w:t>ימנית של רכב ה</w:t>
      </w:r>
      <w:r>
        <w:rPr>
          <w:rtl w:val="true"/>
        </w:rPr>
        <w:t>-</w:t>
      </w:r>
      <w:r>
        <w:rPr/>
        <w:t>BMW</w:t>
      </w:r>
      <w:r>
        <w:rPr>
          <w:rtl w:val="true"/>
        </w:rPr>
        <w:t xml:space="preserve">. </w:t>
      </w:r>
      <w:r>
        <w:rPr>
          <w:rtl w:val="true"/>
        </w:rPr>
        <w:t>בית המשפט נימק בהרחבה מדוע לא ניתן לקבל את התזה המוצעת על ידי המומחה ואת המסקנה הנובעת מחוות דעתו</w:t>
      </w:r>
      <w:r>
        <w:rPr>
          <w:rtl w:val="true"/>
        </w:rPr>
        <w:t xml:space="preserve">, </w:t>
      </w:r>
      <w:r>
        <w:rPr>
          <w:rtl w:val="true"/>
        </w:rPr>
        <w:t>וזאת בין היתר לאחר עיון בתמונות מהן עולה כי הנזק שנגרם לצידו הימני</w:t>
      </w:r>
      <w:r>
        <w:rPr>
          <w:rtl w:val="true"/>
        </w:rPr>
        <w:t>-</w:t>
      </w:r>
      <w:r>
        <w:rPr>
          <w:rtl w:val="true"/>
        </w:rPr>
        <w:t>אחורי של רכב ה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>היה מוגבל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כך גם לגבי שלילת התזה שהציג המערער לפיה מקור השריפה היה ברכב הפורשה</w:t>
      </w:r>
      <w:r>
        <w:rPr>
          <w:rtl w:val="true"/>
        </w:rPr>
        <w:t xml:space="preserve">. </w:t>
      </w:r>
      <w:r>
        <w:rPr>
          <w:rtl w:val="true"/>
        </w:rPr>
        <w:t>גם בעניין זה בית המשפט המחוזי הגיע למסקנה כי מקור השריפה לא היה בתא הנוסעים של רכב הפורשה</w:t>
      </w:r>
      <w:r>
        <w:rPr>
          <w:rtl w:val="true"/>
        </w:rPr>
        <w:t xml:space="preserve">, </w:t>
      </w:r>
      <w:r>
        <w:rPr>
          <w:rtl w:val="true"/>
        </w:rPr>
        <w:t>לאחר שנדרש היטב לחומר הראיות</w:t>
      </w:r>
      <w:r>
        <w:rPr>
          <w:rtl w:val="true"/>
        </w:rPr>
        <w:t xml:space="preserve">, </w:t>
      </w:r>
      <w:r>
        <w:rPr>
          <w:rtl w:val="true"/>
        </w:rPr>
        <w:t>לעדויות השונות ולחוות הדעת הסותרות שהוגשו</w:t>
      </w:r>
      <w:r>
        <w:rPr>
          <w:rtl w:val="true"/>
        </w:rPr>
        <w:t xml:space="preserve">. </w:t>
      </w:r>
      <w:r>
        <w:rPr>
          <w:rtl w:val="true"/>
        </w:rPr>
        <w:t>בית המשפט התייחס בהרחבה לחוות הדעת של המהנדס סלוצקי שהוגשה מטעם המערער שבמסגרתה נטען כי השריפה פרצה ברכב הפורשה במנותק מהתאונה וקודם ההתנגשות בין שני כלי הרכב</w:t>
      </w:r>
      <w:r>
        <w:rPr>
          <w:rtl w:val="true"/>
        </w:rPr>
        <w:t xml:space="preserve">, </w:t>
      </w:r>
      <w:r>
        <w:rPr>
          <w:rtl w:val="true"/>
        </w:rPr>
        <w:t xml:space="preserve">וזאת בהסתמך על כך שלטענתו התגלו </w:t>
      </w:r>
      <w:r>
        <w:rPr>
          <w:rtl w:val="true"/>
        </w:rPr>
        <w:t>"</w:t>
      </w:r>
      <w:r>
        <w:rPr>
          <w:rtl w:val="true"/>
        </w:rPr>
        <w:t>שרידי חומר שבער במיקום שבין המושבים</w:t>
      </w:r>
      <w:r>
        <w:rPr>
          <w:rtl w:val="true"/>
        </w:rPr>
        <w:t xml:space="preserve">" </w:t>
      </w:r>
      <w:r>
        <w:rPr>
          <w:rtl w:val="true"/>
        </w:rPr>
        <w:t xml:space="preserve">הקדמיים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לחוות דעתו של המהנדס סלוצקי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3.4</w:t>
      </w:r>
      <w:r>
        <w:rPr>
          <w:rtl w:val="true"/>
        </w:rPr>
        <w:t xml:space="preserve">). </w:t>
      </w:r>
      <w:r>
        <w:rPr>
          <w:rtl w:val="true"/>
        </w:rPr>
        <w:t>אלא שדחיית מסקנה זו בדין נעשתה</w:t>
      </w:r>
      <w:r>
        <w:rPr>
          <w:rtl w:val="true"/>
        </w:rPr>
        <w:t xml:space="preserve">. </w:t>
      </w:r>
      <w:r>
        <w:rPr>
          <w:rtl w:val="true"/>
        </w:rPr>
        <w:t>בקצרה ייאמר</w:t>
      </w:r>
      <w:r>
        <w:rPr>
          <w:rtl w:val="true"/>
        </w:rPr>
        <w:t xml:space="preserve">, </w:t>
      </w:r>
      <w:r>
        <w:rPr>
          <w:rtl w:val="true"/>
        </w:rPr>
        <w:t>כי בעדותו של טפסר רן שלף</w:t>
      </w:r>
      <w:r>
        <w:rPr>
          <w:rtl w:val="true"/>
        </w:rPr>
        <w:t xml:space="preserve">, </w:t>
      </w:r>
      <w:r>
        <w:rPr>
          <w:rtl w:val="true"/>
        </w:rPr>
        <w:t>ראש מחלקת חקירות בנציבות כבאות והצלה</w:t>
      </w:r>
      <w:r>
        <w:rPr>
          <w:rtl w:val="true"/>
        </w:rPr>
        <w:t xml:space="preserve">, </w:t>
      </w:r>
      <w:r>
        <w:rPr>
          <w:rtl w:val="true"/>
        </w:rPr>
        <w:t>הובהר כי לאחר שבחן מקרוב את סימני השריפה שנטען כי נמצאו בין המושבים הקדמיים</w:t>
      </w:r>
      <w:r>
        <w:rPr>
          <w:rtl w:val="true"/>
        </w:rPr>
        <w:t xml:space="preserve">, </w:t>
      </w:r>
      <w:r>
        <w:rPr>
          <w:rtl w:val="true"/>
        </w:rPr>
        <w:t xml:space="preserve">נמצא כי מדובר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בשרידי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שִמשה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וחלקי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</w:t>
      </w:r>
      <w:r>
        <w:rPr>
          <w:rtl w:val="true"/>
        </w:rPr>
        <w:t xml:space="preserve"> שנפלו מהתקרה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27-32</w:t>
      </w:r>
      <w:r>
        <w:rPr>
          <w:rtl w:val="true"/>
        </w:rPr>
        <w:t xml:space="preserve">), </w:t>
      </w:r>
      <w:r>
        <w:rPr>
          <w:rtl w:val="true"/>
        </w:rPr>
        <w:t>ותוּ לא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מערכת החשמל ברכב הפורשה נמצאה תקינה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6-10</w:t>
      </w:r>
      <w:r>
        <w:rPr>
          <w:rtl w:val="true"/>
        </w:rPr>
        <w:t xml:space="preserve">). </w:t>
      </w:r>
      <w:r>
        <w:rPr>
          <w:rtl w:val="true"/>
        </w:rPr>
        <w:t>גם לא נמצאו עדויות לכך שהתרחשה שריפה בחלק התחתון של הרכב</w:t>
      </w:r>
      <w:r>
        <w:rPr>
          <w:rtl w:val="true"/>
        </w:rPr>
        <w:t xml:space="preserve">, </w:t>
      </w:r>
      <w:r>
        <w:rPr>
          <w:rtl w:val="true"/>
        </w:rPr>
        <w:t xml:space="preserve">לאחר שנמצא כי האיזור שמתחת לשִמשה הקדמית של הרכב היה נקי מפיח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14-22</w:t>
      </w:r>
      <w:r>
        <w:rPr>
          <w:rtl w:val="true"/>
        </w:rPr>
        <w:t xml:space="preserve">). </w:t>
      </w:r>
      <w:r>
        <w:rPr>
          <w:rtl w:val="true"/>
        </w:rPr>
        <w:t>גם דו</w:t>
      </w:r>
      <w:r>
        <w:rPr>
          <w:rtl w:val="true"/>
        </w:rPr>
        <w:t>"</w:t>
      </w:r>
      <w:r>
        <w:rPr>
          <w:rtl w:val="true"/>
        </w:rPr>
        <w:t>ח של רפ</w:t>
      </w:r>
      <w:r>
        <w:rPr>
          <w:rtl w:val="true"/>
        </w:rPr>
        <w:t>"</w:t>
      </w:r>
      <w:r>
        <w:rPr>
          <w:rtl w:val="true"/>
        </w:rPr>
        <w:t xml:space="preserve">ק וקס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), </w:t>
      </w:r>
      <w:r>
        <w:rPr>
          <w:rtl w:val="true"/>
        </w:rPr>
        <w:t>ראש המעבדה הניידת לזירת העבירה</w:t>
      </w:r>
      <w:r>
        <w:rPr>
          <w:rtl w:val="true"/>
        </w:rPr>
        <w:t xml:space="preserve">, </w:t>
      </w:r>
      <w:r>
        <w:rPr>
          <w:rtl w:val="true"/>
        </w:rPr>
        <w:t>מגלה כי לא נמצא כל סימן לשריפה שהחלה בתחתית הרכב</w:t>
      </w:r>
      <w:r>
        <w:rPr>
          <w:rtl w:val="true"/>
        </w:rPr>
        <w:t xml:space="preserve">. </w:t>
      </w:r>
      <w:r>
        <w:rPr>
          <w:rtl w:val="true"/>
        </w:rPr>
        <w:t>מכאן כי גם בעניין זה לא נמצאה כל עילה להתערב בשלילת תזת המערער</w:t>
      </w:r>
      <w:r>
        <w:rPr>
          <w:rtl w:val="true"/>
        </w:rPr>
        <w:t xml:space="preserve">, </w:t>
      </w:r>
      <w:r>
        <w:rPr>
          <w:rtl w:val="true"/>
        </w:rPr>
        <w:t>שבדין נעשתה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טענות המערער כי מעדויותיהם של עדי הראיה השונים עולה כי לא ניתן לקבוע בוודאות את אופן התרחשות התאונה</w:t>
      </w:r>
      <w:r>
        <w:rPr>
          <w:rtl w:val="true"/>
        </w:rPr>
        <w:t xml:space="preserve">, </w:t>
      </w:r>
      <w:r>
        <w:rPr>
          <w:rtl w:val="true"/>
        </w:rPr>
        <w:t xml:space="preserve">גם באשר לשני עניינים אלה </w:t>
      </w:r>
      <w:r>
        <w:rPr>
          <w:rtl w:val="true"/>
        </w:rPr>
        <w:t>–</w:t>
      </w:r>
      <w:r>
        <w:rPr>
          <w:rtl w:val="true"/>
        </w:rPr>
        <w:t xml:space="preserve"> לעניין האפשרות כי רכב הפורשה הוא זה אשר פגע ברכב ה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 xml:space="preserve"> </w:t>
      </w:r>
      <w:r>
        <w:rPr>
          <w:rtl w:val="true"/>
        </w:rPr>
        <w:t xml:space="preserve">וכי רכב הפורשה הוא הרכב אשר התלקח ראשון </w:t>
      </w:r>
      <w:r>
        <w:rPr>
          <w:rtl w:val="true"/>
        </w:rPr>
        <w:t>–</w:t>
      </w:r>
      <w:r>
        <w:rPr>
          <w:rtl w:val="true"/>
        </w:rPr>
        <w:t xml:space="preserve"> אינה ניתנת להתקבל</w:t>
      </w:r>
      <w:r>
        <w:rPr>
          <w:rtl w:val="true"/>
        </w:rPr>
        <w:t xml:space="preserve">. </w:t>
      </w:r>
      <w:r>
        <w:rPr>
          <w:rtl w:val="true"/>
        </w:rPr>
        <w:t>גם בעניין זה</w:t>
      </w:r>
      <w:r>
        <w:rPr>
          <w:rtl w:val="true"/>
        </w:rPr>
        <w:t xml:space="preserve">, </w:t>
      </w:r>
      <w:r>
        <w:rPr>
          <w:rtl w:val="true"/>
        </w:rPr>
        <w:t>לא נמצאה כל עילה להתערב בקביעתו של בית המשפט המחוזי באשר לממצאים הנובעים מהערכת עדויותיהם של עדים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הגיע לכלל מסקנה באשר לאופן התרחשות התאונה בהתייחס למכלול הממצאים הרלוונטיים לעניין</w:t>
      </w:r>
      <w:r>
        <w:rPr>
          <w:rtl w:val="true"/>
        </w:rPr>
        <w:t xml:space="preserve">, </w:t>
      </w:r>
      <w:r>
        <w:rPr>
          <w:rtl w:val="true"/>
        </w:rPr>
        <w:t>ובעיקר לחוות הדעת שהוגשו</w:t>
      </w:r>
      <w:r>
        <w:rPr>
          <w:rtl w:val="true"/>
        </w:rPr>
        <w:t xml:space="preserve">, </w:t>
      </w:r>
      <w:r>
        <w:rPr>
          <w:rtl w:val="true"/>
        </w:rPr>
        <w:t>ולא רק בהתבסס על העדויות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מכל מקום ולמעלה מן הצורך יצוין כי גם עיון בעדויות האמורות אינו מעלה כי יש בהן כדי להפריך את התרחיש שאומץ על ידי בית המשפט המחוזי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אף אחד מהעדים</w:t>
      </w:r>
      <w:r>
        <w:rPr>
          <w:rtl w:val="true"/>
        </w:rPr>
        <w:t xml:space="preserve">, </w:t>
      </w:r>
      <w:r>
        <w:rPr>
          <w:rtl w:val="true"/>
        </w:rPr>
        <w:t>ואף לא אלכסיי שישב לצדו של המערער</w:t>
      </w:r>
      <w:r>
        <w:rPr>
          <w:rtl w:val="true"/>
        </w:rPr>
        <w:t xml:space="preserve">, </w:t>
      </w:r>
      <w:r>
        <w:rPr>
          <w:rtl w:val="true"/>
        </w:rPr>
        <w:t>העידו על פגיעה כלשהי שפגע רכב הפורשה ב</w:t>
      </w:r>
      <w:r>
        <w:rPr>
          <w:rtl w:val="true"/>
        </w:rPr>
        <w:t>-</w:t>
      </w:r>
      <w:r>
        <w:rPr>
          <w:szCs w:val="24"/>
          <w:rtl w:val="true"/>
        </w:rPr>
        <w:t xml:space="preserve"> </w:t>
      </w:r>
      <w:r>
        <w:rPr>
          <w:szCs w:val="24"/>
        </w:rPr>
        <w:t>BMW</w:t>
      </w:r>
      <w:r>
        <w:rPr>
          <w:rtl w:val="true"/>
        </w:rPr>
        <w:t>באופן שגרם למערער לאבד שליטה ברכב</w:t>
      </w:r>
      <w:r>
        <w:rPr>
          <w:rtl w:val="true"/>
        </w:rPr>
        <w:t xml:space="preserve">, </w:t>
      </w:r>
      <w:r>
        <w:rPr>
          <w:rtl w:val="true"/>
        </w:rPr>
        <w:t>כפי שנטען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מכלל העדויות עולה כי האש פרצה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ההתנגשות בין שני כלי הרכב</w:t>
      </w:r>
      <w:r>
        <w:rPr>
          <w:rtl w:val="true"/>
        </w:rPr>
        <w:t xml:space="preserve">. </w:t>
      </w:r>
      <w:r>
        <w:rPr>
          <w:rtl w:val="true"/>
        </w:rPr>
        <w:t xml:space="preserve">גם בעדותו של מר פרידמן </w:t>
      </w:r>
      <w:r>
        <w:rPr>
          <w:rtl w:val="true"/>
        </w:rPr>
        <w:t>–</w:t>
      </w:r>
      <w:r>
        <w:rPr>
          <w:rtl w:val="true"/>
        </w:rPr>
        <w:t xml:space="preserve"> עליה מבקש המערער להסתמך </w:t>
      </w:r>
      <w:r>
        <w:rPr>
          <w:rtl w:val="true"/>
        </w:rPr>
        <w:t>–</w:t>
      </w:r>
      <w:r>
        <w:rPr>
          <w:rtl w:val="true"/>
        </w:rPr>
        <w:t xml:space="preserve"> לפיה האש פרצה קודם ברכב הפורשה</w:t>
      </w:r>
      <w:r>
        <w:rPr>
          <w:rtl w:val="true"/>
        </w:rPr>
        <w:t xml:space="preserve">, </w:t>
      </w:r>
      <w:r>
        <w:rPr>
          <w:rtl w:val="true"/>
        </w:rPr>
        <w:t xml:space="preserve">הובהר כי ההתנגשות קדמה להתלקחות האש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גם מעדותו של אלכסיי עולה כי האש פרצה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ההתנגשות בין כלי הרכב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 xml:space="preserve">ובמובן מסוים כך עולה אף מעדות המערער עצמו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 אף אם היה מוכח כי לאחר ההתנגשות</w:t>
      </w:r>
      <w:r>
        <w:rPr>
          <w:rtl w:val="true"/>
        </w:rPr>
        <w:t xml:space="preserve">, </w:t>
      </w:r>
      <w:r>
        <w:rPr>
          <w:rtl w:val="true"/>
        </w:rPr>
        <w:t>האש פרצה קודם בפורשה ולאחר מכן ב</w:t>
      </w:r>
      <w:r>
        <w:rPr>
          <w:rtl w:val="true"/>
        </w:rPr>
        <w:t>-</w:t>
      </w:r>
      <w:r>
        <w:rPr>
          <w:szCs w:val="24"/>
        </w:rPr>
        <w:t>BMW</w:t>
      </w:r>
      <w:r>
        <w:rPr>
          <w:rtl w:val="true"/>
        </w:rPr>
        <w:t xml:space="preserve"> </w:t>
      </w:r>
      <w:r>
        <w:rPr>
          <w:rtl w:val="true"/>
        </w:rPr>
        <w:t>כפי שנטען</w:t>
      </w:r>
      <w:r>
        <w:rPr>
          <w:rtl w:val="true"/>
        </w:rPr>
        <w:t xml:space="preserve">, </w:t>
      </w:r>
      <w:r>
        <w:rPr>
          <w:rtl w:val="true"/>
        </w:rPr>
        <w:t>לא היה בכך כדי לסייע למערער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וכפי שגם 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אף אם היה מוכח כי נפל כשל באחת ממערכות רכב הפורשה שהיה בו כדי לתרום בדרך כלשהי לאופן השריפה</w:t>
      </w:r>
      <w:r>
        <w:rPr>
          <w:rtl w:val="true"/>
        </w:rPr>
        <w:t xml:space="preserve">, </w:t>
      </w:r>
      <w:r>
        <w:rPr>
          <w:rtl w:val="true"/>
        </w:rPr>
        <w:t>הדבר לא היה מסייע למערער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 העובדה שלצורך הרשעת המערער בעבירות שיוחסו לו</w:t>
      </w:r>
      <w:r>
        <w:rPr>
          <w:rtl w:val="true"/>
        </w:rPr>
        <w:t xml:space="preserve">, </w:t>
      </w:r>
      <w:r>
        <w:rPr>
          <w:rtl w:val="true"/>
        </w:rPr>
        <w:t>התנהגותו צריכה הייתה להיות בעלת תרומה הכרחית להתרחשות התוצאה הקטלנית</w:t>
      </w:r>
      <w:r>
        <w:rPr>
          <w:rtl w:val="true"/>
        </w:rPr>
        <w:t xml:space="preserve">, </w:t>
      </w:r>
      <w:r>
        <w:rPr>
          <w:rtl w:val="true"/>
        </w:rPr>
        <w:t xml:space="preserve">אך היא אינה צריכה הייתה להוות הסיבה היחידה לה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14-15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3.1.2013</w:t>
      </w:r>
      <w:r>
        <w:rPr>
          <w:rtl w:val="true"/>
        </w:rPr>
        <w:t xml:space="preserve">) </w:t>
      </w:r>
      <w:r>
        <w:rPr>
          <w:rtl w:val="true"/>
        </w:rPr>
        <w:t>והאסמכתאות שם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אף אם היה מוכח קיומו של כשל כאמור</w:t>
      </w:r>
      <w:r>
        <w:rPr>
          <w:rtl w:val="true"/>
        </w:rPr>
        <w:t xml:space="preserve">, </w:t>
      </w:r>
      <w:r>
        <w:rPr>
          <w:rtl w:val="true"/>
        </w:rPr>
        <w:t>לא היה בקיומו של כשל מעין זה לנתק את הקשר הסיבתי בין התנהגותו של המערער לבין התאונה שהתרחשה</w:t>
      </w:r>
      <w:r>
        <w:rPr>
          <w:rtl w:val="true"/>
        </w:rPr>
        <w:t xml:space="preserve">, </w:t>
      </w:r>
      <w:r>
        <w:rPr>
          <w:rtl w:val="true"/>
        </w:rPr>
        <w:t>שכן אלמלא אותה התנהגות</w:t>
      </w:r>
      <w:r>
        <w:rPr>
          <w:rtl w:val="true"/>
        </w:rPr>
        <w:t xml:space="preserve">, </w:t>
      </w:r>
      <w:r>
        <w:rPr>
          <w:rtl w:val="true"/>
        </w:rPr>
        <w:t xml:space="preserve">לא הייתה מתרחשת אותה תוצאה עגומה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זילברמן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16-18</w:t>
      </w:r>
      <w:r>
        <w:rPr>
          <w:rtl w:val="true"/>
        </w:rPr>
        <w:t xml:space="preserve"> (</w:t>
      </w:r>
      <w:r>
        <w:rPr/>
        <w:t>2.2.2010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עוד טען המערער כי לא היה מקום להרשיעו בעבירת הריגה או בגרימת חבלה חמורה</w:t>
      </w:r>
      <w:r>
        <w:rPr>
          <w:rtl w:val="true"/>
        </w:rPr>
        <w:t xml:space="preserve">, </w:t>
      </w:r>
      <w:r>
        <w:rPr>
          <w:rtl w:val="true"/>
        </w:rPr>
        <w:t>שכן לכל היותר ניתן היה לראותו כבעל יסוד נפשי של רשלנות</w:t>
      </w:r>
      <w:r>
        <w:rPr>
          <w:rtl w:val="true"/>
        </w:rPr>
        <w:t xml:space="preserve">. </w:t>
      </w:r>
      <w:r>
        <w:rPr>
          <w:rtl w:val="true"/>
        </w:rPr>
        <w:t>אלא שגם טענה זו לא ניתן לקבל</w:t>
      </w:r>
      <w:r>
        <w:rPr>
          <w:rtl w:val="true"/>
        </w:rPr>
        <w:t xml:space="preserve">. </w:t>
      </w:r>
      <w:r>
        <w:rPr>
          <w:rtl w:val="true"/>
        </w:rPr>
        <w:t>הן באשר לעבירת הריגה והן באשר לעבירת גרימת חבלה חמורה</w:t>
      </w:r>
      <w:r>
        <w:rPr>
          <w:rtl w:val="true"/>
        </w:rPr>
        <w:t xml:space="preserve">, </w:t>
      </w:r>
      <w:r>
        <w:rPr>
          <w:rtl w:val="true"/>
        </w:rPr>
        <w:t xml:space="preserve">די בהוכחת יסודותיה העובדתיים של העבירה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ובפזיזות</w:t>
      </w:r>
      <w:r>
        <w:rPr>
          <w:rtl w:val="true"/>
        </w:rPr>
        <w:t xml:space="preserve"> כלפי התוצאה</w:t>
      </w:r>
      <w:r>
        <w:rPr>
          <w:rtl w:val="true"/>
        </w:rPr>
        <w:t xml:space="preserve">. </w:t>
      </w:r>
      <w:r>
        <w:rPr>
          <w:rtl w:val="true"/>
        </w:rPr>
        <w:t>זאת כאשר חזקה על מי שנוהג בשכרות שהוא מודע לנהיגתו כשהוא שיכור</w:t>
      </w:r>
      <w:r>
        <w:rPr>
          <w:rtl w:val="true"/>
        </w:rPr>
        <w:t xml:space="preserve">, </w:t>
      </w:r>
      <w:r>
        <w:rPr>
          <w:rtl w:val="true"/>
        </w:rPr>
        <w:t xml:space="preserve">לסכנה שהוא יוצר בדרך נהיגה זו ולאפשרות הממשית כי כתוצאה מהנהיגה תיגרם פגיעה קטלנית באדם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אלמליח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78-79</w:t>
      </w:r>
      <w:r>
        <w:rPr>
          <w:rtl w:val="true"/>
        </w:rPr>
        <w:t xml:space="preserve"> (</w:t>
      </w:r>
      <w:r>
        <w:rPr/>
        <w:t>22.12.2015</w:t>
      </w:r>
      <w:r>
        <w:rPr>
          <w:rtl w:val="true"/>
        </w:rPr>
        <w:t xml:space="preserve">)).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שהמערער נהג בהיותו שיכור</w:t>
      </w:r>
      <w:r>
        <w:rPr>
          <w:rtl w:val="true"/>
        </w:rPr>
        <w:t xml:space="preserve">, </w:t>
      </w:r>
      <w:r>
        <w:rPr>
          <w:rtl w:val="true"/>
        </w:rPr>
        <w:t>כשהוא נוסע במהירות מופרזת תוך שהוא סוטה בצורה חדה בין הנתיבים השונים</w:t>
      </w:r>
      <w:r>
        <w:rPr>
          <w:rtl w:val="true"/>
        </w:rPr>
        <w:t xml:space="preserve">. </w:t>
      </w:r>
      <w:r>
        <w:rPr>
          <w:rtl w:val="true"/>
        </w:rPr>
        <w:t>אופן התרחשות התאונה גם מלמד כי שכרותו של המערער השפיעה באופן מהותי על דרך הנהיגה אשר גרמה לפגיעה ברכב הפורשה אשר התלקח באש</w:t>
      </w:r>
      <w:r>
        <w:rPr>
          <w:rtl w:val="true"/>
        </w:rPr>
        <w:t xml:space="preserve">, </w:t>
      </w:r>
      <w:r>
        <w:rPr>
          <w:rtl w:val="true"/>
        </w:rPr>
        <w:t>והביאה למותו של המנוח ופציעתו באופן קשה של גיא</w:t>
      </w:r>
      <w:r>
        <w:rPr>
          <w:rtl w:val="true"/>
        </w:rPr>
        <w:t xml:space="preserve">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ובהינתן נהיגתו המסוכנת של המערער כשהוא בגילופין</w:t>
      </w:r>
      <w:r>
        <w:rPr>
          <w:rtl w:val="true"/>
        </w:rPr>
        <w:t xml:space="preserve">, </w:t>
      </w:r>
      <w:r>
        <w:rPr>
          <w:rtl w:val="true"/>
        </w:rPr>
        <w:t>ניתן לראות בו כמי שלקח על עצמו ביודעין סיכון של אפשרות ממשית שנהיגתו עלולה להסתיים בתוצאה טרגית</w:t>
      </w:r>
      <w:r>
        <w:rPr>
          <w:rtl w:val="true"/>
        </w:rPr>
        <w:t xml:space="preserve">, </w:t>
      </w:r>
      <w:r>
        <w:rPr>
          <w:rtl w:val="true"/>
        </w:rPr>
        <w:t xml:space="preserve">סיכון אשר התממש במלוא עוצמתו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5323/12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63</w:t>
      </w:r>
      <w:r>
        <w:rPr>
          <w:rtl w:val="true"/>
        </w:rPr>
        <w:t xml:space="preserve"> (</w:t>
      </w:r>
      <w:r>
        <w:rPr/>
        <w:t>17.6.2014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סיכומם של דברים</w:t>
      </w:r>
      <w:r>
        <w:rPr>
          <w:rtl w:val="true"/>
        </w:rPr>
        <w:t xml:space="preserve">: </w:t>
      </w:r>
      <w:r>
        <w:rPr>
          <w:rtl w:val="true"/>
        </w:rPr>
        <w:t>לא נמצאה כל עילה להתערבות בהכרעת דינו המפורטת והמנומקת של בית המשפט המחוזי ועל כן אציע לחבריי לדחות את ערעור המערער על הכרעת הדין ולהותיר את הרשעתו על כנה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שכנגד</w:t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כלל ידוע</w:t>
      </w:r>
      <w:r>
        <w:rPr>
          <w:rtl w:val="true"/>
        </w:rPr>
        <w:t xml:space="preserve">, </w:t>
      </w:r>
      <w:r>
        <w:rPr>
          <w:rtl w:val="true"/>
        </w:rPr>
        <w:t>כי אין זו מדרכה של ערכאת הערעור להתערב בעונשים אשר השיתה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שבהם נפלה טעות מהותית בולטת בגזר הדין או כאשר העונשים שנגזרו חורגים באופן קיצוני ממדיניות הענישה הנהוגה בנסיבות דומות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4.12.2014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21.5.2014</w:t>
      </w:r>
      <w:r>
        <w:rPr>
          <w:rtl w:val="true"/>
        </w:rPr>
        <w:t xml:space="preserve">)). </w:t>
      </w:r>
      <w:r>
        <w:rPr>
          <w:rtl w:val="true"/>
        </w:rPr>
        <w:t>לאחר בחינת כלל נסיבות העניין וטענות הצדדים לא מצאתי כי מקרה זה מצדיק התערבותה של ערכאת הערעור</w:t>
      </w:r>
      <w:r>
        <w:rPr>
          <w:rtl w:val="true"/>
        </w:rPr>
        <w:t xml:space="preserve">. </w:t>
      </w:r>
      <w:r>
        <w:rPr>
          <w:rtl w:val="true"/>
        </w:rPr>
        <w:t>לא נמצא כי נפלה טעות מהותית בגזר הדין או כי העונשים שהוטלו חורגים ממדיניות הענישה המקובלת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end="0"/>
        <w:jc w:val="both"/>
        <w:rPr/>
      </w:pPr>
      <w:r>
        <w:rPr>
          <w:rtl w:val="true"/>
        </w:rPr>
        <w:t>בגזר דינו התייחס בית המשפט המחוזי לשיקולי הענישה השונים בעבירות דומות</w:t>
      </w:r>
      <w:r>
        <w:rPr>
          <w:rtl w:val="true"/>
        </w:rPr>
        <w:t xml:space="preserve">. </w:t>
      </w:r>
      <w:r>
        <w:rPr>
          <w:rtl w:val="true"/>
        </w:rPr>
        <w:t>בית המשפט עמד על הנסיבות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לעניין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וכן על הנסיבות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וביניהן עוצמת הפגיעה במנוח</w:t>
      </w:r>
      <w:r>
        <w:rPr>
          <w:rtl w:val="true"/>
        </w:rPr>
        <w:t xml:space="preserve">, </w:t>
      </w:r>
      <w:r>
        <w:rPr>
          <w:rtl w:val="true"/>
        </w:rPr>
        <w:t>בבנו ובבני המשפחה שעולמם התהפך עליהם</w:t>
      </w:r>
      <w:r>
        <w:rPr>
          <w:rtl w:val="true"/>
        </w:rPr>
        <w:t xml:space="preserve">, </w:t>
      </w:r>
      <w:r>
        <w:rPr>
          <w:rtl w:val="true"/>
        </w:rPr>
        <w:t>העובדה שהמערער שיקר בחקירתו ולא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ובמגמת ההחמרה בענישה בעבירות מעין אלו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נתן בית המשפט המחוזי את דעתו גם לנסיבות האישיות של המערער</w:t>
      </w:r>
      <w:r>
        <w:rPr>
          <w:rtl w:val="true"/>
        </w:rPr>
        <w:t xml:space="preserve">. </w:t>
      </w:r>
      <w:r>
        <w:rPr>
          <w:rtl w:val="true"/>
        </w:rPr>
        <w:t>ובכלל זאת</w:t>
      </w:r>
      <w:r>
        <w:rPr>
          <w:rtl w:val="true"/>
        </w:rPr>
        <w:t xml:space="preserve">, </w:t>
      </w:r>
      <w:r>
        <w:rPr>
          <w:rtl w:val="true"/>
        </w:rPr>
        <w:t>לעובדה שהוא אב לילד שהוא חב במזונותיו ולהיעדר עבר פלילי מכביד בתחום התעבורתי</w:t>
      </w:r>
      <w:r>
        <w:rPr>
          <w:rtl w:val="true"/>
        </w:rPr>
        <w:t xml:space="preserve">. </w:t>
      </w:r>
      <w:r>
        <w:rPr>
          <w:rtl w:val="true"/>
        </w:rPr>
        <w:t>בהתחשב במכלול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ניתן לומר כי העונש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על כלל רכיביו</w:t>
      </w:r>
      <w:r>
        <w:rPr>
          <w:rtl w:val="true"/>
        </w:rPr>
        <w:t xml:space="preserve">, </w:t>
      </w:r>
      <w:r>
        <w:rPr>
          <w:rtl w:val="true"/>
        </w:rPr>
        <w:t>אינו בעל חומרה מיוחדת ואף רחוק מכך</w:t>
      </w:r>
      <w:r>
        <w:rPr>
          <w:rtl w:val="true"/>
        </w:rPr>
        <w:t xml:space="preserve">. </w:t>
      </w:r>
      <w:r>
        <w:rPr>
          <w:rtl w:val="true"/>
        </w:rPr>
        <w:t xml:space="preserve">הוא אינו חורג ממדיניות הענישה המקובלת בעבירות דומות באופן המצדיק התערבותנו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גרידיש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13.5.2015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8748/08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10.10.2011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7901/13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סלוטה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9.6.2015</w:t>
      </w:r>
      <w:r>
        <w:rPr>
          <w:rtl w:val="true"/>
        </w:rPr>
        <w:t xml:space="preserve">)).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בהתחשב במעשיו של המערער</w:t>
      </w:r>
      <w:r>
        <w:rPr>
          <w:rtl w:val="true"/>
        </w:rPr>
        <w:t xml:space="preserve">, </w:t>
      </w:r>
      <w:r>
        <w:rPr>
          <w:rtl w:val="true"/>
        </w:rPr>
        <w:t>אשר בשכרותו קיפח חייו של אדם וגרם לשינוי מסלול חייו של צעיר לבלי היכר</w:t>
      </w:r>
      <w:r>
        <w:rPr>
          <w:rtl w:val="true"/>
        </w:rPr>
        <w:t xml:space="preserve">, </w:t>
      </w:r>
      <w:r>
        <w:rPr>
          <w:rtl w:val="true"/>
        </w:rPr>
        <w:t>מבלי שנטל כל אחריות למעשים הקשים</w:t>
      </w:r>
      <w:r>
        <w:rPr>
          <w:rtl w:val="true"/>
        </w:rPr>
        <w:t xml:space="preserve">, </w:t>
      </w:r>
      <w:r>
        <w:rPr>
          <w:rtl w:val="true"/>
        </w:rPr>
        <w:t>נראה כי במידת מה נגזר דינו של המערער לקולא</w:t>
      </w:r>
      <w:r>
        <w:rPr>
          <w:rtl w:val="true"/>
        </w:rPr>
        <w:t xml:space="preserve">. </w:t>
      </w:r>
      <w:r>
        <w:rPr>
          <w:rtl w:val="true"/>
        </w:rPr>
        <w:t>כפסע היה אפוא מלהחמיר בעונשו ולקבל את ערעור המשיבה</w:t>
      </w:r>
      <w:r>
        <w:rPr>
          <w:rtl w:val="true"/>
        </w:rPr>
        <w:t xml:space="preserve">, </w:t>
      </w:r>
      <w:r>
        <w:rPr>
          <w:rtl w:val="true"/>
        </w:rPr>
        <w:t>אך בשל התחשבות בנוהג לפיו אין ערכאות הערעור נוטה למצות את הדין עם נאשם</w:t>
      </w:r>
      <w:r>
        <w:rPr>
          <w:rtl w:val="true"/>
        </w:rPr>
        <w:t xml:space="preserve">, </w:t>
      </w:r>
      <w:r>
        <w:rPr>
          <w:rtl w:val="true"/>
        </w:rPr>
        <w:t>אציע לחבריי להותיר את העונש על כנו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אמליץ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חלקיו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textAlignment w:val="auto"/>
        <w:rPr>
          <w:rFonts w:ascii="Arial TUR;Arial Unicode MS" w:hAnsi="Arial TUR;Arial Unicode MS" w:cs="Arial TUR;Arial Unicode MS"/>
        </w:rPr>
      </w:pPr>
      <w:r>
        <w:rPr>
          <w:rFonts w:cs="Arial TUR;Arial Unicode MS" w:ascii="Arial TUR;Arial Unicode MS" w:hAnsi="Arial TUR;Arial Unicode MS"/>
          <w:rtl w:val="true"/>
        </w:rPr>
      </w:r>
    </w:p>
    <w:p>
      <w:pPr>
        <w:pStyle w:val="Ruller41"/>
        <w:spacing w:lineRule="auto" w:line="480"/>
        <w:ind w:end="0"/>
        <w:jc w:val="end"/>
        <w:rPr/>
      </w:pPr>
      <w:r>
        <w:rPr>
          <w:rFonts w:eastAsia="Arial TUR;Arial Unicode MS" w:cs="Arial TUR;Arial Unicode MS"/>
          <w:rtl w:val="true"/>
        </w:rPr>
        <w:t xml:space="preserve">  </w:t>
      </w:r>
      <w:r>
        <w:rPr>
          <w:rtl w:val="true"/>
        </w:rPr>
        <w:tab/>
        <w:tab/>
        <w:tab/>
        <w:tab/>
        <w:tab/>
        <w:tab/>
        <w:tab/>
        <w:tab/>
        <w:t xml:space="preserve">      </w:t>
        <w:tab/>
        <w:t xml:space="preserve"> </w:t>
      </w:r>
      <w:r>
        <w:rPr>
          <w:rtl w:val="true"/>
        </w:rPr>
        <w:t>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    </w:t>
      </w:r>
      <w:r>
        <w:rPr>
          <w:rtl w:val="true"/>
        </w:rPr>
        <w:t>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 Unicode MS" w:cs="Arial TUR;Arial Unicode MS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(‏</w:t>
      </w:r>
      <w:r>
        <w:rPr/>
        <w:t>4.3.2018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16004560</w:t>
      </w:r>
      <w:r>
        <w:rPr>
          <w:sz w:val="16"/>
          <w:rtl w:val="true"/>
        </w:rPr>
        <w:t>_</w:t>
      </w:r>
      <w:r>
        <w:rPr>
          <w:sz w:val="16"/>
        </w:rPr>
        <w:t>N14.doc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2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54678313-456/16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567" w:top="1701" w:footer="397" w:bottom="1276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456/16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אלכסנדר צ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ורני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verflowPunct w:val="true"/>
      <w:spacing w:before="240" w:after="60"/>
      <w:ind w:hanging="0" w:start="0" w:end="0"/>
      <w:jc w:val="start"/>
      <w:textAlignment w:val="auto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1">
    <w:name w:val=" Char Char1"/>
    <w:qFormat/>
    <w:rPr>
      <w:rFonts w:ascii="Arial" w:hAnsi="Arial" w:cs="Arial"/>
      <w:b/>
      <w:bCs/>
      <w:kern w:val="2"/>
      <w:sz w:val="32"/>
      <w:szCs w:val="32"/>
    </w:rPr>
  </w:style>
  <w:style w:type="character" w:styleId="CharChar">
    <w:name w:val=" Char Char"/>
    <w:qFormat/>
    <w:rPr>
      <w:rFonts w:ascii="Tahoma" w:hAnsi="Tahoma" w:cs="Tahoma"/>
      <w:spacing w:val="10"/>
      <w:sz w:val="18"/>
      <w:szCs w:val="18"/>
    </w:rPr>
  </w:style>
  <w:style w:type="character" w:styleId="Ruller4">
    <w:name w:val="Ruller4 תו"/>
    <w:qFormat/>
    <w:rPr>
      <w:rFonts w:ascii="Arial TUR;Arial Unicode MS" w:hAnsi="Arial TUR;Arial Unicode MS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311">
    <w:name w:val="ruller 31"/>
    <w:basedOn w:val="Normal"/>
    <w:qFormat/>
    <w:pPr>
      <w:overflowPunct w:val="true"/>
      <w:ind w:hanging="0" w:start="0" w:end="0"/>
      <w:jc w:val="start"/>
      <w:textAlignment w:val="auto"/>
    </w:pPr>
    <w:rPr>
      <w:sz w:val="22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91887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case/7918874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case/5770497" TargetMode="External"/><Relationship Id="rId11" Type="http://schemas.openxmlformats.org/officeDocument/2006/relationships/hyperlink" Target="http://www.nevo.co.il/case/6245562" TargetMode="External"/><Relationship Id="rId12" Type="http://schemas.openxmlformats.org/officeDocument/2006/relationships/hyperlink" Target="http://www.nevo.co.il/case/20911380" TargetMode="External"/><Relationship Id="rId13" Type="http://schemas.openxmlformats.org/officeDocument/2006/relationships/hyperlink" Target="http://www.nevo.co.il/case/6249265" TargetMode="External"/><Relationship Id="rId14" Type="http://schemas.openxmlformats.org/officeDocument/2006/relationships/hyperlink" Target="http://www.nevo.co.il/case/5704191" TargetMode="External"/><Relationship Id="rId15" Type="http://schemas.openxmlformats.org/officeDocument/2006/relationships/hyperlink" Target="http://www.nevo.co.il/case/8429477" TargetMode="External"/><Relationship Id="rId16" Type="http://schemas.openxmlformats.org/officeDocument/2006/relationships/hyperlink" Target="http://www.nevo.co.il/case/5590091" TargetMode="External"/><Relationship Id="rId17" Type="http://schemas.openxmlformats.org/officeDocument/2006/relationships/hyperlink" Target="http://www.nevo.co.il/case/13022252" TargetMode="External"/><Relationship Id="rId18" Type="http://schemas.openxmlformats.org/officeDocument/2006/relationships/hyperlink" Target="http://www.nevo.co.il/case/13087561" TargetMode="External"/><Relationship Id="rId19" Type="http://schemas.openxmlformats.org/officeDocument/2006/relationships/hyperlink" Target="http://www.nevo.co.il/case/17016916" TargetMode="External"/><Relationship Id="rId20" Type="http://schemas.openxmlformats.org/officeDocument/2006/relationships/hyperlink" Target="http://www.nevo.co.il/case/5816303" TargetMode="External"/><Relationship Id="rId21" Type="http://schemas.openxmlformats.org/officeDocument/2006/relationships/hyperlink" Target="http://www.nevo.co.il/case/10486532" TargetMode="External"/><Relationship Id="rId22" Type="http://schemas.openxmlformats.org/officeDocument/2006/relationships/hyperlink" Target="http://www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2018-03-05T11:01:00Z</dcterms:created>
  <dc:creator> </dc:creator>
  <dc:description/>
  <cp:keywords/>
  <dc:language>en-IL</dc:language>
  <cp:lastModifiedBy>orly</cp:lastModifiedBy>
  <cp:lastPrinted>2018-03-04T10:59:00Z</cp:lastPrinted>
  <dcterms:modified xsi:type="dcterms:W3CDTF">2018-03-05T11:01:00Z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אלכסנדר צ'ורני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ישראל;חנן גולד ז#ל;גיא גולד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7918874:2;5770497;6245562;20911380;6249265;5704191;8429477;5590091;13022252;13087561;17016916;5816303;10486532</vt:lpwstr>
  </property>
  <property fmtid="{D5CDD505-2E9C-101B-9397-08002B2CF9AE}" pid="9" name="CITY">
    <vt:lpwstr/>
  </property>
  <property fmtid="{D5CDD505-2E9C-101B-9397-08002B2CF9AE}" pid="10" name="DATE">
    <vt:lpwstr>20180304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קרא;ד' מינץ;א' חיות</vt:lpwstr>
  </property>
  <property fmtid="{D5CDD505-2E9C-101B-9397-08002B2CF9AE}" pid="14" name="LAWLISTTMP1">
    <vt:lpwstr>70301/298;333</vt:lpwstr>
  </property>
  <property fmtid="{D5CDD505-2E9C-101B-9397-08002B2CF9AE}" pid="15" name="LAWYER">
    <vt:lpwstr>דוד גולן;דימה קריביצקי;אופיר טישלר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תעבורה</vt:lpwstr>
  </property>
  <property fmtid="{D5CDD505-2E9C-101B-9397-08002B2CF9AE}" pid="27" name="NOSE110">
    <vt:lpwstr/>
  </property>
  <property fmtid="{D5CDD505-2E9C-101B-9397-08002B2CF9AE}" pid="28" name="NOSE12">
    <vt:lpwstr>תעבורה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104;104;77;77;77</vt:lpwstr>
  </property>
  <property fmtid="{D5CDD505-2E9C-101B-9397-08002B2CF9AE}" pid="37" name="NOSE21">
    <vt:lpwstr>עבירות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עבירות</vt:lpwstr>
  </property>
  <property fmtid="{D5CDD505-2E9C-101B-9397-08002B2CF9AE}" pid="41" name="NOSE24">
    <vt:lpwstr>קשר סיבתי</vt:lpwstr>
  </property>
  <property fmtid="{D5CDD505-2E9C-101B-9397-08002B2CF9AE}" pid="42" name="NOSE25">
    <vt:lpwstr>מחשבה פלילית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1830;1830;1443;1448;1436</vt:lpwstr>
  </property>
  <property fmtid="{D5CDD505-2E9C-101B-9397-08002B2CF9AE}" pid="48" name="NOSE31">
    <vt:lpwstr>הריגה</vt:lpwstr>
  </property>
  <property fmtid="{D5CDD505-2E9C-101B-9397-08002B2CF9AE}" pid="49" name="NOSE310">
    <vt:lpwstr/>
  </property>
  <property fmtid="{D5CDD505-2E9C-101B-9397-08002B2CF9AE}" pid="50" name="NOSE32">
    <vt:lpwstr>נהיגה בשכרות</vt:lpwstr>
  </property>
  <property fmtid="{D5CDD505-2E9C-101B-9397-08002B2CF9AE}" pid="51" name="NOSE33">
    <vt:lpwstr>הריגה</vt:lpwstr>
  </property>
  <property fmtid="{D5CDD505-2E9C-101B-9397-08002B2CF9AE}" pid="52" name="NOSE34">
    <vt:lpwstr>הריגה</vt:lpwstr>
  </property>
  <property fmtid="{D5CDD505-2E9C-101B-9397-08002B2CF9AE}" pid="53" name="NOSE35">
    <vt:lpwstr>פזיזות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11234;11243;8816;9018;8723</vt:lpwstr>
  </property>
  <property fmtid="{D5CDD505-2E9C-101B-9397-08002B2CF9AE}" pid="59" name="PADIDATE">
    <vt:lpwstr>20180305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456;1443</vt:lpwstr>
  </property>
  <property fmtid="{D5CDD505-2E9C-101B-9397-08002B2CF9AE}" pid="65" name="PROCYEAR">
    <vt:lpwstr>16;16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410120180304</vt:lpwstr>
  </property>
  <property fmtid="{D5CDD505-2E9C-101B-9397-08002B2CF9AE}" pid="69" name="TYPE_N_DATE">
    <vt:lpwstr>41020180304</vt:lpwstr>
  </property>
  <property fmtid="{D5CDD505-2E9C-101B-9397-08002B2CF9AE}" pid="70" name="VOLUME">
    <vt:lpwstr/>
  </property>
  <property fmtid="{D5CDD505-2E9C-101B-9397-08002B2CF9AE}" pid="71" name="WORDNUMPAGES">
    <vt:lpwstr>18</vt:lpwstr>
  </property>
</Properties>
</file>