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4576/18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תומס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גרוס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ירושלים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בתיק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תהג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020569-12-17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14.05.2018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מרים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לומפ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08.01.2019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אייל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בסרגליק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לשם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מתן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עקיבא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ההסגרה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ההסגרה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סדרי דין וכללי ראיות בעתירות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בעניינו של המערער מתקיימות כלל הדרישות הפרוצדורליות והמהותיות המנויות בחוק ההסגרה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המעשה המיוחס לו – רצח אמו – עונה על דרישת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הפליליות הכפולה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הראיות לכאורה שהוצגו בבקשת ההסגרה עונות על דרישת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האחיזה לאישום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ושיקולי תקנת הציבור אינם מונעים את הסגרתו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יש להותיר את הכרזת המערער כבר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לארה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 על כנה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תנאי הסגרה – תשתית ראייתית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תנאי הסגרה – סייגים להסגרה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סייגים להסגרה – תקנת הציבור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הכרזה כבר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פליליות כפולה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הכרזה כבר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הראיות הנדרשות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החלטת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בגדרה הוכרז המערער כבר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לארצות הברית מכוח חוק ההסגרה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התשי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1954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החוק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בגין כתב אישום המייחס לו ביצוע עבירת רצח מדרגה ראשונה של אמו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הדיון נסב אודות טענת המערער להעדר קיומה של תשתית ראייתית לפי 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ואודות תחולת הסייג להסגרה מטעמים של תקנת הציבור לפי 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8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אלרון ובהסכמת השופטים סולברג וקרא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קובע שני תנאים מצטברים להכרזת אדם בר 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קיומו של הסכם הסגרה בין המדינות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בנסיבות העניין מתקיימת דרישת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הפליליות הכפולה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שעניינה 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זהות המעשה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ולא 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זהות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כלומר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לבחון האם ביצוע המעשה המיוחס למבוקש יהיה 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על פי הדין של שתי המדינות בה בעת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חולק על קיומו של הסכם הסגרה בין המדינות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וברי כי העבירה בה מואשם המערער מהווה עבירה ברת 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בקשת ההסגרה עומדת בתנאי 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 לחוק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לשאלה האם התשתית הראייתית שהונחה בפני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מאפשרת הכרזה על המערער כבר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 קובע כי הוכח כי המבוקש נתחייב בדין על עבירת הסגרה במדינה המבקשת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 כי יש ראיות שהיו מספיקות כדי להעמידו לדין על עבירה כזאת בישראל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וכי נתמלאו שאר התנאים הקבועים בחוק להסגרתו – יכריז בית המשפט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כי המבוקש הוא 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הלכה היא כי בבחינת התשתית הראייתית הנדרשת לצורך בקשת הסגרה די בקיומה של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אחיזה לאישום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דהיינו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ראיות לכאורה להוכחת האישומים המיוחסים למבוקש תוך בחינה האם התשתית הראייתית שהוצגה בבקשת ההסגרה מצדיקה את המשך בירור אשמתו של המבוקש בהליך פלילי במדינה המבקשת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מסקנת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כי לפיה בקשת ההסגרה עומדת ברף הראייתי הנדרש בדין יסודה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והמארג הראייתי הלכאורי שהוצג עומד בדרישת 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אחיזה לאישום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ממש בטענות המערער בדבר חסרים ראייתיים לנוכח מחדלי החקירה הנטענים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הליך ההסגרה אינו בגדר תחליף להליך הפלילי העיקרי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והמדינה המבקשת לא מחויבת לצרף לבקשת ההסגרה את מלוא החומר הראייתי המצוי ברשותה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הדרישה היא להצגת חומר המשקף באופן הוגן את התשתית הראייתית נגד המבוקש ובעניין זה לא היה בידי המערער להוכיח כי נעשו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מניפולציות אסורות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המעוותות את התשתית הראייתית שהונחה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לטענת המערער לפיה אין להכריז עליו כבר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הסגרה לנוכח תחולת הסייג בדבר תקנת הציבור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)(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8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לחוק קובע כי מבוקש לא יוסגר למדינה המבקשת אם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היענות לבקשת ההסגרה עלולה לפגוע בתקנת הציבור או באינטרס חיוני של מדינת ישראל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הסייג בדבר תקנת הציבור פורש בפסיקה כמתייחס למצב בו הסגרת אדם תביא לפגיעה קשה בתחושות הצדק וההגינות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בין היתר בזכותו של המבוקש להליך הוגן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כך שבראיה כוללת יהא זה בלתי צודק לעשות 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השימוש בסייג זה ייעשה במשורה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במצבים קיצוניים בהם הפגיעה בזכויות המבוקש כתוצאה מהסגרתו הנה בעלת עוצמה מיוחדת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שיש בה כדי להכריע את האינטרס הציבורי הגלום בהסגרתו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מבחינה ראייתית על הטוען לחשש מפני פגיעה בזכויותיו באופן העלול לפגוע בתקנת הציבור כתוצאה מהסגרתו להצביע על הערכה ממשית בסבירות גבוהה לכך שאם יוסגר אכן יפגעו זכויותיו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ולעניין זה אין די בהעלאת טענות כלליות בדבר קיומו של סיכון או הצבעה על ליקויים בהתנהלות רשויות החקירה במדינה המבקשת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בנסיבות העניין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היה בידי המערער להראות כי יש במחדלי החקירה הנטענים כדי להביא לפגיעה בזכותו להליך הוגן ולא מתקיים בעניינו של המערער סייג להסגרתו משום חשש לפגיעה בתקנת הציבור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כל האמור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להותיר את ההכרזה על המערער כבר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הסגרה על כנה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31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ערעור על החלטת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לומפ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תה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20569-12-17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14.5.2018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בגדרה הוכרז המערער כבר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הסגרה לארצות הברית מכוח </w:t>
      </w:r>
      <w:hyperlink r:id="rId1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ההסגרה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התשי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1954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ההסגרה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10.3.2015</w:t>
      </w:r>
      <w:r>
        <w:rPr>
          <w:rtl w:val="true"/>
        </w:rPr>
        <w:t xml:space="preserve"> </w:t>
      </w:r>
      <w:r>
        <w:rPr>
          <w:rtl w:val="true"/>
        </w:rPr>
        <w:t xml:space="preserve">הוגש נגד המערער כתב אישום על ידי חבר מושבעים גדול </w:t>
      </w:r>
      <w:r>
        <w:rPr>
          <w:rtl w:val="true"/>
        </w:rPr>
        <w:t>(</w:t>
      </w:r>
      <w:r>
        <w:rPr/>
        <w:t>Grand jury</w:t>
      </w:r>
      <w:r>
        <w:rPr>
          <w:rtl w:val="true"/>
        </w:rPr>
        <w:t xml:space="preserve">) </w:t>
      </w:r>
      <w:r>
        <w:rPr>
          <w:rtl w:val="true"/>
        </w:rPr>
        <w:t>במדינת פלורידה בארצות הברית</w:t>
      </w:r>
      <w:r>
        <w:rPr>
          <w:rtl w:val="true"/>
        </w:rPr>
        <w:t xml:space="preserve">, </w:t>
      </w:r>
      <w:r>
        <w:rPr>
          <w:rtl w:val="true"/>
        </w:rPr>
        <w:t xml:space="preserve">המייחס לו ביצוע עבירת רצח מדרגה ראשונה </w:t>
      </w:r>
      <w:r>
        <w:rPr>
          <w:rtl w:val="true"/>
        </w:rPr>
        <w:t>(</w:t>
      </w:r>
      <w:r>
        <w:rPr/>
        <w:t>Murder in the first degree</w:t>
      </w:r>
      <w:r>
        <w:rPr>
          <w:rtl w:val="true"/>
        </w:rPr>
        <w:t xml:space="preserve">) </w:t>
      </w:r>
      <w:r>
        <w:rPr>
          <w:rtl w:val="true"/>
        </w:rPr>
        <w:t>של רצח אמו</w:t>
      </w:r>
      <w:r>
        <w:rPr>
          <w:rtl w:val="true"/>
        </w:rPr>
        <w:t xml:space="preserve">. </w:t>
      </w:r>
      <w:r>
        <w:rPr>
          <w:rtl w:val="true"/>
        </w:rPr>
        <w:t xml:space="preserve">עוד באותו היום הוצא צו מעצר נגדו בבית המשפט במחוז מנטי </w:t>
      </w:r>
      <w:r>
        <w:rPr>
          <w:rtl w:val="true"/>
        </w:rPr>
        <w:t>(</w:t>
      </w:r>
      <w:r>
        <w:rPr/>
        <w:t>Manatee county</w:t>
      </w:r>
      <w:r>
        <w:rPr>
          <w:rtl w:val="true"/>
        </w:rPr>
        <w:t xml:space="preserve">) </w:t>
      </w:r>
      <w:r>
        <w:rPr>
          <w:rtl w:val="true"/>
        </w:rPr>
        <w:t>שבפלורידה בגין ביצוע העבירה האמורה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ממשלת ארצות הברית הגישה ביום </w:t>
      </w:r>
      <w:r>
        <w:rPr/>
        <w:t>2.2.2017</w:t>
      </w:r>
      <w:r>
        <w:rPr>
          <w:rtl w:val="true"/>
        </w:rPr>
        <w:t xml:space="preserve"> </w:t>
      </w:r>
      <w:r>
        <w:rPr>
          <w:rtl w:val="true"/>
        </w:rPr>
        <w:t>בקשה לרשויות בישראל להסגיר לידיה את המערער לצורך העמדתו לדין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20.11.2017</w:t>
      </w:r>
      <w:r>
        <w:rPr>
          <w:rtl w:val="true"/>
        </w:rPr>
        <w:t xml:space="preserve"> </w:t>
      </w:r>
      <w:r>
        <w:rPr>
          <w:rtl w:val="true"/>
        </w:rPr>
        <w:t xml:space="preserve">הורתה שרת המשפטים מכוח סמכותה 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 על הבאת המערער בפני בית המשפט המחוזי בירושלים על מנת שיקבע האם הוא בר</w:t>
      </w:r>
      <w:r>
        <w:rPr>
          <w:rtl w:val="true"/>
        </w:rPr>
        <w:t>-</w:t>
      </w:r>
      <w:r>
        <w:rPr>
          <w:rtl w:val="true"/>
        </w:rPr>
        <w:t>הסגרה לארצות הברית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מבקשת ההסגרה ומהחומר המצורף אליה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המתגורר בישראל ונושא אזרחות ישראלית ואמריקאית</w:t>
      </w:r>
      <w:r>
        <w:rPr>
          <w:rtl w:val="true"/>
        </w:rPr>
        <w:t xml:space="preserve">, </w:t>
      </w:r>
      <w:r>
        <w:rPr>
          <w:rtl w:val="true"/>
        </w:rPr>
        <w:t xml:space="preserve">נסע ביום </w:t>
      </w:r>
      <w:r>
        <w:rPr/>
        <w:t>5.1.2012</w:t>
      </w:r>
      <w:r>
        <w:rPr>
          <w:rtl w:val="true"/>
        </w:rPr>
        <w:t xml:space="preserve"> </w:t>
      </w:r>
      <w:r>
        <w:rPr>
          <w:rtl w:val="true"/>
        </w:rPr>
        <w:t xml:space="preserve">לבקר את אמו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אשר התגוררה במדינת פלורידה בארצות הברית</w:t>
      </w:r>
      <w:r>
        <w:rPr>
          <w:rtl w:val="true"/>
        </w:rPr>
        <w:t xml:space="preserve">. </w:t>
      </w:r>
      <w:r>
        <w:rPr>
          <w:rtl w:val="true"/>
        </w:rPr>
        <w:t>לכל המאוחר בלילה שלפני טיסתו המתוכננת ארצה</w:t>
      </w:r>
      <w:r>
        <w:rPr>
          <w:rtl w:val="true"/>
        </w:rPr>
        <w:t xml:space="preserve">, </w:t>
      </w:r>
      <w:r>
        <w:rPr>
          <w:rtl w:val="true"/>
        </w:rPr>
        <w:t>בין ה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לחודש ינואר בשנת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גמלה בליבו של המערער ההחלטה להמית את אמו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 מתואר בבקשה כי במהלך אותו הלילה</w:t>
      </w:r>
      <w:r>
        <w:rPr>
          <w:rtl w:val="true"/>
        </w:rPr>
        <w:t xml:space="preserve">, </w:t>
      </w:r>
      <w:r>
        <w:rPr>
          <w:rtl w:val="true"/>
        </w:rPr>
        <w:t>המערער סימם את המנוחה באמצעות סם הרדמה והביאה אל מכוניתה שבמוסך הבית</w:t>
      </w:r>
      <w:r>
        <w:rPr>
          <w:rtl w:val="true"/>
        </w:rPr>
        <w:t xml:space="preserve">, </w:t>
      </w:r>
      <w:r>
        <w:rPr>
          <w:rtl w:val="true"/>
        </w:rPr>
        <w:t>שם דקר אותה בצווארה באמצעות סכין שנטל ממטבח הבית ובכך גרם למותה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5:30</w:t>
      </w:r>
      <w:r>
        <w:rPr>
          <w:rtl w:val="true"/>
        </w:rPr>
        <w:t xml:space="preserve"> </w:t>
      </w:r>
      <w:r>
        <w:rPr>
          <w:rtl w:val="true"/>
        </w:rPr>
        <w:t>בבוקר או בסמוך לכך</w:t>
      </w:r>
      <w:r>
        <w:rPr>
          <w:rtl w:val="true"/>
        </w:rPr>
        <w:t xml:space="preserve">, </w:t>
      </w:r>
      <w:r>
        <w:rPr>
          <w:rtl w:val="true"/>
        </w:rPr>
        <w:t>הזעיק המערער לבית המנוחה את כוחות ההצלה</w:t>
      </w:r>
      <w:r>
        <w:rPr>
          <w:rtl w:val="true"/>
        </w:rPr>
        <w:t xml:space="preserve">, </w:t>
      </w:r>
      <w:r>
        <w:rPr>
          <w:rtl w:val="true"/>
        </w:rPr>
        <w:t>וטען בפניהם כי התעורר משנתו ומצא את גופת המנוחה במוסך הבית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בירושלים קיבל את הבקשה והכריז על המערער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 xml:space="preserve">תוך שקבע כי כל תנאי ההסגרה המנויים </w:t>
      </w:r>
      <w:hyperlink r:id="rId1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 התקיימו</w:t>
      </w:r>
      <w:r>
        <w:rPr>
          <w:rtl w:val="true"/>
        </w:rPr>
        <w:t xml:space="preserve">, </w:t>
      </w:r>
      <w:r>
        <w:rPr>
          <w:rtl w:val="true"/>
        </w:rPr>
        <w:t>וכי הראיות לכאורה שהובאו בפניו מקיימות את דרישת ה</w:t>
      </w:r>
      <w:r>
        <w:rPr>
          <w:rtl w:val="true"/>
        </w:rPr>
        <w:t>'</w:t>
      </w:r>
      <w:r>
        <w:rPr>
          <w:rtl w:val="true"/>
        </w:rPr>
        <w:t>אחיזה לאישום</w:t>
      </w:r>
      <w:r>
        <w:rPr>
          <w:rtl w:val="true"/>
        </w:rPr>
        <w:t xml:space="preserve">' </w:t>
      </w:r>
      <w:r>
        <w:rPr>
          <w:rtl w:val="true"/>
        </w:rPr>
        <w:t xml:space="preserve">בהתאם </w:t>
      </w:r>
      <w:hyperlink r:id="rId2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לחוק ההסגרה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זולפידם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cs="Garamond" w:ascii="Garamond" w:hAnsi="Garamond"/>
        </w:rPr>
        <w:t>Zolpidem</w:t>
      </w:r>
      <w:r>
        <w:rPr>
          <w:rtl w:val="true"/>
        </w:rPr>
        <w:t xml:space="preserve">), </w:t>
      </w:r>
      <w:r>
        <w:rPr>
          <w:rtl w:val="true"/>
        </w:rPr>
        <w:t>ששאריותיו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; </w:t>
      </w:r>
      <w:r>
        <w:rPr>
          <w:rtl w:val="true"/>
        </w:rPr>
        <w:t>מעדויות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להצהרתו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השעות</w:t>
      </w:r>
      <w:r>
        <w:rPr>
          <w:rFonts w:eastAsia="Arial TUR;Arial" w:cs="Arial TUR;Arial"/>
          <w:rtl w:val="true"/>
        </w:rPr>
        <w:t xml:space="preserve"> 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  <w:r>
        <w:rPr>
          <w:rtl w:val="true"/>
        </w:rPr>
        <w:t>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מההלוואות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5:30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השכנות</w:t>
      </w:r>
      <w:r>
        <w:rPr>
          <w:rtl w:val="true"/>
        </w:rPr>
        <w:t>: "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מתה</w:t>
      </w:r>
      <w:r>
        <w:rPr>
          <w:rtl w:val="true"/>
        </w:rPr>
        <w:t xml:space="preserve">,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".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,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קבע בית המשפט כי לא חל בעניינו של המערער הסייג לפיו היענות לבקשת ההסגרה עלולה לפגוע ב</w:t>
      </w:r>
      <w:r>
        <w:rPr>
          <w:rtl w:val="true"/>
        </w:rPr>
        <w:t>"</w:t>
      </w:r>
      <w:r>
        <w:rPr>
          <w:rtl w:val="true"/>
        </w:rPr>
        <w:t>תקנת הציבור</w:t>
      </w:r>
      <w:r>
        <w:rPr>
          <w:rtl w:val="true"/>
        </w:rPr>
        <w:t xml:space="preserve">", </w:t>
      </w:r>
      <w:r>
        <w:rPr>
          <w:rtl w:val="true"/>
        </w:rPr>
        <w:t xml:space="preserve">כאמור </w:t>
      </w:r>
      <w:hyperlink r:id="rId2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לבסוף נקבע כי טענותיו של המערער בדבר קיומם של </w:t>
      </w:r>
      <w:r>
        <w:rPr>
          <w:rtl w:val="true"/>
        </w:rPr>
        <w:t>"</w:t>
      </w:r>
      <w:r>
        <w:rPr>
          <w:rtl w:val="true"/>
        </w:rPr>
        <w:t>מחדלי חקירה</w:t>
      </w:r>
      <w:r>
        <w:rPr>
          <w:rtl w:val="true"/>
        </w:rPr>
        <w:t xml:space="preserve">" </w:t>
      </w:r>
      <w:r>
        <w:rPr>
          <w:rtl w:val="true"/>
        </w:rPr>
        <w:t xml:space="preserve">לרבות </w:t>
      </w:r>
      <w:r>
        <w:rPr>
          <w:rtl w:val="true"/>
        </w:rPr>
        <w:t>"</w:t>
      </w:r>
      <w:r>
        <w:rPr>
          <w:rtl w:val="true"/>
        </w:rPr>
        <w:t xml:space="preserve">בקשר הבלתי אמצעי בין אחות המשיב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לבין הרשויות החוקרות</w:t>
      </w:r>
      <w:r>
        <w:rPr>
          <w:rtl w:val="true"/>
        </w:rPr>
        <w:t xml:space="preserve">", </w:t>
      </w:r>
      <w:r>
        <w:rPr>
          <w:rtl w:val="true"/>
        </w:rPr>
        <w:t>אין בהן כדי להוכיח חשש לפגיעה בזכותו להליך הוגן במהלך ניהול המשפט</w:t>
      </w:r>
      <w:r>
        <w:rPr>
          <w:rtl w:val="true"/>
        </w:rPr>
        <w:t xml:space="preserve">. </w:t>
      </w:r>
      <w:r>
        <w:rPr>
          <w:rtl w:val="true"/>
        </w:rPr>
        <w:t>זאת מאחר ש</w:t>
      </w:r>
      <w:r>
        <w:rPr>
          <w:rtl w:val="true"/>
        </w:rPr>
        <w:t>"</w:t>
      </w:r>
      <w:r>
        <w:rPr>
          <w:rtl w:val="true"/>
        </w:rPr>
        <w:t>אלה אינן משמיטות את הבסיס להליך המשפטי</w:t>
      </w:r>
      <w:r>
        <w:rPr>
          <w:rtl w:val="true"/>
        </w:rPr>
        <w:t xml:space="preserve">, </w:t>
      </w:r>
      <w:r>
        <w:rPr>
          <w:rtl w:val="true"/>
        </w:rPr>
        <w:t>אלא יש לבחון אותן במסגרת ניהול התיק העיקרי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החלטה זו הוגש הערעור 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ממקד את טענותיו בשני מישורים</w:t>
      </w:r>
      <w:r>
        <w:rPr>
          <w:rtl w:val="true"/>
        </w:rPr>
        <w:t xml:space="preserve">: </w:t>
      </w:r>
      <w:r>
        <w:rPr>
          <w:rtl w:val="true"/>
        </w:rPr>
        <w:t xml:space="preserve">בהעדר קיומה של תשתית ראייתית בהתאם </w:t>
      </w:r>
      <w:hyperlink r:id="rId2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ותחולת הסייג להסגרה מטעמים של תקנת הציבור לפי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שגה בית משפט קמא בקביעתו כי הוא 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בחומר הראייתי שהוצג בפני בית המשפט</w:t>
      </w:r>
      <w:r>
        <w:rPr>
          <w:rtl w:val="true"/>
        </w:rPr>
        <w:t xml:space="preserve">, </w:t>
      </w:r>
      <w:r>
        <w:rPr>
          <w:rtl w:val="true"/>
        </w:rPr>
        <w:t>אשר ממילא כולל ראיות נסיבתיות בלבד</w:t>
      </w:r>
      <w:r>
        <w:rPr>
          <w:rtl w:val="true"/>
        </w:rPr>
        <w:t xml:space="preserve">, </w:t>
      </w:r>
      <w:r>
        <w:rPr>
          <w:rtl w:val="true"/>
        </w:rPr>
        <w:t>ישנם פגמים רבים שלא נשקלו כראוי בהחלטתו של בית משפט קמא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כן נטען כי החומר הראייתי לו טוענות רשויות התביעה בארצות הברית </w:t>
      </w:r>
      <w:r>
        <w:rPr>
          <w:rtl w:val="true"/>
        </w:rPr>
        <w:t>"</w:t>
      </w:r>
      <w:r>
        <w:rPr>
          <w:rtl w:val="true"/>
        </w:rPr>
        <w:t>זוהם</w:t>
      </w:r>
      <w:r>
        <w:rPr>
          <w:rtl w:val="true"/>
        </w:rPr>
        <w:t xml:space="preserve">", </w:t>
      </w:r>
      <w:r>
        <w:rPr>
          <w:rtl w:val="true"/>
        </w:rPr>
        <w:t>בין היתר לנוכח הקשר הבלתי אמצעי וההתכתבויות שניהלה אחות המערער</w:t>
      </w:r>
      <w:r>
        <w:rPr>
          <w:rtl w:val="true"/>
        </w:rPr>
        <w:t xml:space="preserve">, </w:t>
      </w:r>
      <w:r>
        <w:rPr>
          <w:rtl w:val="true"/>
        </w:rPr>
        <w:t>אלן גרת</w:t>
      </w:r>
      <w:r>
        <w:rPr>
          <w:rtl w:val="true"/>
        </w:rPr>
        <w:t xml:space="preserve">', </w:t>
      </w:r>
      <w:r>
        <w:rPr>
          <w:rtl w:val="true"/>
        </w:rPr>
        <w:t>עם חוקר המשטרה</w:t>
      </w:r>
      <w:r>
        <w:rPr>
          <w:rtl w:val="true"/>
        </w:rPr>
        <w:t xml:space="preserve">, </w:t>
      </w:r>
      <w:r>
        <w:rPr>
          <w:rtl w:val="true"/>
        </w:rPr>
        <w:t>סטפן איבס</w:t>
      </w:r>
      <w:r>
        <w:rPr>
          <w:rtl w:val="true"/>
        </w:rPr>
        <w:t xml:space="preserve">, </w:t>
      </w:r>
      <w:r>
        <w:rPr>
          <w:rtl w:val="true"/>
        </w:rPr>
        <w:t>וכן עם הפתולוג שהגיש תצהיר בתיק</w:t>
      </w:r>
      <w:r>
        <w:rPr>
          <w:rtl w:val="true"/>
        </w:rPr>
        <w:t xml:space="preserve">, </w:t>
      </w:r>
      <w:r>
        <w:rPr>
          <w:rtl w:val="true"/>
        </w:rPr>
        <w:t>ראסל וגה</w:t>
      </w:r>
      <w:r>
        <w:rPr>
          <w:rtl w:val="true"/>
        </w:rPr>
        <w:t>. "</w:t>
      </w:r>
      <w:r>
        <w:rPr>
          <w:rtl w:val="true"/>
        </w:rPr>
        <w:t>בזיהום ראייתי</w:t>
      </w:r>
      <w:r>
        <w:rPr>
          <w:rtl w:val="true"/>
        </w:rPr>
        <w:t xml:space="preserve">" </w:t>
      </w:r>
      <w:r>
        <w:rPr>
          <w:rtl w:val="true"/>
        </w:rPr>
        <w:t xml:space="preserve">זה יש לשיטתו כדי </w:t>
      </w:r>
      <w:r>
        <w:rPr>
          <w:rtl w:val="true"/>
        </w:rPr>
        <w:t>"</w:t>
      </w:r>
      <w:r>
        <w:rPr>
          <w:rtl w:val="true"/>
        </w:rPr>
        <w:t>לשמוט את הקרקע</w:t>
      </w:r>
      <w:r>
        <w:rPr>
          <w:rtl w:val="true"/>
        </w:rPr>
        <w:t xml:space="preserve">" </w:t>
      </w:r>
      <w:r>
        <w:rPr>
          <w:rtl w:val="true"/>
        </w:rPr>
        <w:t>כהגדרתו תחת ראיות המשיבה</w:t>
      </w:r>
      <w:r>
        <w:rPr>
          <w:rtl w:val="true"/>
        </w:rPr>
        <w:t xml:space="preserve">, </w:t>
      </w:r>
      <w:r>
        <w:rPr>
          <w:rtl w:val="true"/>
        </w:rPr>
        <w:t>באופן שלא מקיים את דרישת ה</w:t>
      </w:r>
      <w:r>
        <w:rPr>
          <w:rtl w:val="true"/>
        </w:rPr>
        <w:t>'</w:t>
      </w:r>
      <w:r>
        <w:rPr>
          <w:rtl w:val="true"/>
        </w:rPr>
        <w:t>אחיזה לאישום</w:t>
      </w:r>
      <w:r>
        <w:rPr>
          <w:rtl w:val="true"/>
        </w:rPr>
        <w:t>'.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מזוהמות</w:t>
      </w:r>
      <w:r>
        <w:rPr>
          <w:rtl w:val="true"/>
        </w:rPr>
        <w:t xml:space="preserve">"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קמפיין</w:t>
      </w:r>
      <w:r>
        <w:rPr>
          <w:rtl w:val="true"/>
        </w:rPr>
        <w:t xml:space="preserve">"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הפללתו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מושבעים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והועברו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האמריקאיות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האמריקאי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הפליליות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הכפולה</w:t>
      </w:r>
      <w:r>
        <w:rPr>
          <w:rtl w:val="true"/>
        </w:rPr>
        <w:t>'.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לחילופין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המרשמים</w:t>
      </w:r>
      <w:r>
        <w:rPr>
          <w:rtl w:val="true"/>
        </w:rPr>
        <w:t xml:space="preserve">, </w:t>
      </w:r>
      <w:r>
        <w:rPr>
          <w:rtl w:val="true"/>
        </w:rPr>
        <w:t>לחזקת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טוענת כי יש להותיר את הקביעה לפיה המערער בר</w:t>
      </w:r>
      <w:r>
        <w:rPr>
          <w:rtl w:val="true"/>
        </w:rPr>
        <w:t>-</w:t>
      </w:r>
      <w:r>
        <w:rPr>
          <w:rtl w:val="true"/>
        </w:rPr>
        <w:t>הסגרה על כנה</w:t>
      </w:r>
      <w:r>
        <w:rPr>
          <w:rtl w:val="true"/>
        </w:rPr>
        <w:t xml:space="preserve">. </w:t>
      </w:r>
      <w:r>
        <w:rPr>
          <w:rtl w:val="true"/>
        </w:rPr>
        <w:t>בהתייחס לטענות בדבר זיהום הראיות ומחדלי החקירה נטען כי הן חורגות ממסגרת הדיון הראויה לתיק הסגרה</w:t>
      </w:r>
      <w:r>
        <w:rPr>
          <w:rtl w:val="true"/>
        </w:rPr>
        <w:t xml:space="preserve">, </w:t>
      </w:r>
      <w:r>
        <w:rPr>
          <w:rtl w:val="true"/>
        </w:rPr>
        <w:t>ומקומן להתברר בתיק העיקרי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ההתכתבויות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ועיסוק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בהתכתבויות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מוצק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הכרזתו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זולפידם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אמריקאי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סדרי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וכללי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ראיות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בעתירות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והסתמכות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לתפיסתם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הפליליות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הכפולה</w:t>
      </w:r>
      <w:r>
        <w:rPr>
          <w:rtl w:val="true"/>
        </w:rPr>
        <w:t xml:space="preserve">'.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המתבקשת</w:t>
      </w:r>
      <w:r>
        <w:rPr>
          <w:rtl w:val="true"/>
        </w:rPr>
        <w:t xml:space="preserve">",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בערעור ובנספחיו ושמעתי את טיעוני הצדדים</w:t>
      </w:r>
      <w:r>
        <w:rPr>
          <w:rtl w:val="true"/>
        </w:rPr>
        <w:t xml:space="preserve">, </w:t>
      </w:r>
      <w:r>
        <w:rPr>
          <w:rtl w:val="true"/>
        </w:rPr>
        <w:t>אני סבור 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התנאים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להסגרה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קובע שני תנאים מצטברים להכרזתו של אדם בר הסגרה</w:t>
      </w:r>
      <w:r>
        <w:rPr>
          <w:rtl w:val="true"/>
        </w:rPr>
        <w:t xml:space="preserve">: </w:t>
      </w:r>
      <w:r>
        <w:rPr>
          <w:rtl w:val="true"/>
        </w:rPr>
        <w:t xml:space="preserve">האחד </w:t>
      </w:r>
      <w:r>
        <w:rPr>
          <w:rtl w:val="true"/>
        </w:rPr>
        <w:t>–</w:t>
      </w:r>
      <w:r>
        <w:rPr>
          <w:rtl w:val="true"/>
        </w:rPr>
        <w:t xml:space="preserve"> קיומו של הסכם הסגרה בין המדינות</w:t>
      </w:r>
      <w:r>
        <w:rPr>
          <w:rtl w:val="true"/>
        </w:rPr>
        <w:t xml:space="preserve">; </w:t>
      </w:r>
      <w:r>
        <w:rPr>
          <w:rtl w:val="true"/>
        </w:rPr>
        <w:t xml:space="preserve">השני </w:t>
      </w:r>
      <w:r>
        <w:rPr>
          <w:rtl w:val="true"/>
        </w:rPr>
        <w:t>–</w:t>
      </w:r>
      <w:r>
        <w:rPr>
          <w:rtl w:val="true"/>
        </w:rPr>
        <w:t xml:space="preserve"> כי בנסיבות העניין מתקיימת דרישת </w:t>
      </w:r>
      <w:r>
        <w:rPr>
          <w:rtl w:val="true"/>
        </w:rPr>
        <w:t>'</w:t>
      </w:r>
      <w:r>
        <w:rPr>
          <w:rtl w:val="true"/>
        </w:rPr>
        <w:t>הפליליות הכפולה</w:t>
      </w:r>
      <w:r>
        <w:rPr>
          <w:rtl w:val="true"/>
        </w:rPr>
        <w:t xml:space="preserve">'. </w:t>
      </w:r>
      <w:r>
        <w:rPr>
          <w:rtl w:val="true"/>
        </w:rPr>
        <w:t xml:space="preserve">זו האחרונה נלמדת מהאמור </w:t>
      </w:r>
      <w:hyperlink r:id="rId3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הקובע כי </w:t>
      </w:r>
      <w:r>
        <w:rPr>
          <w:rtl w:val="true"/>
        </w:rPr>
        <w:t>"</w:t>
      </w:r>
      <w:r>
        <w:rPr>
          <w:rtl w:val="true"/>
        </w:rPr>
        <w:t>האדם נאשם או נתחייב בדין במדינה המבקשת בשל עבירת הסגרה</w:t>
      </w:r>
      <w:r>
        <w:rPr>
          <w:rtl w:val="true"/>
        </w:rPr>
        <w:t xml:space="preserve">", </w:t>
      </w:r>
      <w:r>
        <w:rPr>
          <w:rtl w:val="true"/>
        </w:rPr>
        <w:t>בעוד ש</w:t>
      </w:r>
      <w:r>
        <w:rPr>
          <w:rtl w:val="true"/>
        </w:rPr>
        <w:t>'</w:t>
      </w:r>
      <w:r>
        <w:rPr>
          <w:rtl w:val="true"/>
        </w:rPr>
        <w:t>עבירת הסגרה</w:t>
      </w:r>
      <w:r>
        <w:rPr>
          <w:rtl w:val="true"/>
        </w:rPr>
        <w:t xml:space="preserve">' </w:t>
      </w:r>
      <w:r>
        <w:rPr>
          <w:rtl w:val="true"/>
        </w:rPr>
        <w:t>מוגדרת בחוק כ</w:t>
      </w:r>
      <w:r>
        <w:rPr>
          <w:rtl w:val="true"/>
        </w:rPr>
        <w:t>-"</w:t>
      </w:r>
      <w:r>
        <w:rPr>
          <w:rtl w:val="true"/>
        </w:rPr>
        <w:t>כל עבירה שאילו נעברה בישראל דינה מאסר שנה או עונש חמור מזה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שנקבע לא אחת בבית משפט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עניינה של דרישת הפליליות הכפולה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זהות המעשה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ולא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זהות העבירה</w:t>
      </w:r>
      <w:r>
        <w:rPr>
          <w:rFonts w:cs="Century" w:ascii="Century" w:hAnsi="Century"/>
          <w:rtl w:val="true"/>
        </w:rPr>
        <w:t>" (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2258/11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26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20.6.2012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וההפניות שם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בית משפט לבחון האם ביצוע המעשה המיוחס למבוקש יהיה 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עונשין על פי הדין של שתי המדינות בה בעת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כל חולק על קיומו של הסכם הסגרה בין המדינות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וברי כי העבירה בה מואשם המערער מהווה עבירה ברת הסגרה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בניגוד 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שאלת קבילותם של המרשמים נעדרת השפעה על דרישת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הפליליות הכפולה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בין אם יקבע כי המרשמים קבילים כראיה בין אם לאו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המשפט האמריקאי כמו גם המשפט הישראלי רואים את מעשיו של המערער כברי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עונשין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ודרישת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הפליליות הכפולה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כאמור עניינה בזהות המעשה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>ולא עולה במסגרתה כל דרישה לזהות בכללי קבילות הראיות בין מערכות המשפט השונות לצורך הכרזה על מבוקש כבר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הסגרה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משהוכח כי בקשת ההסגרה עומדת בתנאים המנויים 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נבחן כעת האם התשתית הראייתית שהונחה בפני בית המשפט קמא מאפשרת הכרזה על המערער כבר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הסגרה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הראייתית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 קובע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Style w:val="default"/>
          <w:sz w:val="26"/>
          <w:szCs w:val="26"/>
          <w:rtl w:val="true"/>
        </w:rPr>
        <w:t>"</w:t>
      </w:r>
      <w:r>
        <w:rPr>
          <w:rStyle w:val="default"/>
          <w:sz w:val="26"/>
          <w:sz w:val="26"/>
          <w:szCs w:val="26"/>
          <w:rtl w:val="true"/>
        </w:rPr>
        <w:t>הוכח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Cs w:val="26"/>
          <w:rtl w:val="true"/>
        </w:rPr>
        <w:t xml:space="preserve">[...] </w:t>
      </w:r>
      <w:r>
        <w:rPr>
          <w:rStyle w:val="default"/>
          <w:sz w:val="26"/>
          <w:sz w:val="26"/>
          <w:szCs w:val="26"/>
          <w:rtl w:val="true"/>
        </w:rPr>
        <w:t>כי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המבוקש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נתחייב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בדין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על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עבירת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הסגרה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במדינה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המבקשת</w:t>
      </w:r>
      <w:r>
        <w:rPr>
          <w:rStyle w:val="default"/>
          <w:sz w:val="26"/>
          <w:szCs w:val="26"/>
          <w:rtl w:val="true"/>
        </w:rPr>
        <w:t xml:space="preserve">, </w:t>
      </w:r>
      <w:r>
        <w:rPr>
          <w:rStyle w:val="default"/>
          <w:sz w:val="26"/>
          <w:sz w:val="26"/>
          <w:szCs w:val="26"/>
          <w:rtl w:val="true"/>
        </w:rPr>
        <w:t>או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כי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שהיו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מספיקות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להעמידו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לדין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כזאת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בישראל</w:t>
      </w:r>
      <w:r>
        <w:rPr>
          <w:rStyle w:val="default"/>
          <w:sz w:val="26"/>
          <w:szCs w:val="26"/>
          <w:rtl w:val="true"/>
        </w:rPr>
        <w:t xml:space="preserve">, </w:t>
      </w:r>
      <w:r>
        <w:rPr>
          <w:rStyle w:val="default"/>
          <w:sz w:val="26"/>
          <w:sz w:val="26"/>
          <w:szCs w:val="26"/>
          <w:rtl w:val="true"/>
        </w:rPr>
        <w:t>וכי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נתמלאו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שאר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התנאים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הקבועים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בחוק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להסגרתו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–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יכריז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בית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המשפט</w:t>
      </w:r>
      <w:r>
        <w:rPr>
          <w:rStyle w:val="default"/>
          <w:sz w:val="26"/>
          <w:szCs w:val="26"/>
          <w:rtl w:val="true"/>
        </w:rPr>
        <w:t xml:space="preserve">, </w:t>
      </w:r>
      <w:r>
        <w:rPr>
          <w:rStyle w:val="default"/>
          <w:sz w:val="26"/>
          <w:sz w:val="26"/>
          <w:szCs w:val="26"/>
          <w:rtl w:val="true"/>
        </w:rPr>
        <w:t>כי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המבוקש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הוא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בר</w:t>
      </w:r>
      <w:r>
        <w:rPr>
          <w:rStyle w:val="default"/>
          <w:sz w:val="26"/>
          <w:szCs w:val="26"/>
          <w:rtl w:val="true"/>
        </w:rPr>
        <w:t>-</w:t>
      </w:r>
      <w:r>
        <w:rPr>
          <w:rStyle w:val="default"/>
          <w:sz w:val="26"/>
          <w:sz w:val="26"/>
          <w:szCs w:val="26"/>
          <w:rtl w:val="true"/>
        </w:rPr>
        <w:t>הסגרה</w:t>
      </w:r>
      <w:r>
        <w:rPr>
          <w:rStyle w:val="default"/>
          <w:sz w:val="26"/>
          <w:szCs w:val="26"/>
          <w:rtl w:val="true"/>
        </w:rPr>
        <w:t>" [</w:t>
      </w:r>
      <w:r>
        <w:rPr>
          <w:rStyle w:val="default"/>
          <w:sz w:val="26"/>
          <w:sz w:val="26"/>
          <w:szCs w:val="26"/>
          <w:rtl w:val="true"/>
        </w:rPr>
        <w:t>ההדגשה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הוספה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–</w:t>
      </w:r>
      <w:r>
        <w:rPr>
          <w:rStyle w:val="default"/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Style w:val="default"/>
          <w:sz w:val="26"/>
          <w:szCs w:val="26"/>
          <w:rtl w:val="true"/>
        </w:rPr>
        <w:t>].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,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'.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>" 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8304/17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למפל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8.5.2018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למפל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דחה את טענות המערער לפיהן בקשת ההסגרה לא עומדת ברף הראייתי הנדרש תוך שבחן ביסודיות את החומר שהונח בפניו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סבור כי מסקנה זו בדין יסודה</w:t>
      </w:r>
      <w:r>
        <w:rPr>
          <w:rtl w:val="true"/>
        </w:rPr>
        <w:t xml:space="preserve">, </w:t>
      </w:r>
      <w:r>
        <w:rPr>
          <w:rtl w:val="true"/>
        </w:rPr>
        <w:t>והמארג הראייתי הלכאורי שהוצג לפנינו עומד בדרישת ה</w:t>
      </w:r>
      <w:r>
        <w:rPr>
          <w:rtl w:val="true"/>
        </w:rPr>
        <w:t>-'</w:t>
      </w:r>
      <w:r>
        <w:rPr>
          <w:rtl w:val="true"/>
        </w:rPr>
        <w:t>אחיזה לאישום</w:t>
      </w:r>
      <w:r>
        <w:rPr>
          <w:rtl w:val="true"/>
        </w:rPr>
        <w:t>'.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גופת המנוחה נמצאה ביום </w:t>
      </w:r>
      <w:r>
        <w:rPr/>
        <w:t>9.1.2012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5:40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במוסך הבית</w:t>
      </w:r>
      <w:r>
        <w:rPr>
          <w:rtl w:val="true"/>
        </w:rPr>
        <w:t xml:space="preserve">, </w:t>
      </w:r>
      <w:r>
        <w:rPr>
          <w:rtl w:val="true"/>
        </w:rPr>
        <w:t>בסמוך לרכבה של המנוחה</w:t>
      </w:r>
      <w:r>
        <w:rPr>
          <w:rtl w:val="true"/>
        </w:rPr>
        <w:t xml:space="preserve">. </w:t>
      </w:r>
      <w:r>
        <w:rPr>
          <w:rtl w:val="true"/>
        </w:rPr>
        <w:t>הצדדים אינם חלוקים כי המערער שהה בבית המנוחה בלילה שבין ה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לחודש ינואר באותה השנה</w:t>
      </w:r>
      <w:r>
        <w:rPr>
          <w:rtl w:val="true"/>
        </w:rPr>
        <w:t xml:space="preserve">. </w:t>
      </w:r>
      <w:r>
        <w:rPr>
          <w:rtl w:val="true"/>
        </w:rPr>
        <w:t>על פי הצהרת המערער בפני רשויות החקירה האמריקאיות כאמור בבקשת ההסגרה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>
          <w:rtl w:val="true"/>
        </w:rPr>
        <w:t>"</w:t>
      </w:r>
      <w:r>
        <w:rPr>
          <w:rtl w:val="true"/>
        </w:rPr>
        <w:t xml:space="preserve">הלך לישון בסביבות השעה </w:t>
      </w:r>
      <w:r>
        <w:rPr/>
        <w:t>22:45</w:t>
      </w:r>
      <w:r>
        <w:rPr>
          <w:rtl w:val="true"/>
        </w:rPr>
        <w:t xml:space="preserve">", </w:t>
      </w:r>
      <w:r>
        <w:rPr>
          <w:rtl w:val="true"/>
        </w:rPr>
        <w:t>והתעורר 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דקות לפני שהתקשר לכוחות ההצלה</w:t>
      </w:r>
      <w:r>
        <w:rPr>
          <w:rtl w:val="true"/>
        </w:rPr>
        <w:t xml:space="preserve">, </w:t>
      </w:r>
      <w:r>
        <w:rPr>
          <w:rtl w:val="true"/>
        </w:rPr>
        <w:t>לאחר שמצא את גופת המנוחה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הצהרות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פיננסיים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2:42</w:t>
      </w:r>
      <w:r>
        <w:rPr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שכנתה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השעות</w:t>
      </w:r>
      <w:r>
        <w:rPr>
          <w:rFonts w:eastAsia="Arial TUR;Arial" w:cs="Arial TUR;Arial"/>
          <w:rtl w:val="true"/>
        </w:rPr>
        <w:t xml:space="preserve"> 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להצהרתו</w:t>
      </w:r>
      <w:r>
        <w:rPr>
          <w:rtl w:val="true"/>
        </w:rPr>
        <w:t xml:space="preserve">;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שכנה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4:00</w:t>
      </w:r>
      <w:r>
        <w:rPr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/>
        <w:t>5:30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: "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מתה</w:t>
      </w:r>
      <w:r>
        <w:rPr>
          <w:rtl w:val="true"/>
        </w:rPr>
        <w:t xml:space="preserve">,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הטוקסיקולוג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זולפידם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ווגה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לטשטוש</w:t>
      </w:r>
      <w:r>
        <w:rPr>
          <w:rtl w:val="true"/>
        </w:rPr>
        <w:t xml:space="preserve">, </w:t>
      </w:r>
      <w:r>
        <w:rPr>
          <w:rtl w:val="true"/>
        </w:rPr>
        <w:t>בלבול</w:t>
      </w:r>
      <w:r>
        <w:rPr>
          <w:rtl w:val="true"/>
        </w:rPr>
        <w:t xml:space="preserve">, </w:t>
      </w:r>
      <w:r>
        <w:rPr>
          <w:rtl w:val="true"/>
        </w:rPr>
        <w:t>סחרחורות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ובחילות</w:t>
      </w:r>
      <w:r>
        <w:rPr>
          <w:rtl w:val="true"/>
        </w:rPr>
        <w:t xml:space="preserve">. </w:t>
      </w:r>
      <w:r>
        <w:rPr>
          <w:rtl w:val="true"/>
        </w:rPr>
        <w:t>מחיפוש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זולפידם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/>
        <w:t>18.5.2011</w:t>
      </w:r>
      <w:r>
        <w:rPr>
          <w:rtl w:val="true"/>
        </w:rPr>
        <w:t xml:space="preserve">; </w:t>
      </w:r>
      <w:r>
        <w:rPr/>
        <w:t>26.6.2011</w:t>
      </w:r>
      <w:r>
        <w:rPr>
          <w:rtl w:val="true"/>
        </w:rPr>
        <w:t xml:space="preserve">; </w:t>
      </w:r>
      <w:r>
        <w:rPr/>
        <w:t>21.12.2011</w:t>
      </w:r>
      <w:r>
        <w:rPr>
          <w:rtl w:val="true"/>
        </w:rPr>
        <w:t xml:space="preserve"> </w:t>
      </w:r>
      <w:r>
        <w:rPr>
          <w:rtl w:val="true"/>
        </w:rPr>
        <w:t>ומרשם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3.1.2012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בפלורידה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פיננסיים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ספונטניים</w:t>
      </w:r>
      <w:r>
        <w:rPr>
          <w:rtl w:val="true"/>
        </w:rPr>
        <w:t xml:space="preserve">, </w:t>
      </w:r>
      <w:r>
        <w:rPr>
          <w:rtl w:val="true"/>
        </w:rPr>
        <w:t>המעידים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יש</w:t>
      </w:r>
      <w:r>
        <w:rPr>
          <w:rtl w:val="true"/>
        </w:rPr>
        <w:t xml:space="preserve">' </w:t>
      </w:r>
      <w:r>
        <w:rPr>
          <w:rtl w:val="true"/>
        </w:rPr>
        <w:t>הראייתי</w:t>
      </w:r>
      <w:r>
        <w:rPr>
          <w:rtl w:val="true"/>
        </w:rPr>
        <w:t xml:space="preserve">, </w:t>
      </w:r>
      <w:r>
        <w:rPr>
          <w:rtl w:val="true"/>
        </w:rPr>
        <w:t>דוחה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והמשקל</w:t>
      </w:r>
      <w:r>
        <w:rPr>
          <w:rtl w:val="true"/>
        </w:rPr>
        <w:t>" 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חברי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25.4.2017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tl w:val="true"/>
        </w:rPr>
        <w:t xml:space="preserve">)),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לעומקן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', </w:t>
      </w:r>
      <w:r>
        <w:rPr>
          <w:rtl w:val="true"/>
        </w:rPr>
        <w:t>וטענותיו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מקומן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לאמנת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10.12.1962</w:t>
      </w:r>
      <w:r>
        <w:rPr>
          <w:rtl w:val="true"/>
        </w:rPr>
        <w:t xml:space="preserve"> "</w:t>
      </w:r>
      <w:r>
        <w:rPr>
          <w:rtl w:val="true"/>
        </w:rPr>
        <w:t>מסמכים</w:t>
      </w:r>
      <w:r>
        <w:rPr>
          <w:rtl w:val="true"/>
        </w:rPr>
        <w:t xml:space="preserve">, </w:t>
      </w:r>
      <w:r>
        <w:rPr>
          <w:rtl w:val="true"/>
        </w:rPr>
        <w:t>הצהרות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נחשבים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פרוטוקול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ארצות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הברית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המתקן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שנחתמה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בוושינגטון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-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בדצמבר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1962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56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אף לא מצאתי ממש בטענותיו של המערער בדבר חסרים ראייתיים לנוכח מחדלי החקירה הנטענים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הליך ההסגרה אינו בגדר תחליף להליך הפלילי העיקרי</w:t>
      </w:r>
      <w:r>
        <w:rPr>
          <w:rtl w:val="true"/>
        </w:rPr>
        <w:t xml:space="preserve">, </w:t>
      </w:r>
      <w:r>
        <w:rPr>
          <w:rtl w:val="true"/>
        </w:rPr>
        <w:t>והמדינה המבקשת לא מחויבת לצרף לבקשת ההסגרה את מלוא החומר הראייתי המצוי ברשותה</w:t>
      </w:r>
      <w:r>
        <w:rPr>
          <w:rtl w:val="true"/>
        </w:rPr>
        <w:t>. "</w:t>
      </w:r>
      <w:r>
        <w:rPr>
          <w:rtl w:val="true"/>
        </w:rPr>
        <w:t>הדרישה היא להצגת חומר המשקף באופן הוגן את התשתית הראייתית נגד המבוקש</w:t>
      </w:r>
      <w:r>
        <w:rPr>
          <w:rtl w:val="true"/>
        </w:rPr>
        <w:t>" 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2490/18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8.1.2019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, </w:t>
      </w:r>
      <w:r>
        <w:rPr>
          <w:rtl w:val="true"/>
        </w:rPr>
        <w:t xml:space="preserve">ובעניין זה לא היה בידי המערער להוכיח כי נעשו </w:t>
      </w:r>
      <w:r>
        <w:rPr>
          <w:rtl w:val="true"/>
        </w:rPr>
        <w:t>"</w:t>
      </w:r>
      <w:r>
        <w:rPr>
          <w:rtl w:val="true"/>
        </w:rPr>
        <w:t>מניפולציות אסורות</w:t>
      </w:r>
      <w:r>
        <w:rPr>
          <w:rtl w:val="true"/>
        </w:rPr>
        <w:t xml:space="preserve">" </w:t>
      </w:r>
      <w:r>
        <w:rPr>
          <w:rtl w:val="true"/>
        </w:rPr>
        <w:t xml:space="preserve">המעוותות את התשתית הראייתית שהונחה בפנינו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7840/01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אקווה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היועץ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המשפטי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לממשלה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נו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680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689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2002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שעמדתי על התשתית הראייתית שנפרשה בפנינו וקבעתי כי קיימת אחיזה לאישום במקרה דנן</w:t>
      </w:r>
      <w:r>
        <w:rPr>
          <w:rtl w:val="true"/>
        </w:rPr>
        <w:t xml:space="preserve">, </w:t>
      </w:r>
      <w:r>
        <w:rPr>
          <w:rtl w:val="true"/>
        </w:rPr>
        <w:t>נותרה לדיון טענת המערער לפיה אין להכריז עליו כבר</w:t>
      </w:r>
      <w:r>
        <w:rPr>
          <w:rtl w:val="true"/>
        </w:rPr>
        <w:t>-</w:t>
      </w:r>
      <w:r>
        <w:rPr>
          <w:rtl w:val="true"/>
        </w:rPr>
        <w:t>הסגרה לנוכח תחולת הסייג בדבר תקנת הציבור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 קובע כי מבוקש לא יוסגר למדינה המבקשת אם </w:t>
      </w:r>
      <w:r>
        <w:rPr>
          <w:rtl w:val="true"/>
        </w:rPr>
        <w:t>"</w:t>
      </w:r>
      <w:r>
        <w:rPr>
          <w:rtl w:val="true"/>
        </w:rPr>
        <w:t>היענות לבקשת ההסגרה עלולה לפגוע בתקנת הציבור או באינטרס חיוני של מדינת ישראל</w:t>
      </w:r>
      <w:r>
        <w:rPr>
          <w:rtl w:val="true"/>
        </w:rPr>
        <w:t xml:space="preserve">". </w:t>
      </w:r>
      <w:r>
        <w:rPr>
          <w:rtl w:val="true"/>
        </w:rPr>
        <w:t>הסייג בדבר תקנת הציבור פורש בפסיקתו של בית משפט זה כמתייחס למצב בו הסגרתו של אדם תביא לפגיעה קשה בתחושות הצדק וההגינות</w:t>
      </w:r>
      <w:r>
        <w:rPr>
          <w:rtl w:val="true"/>
        </w:rPr>
        <w:t xml:space="preserve">, </w:t>
      </w:r>
      <w:r>
        <w:rPr>
          <w:rtl w:val="true"/>
        </w:rPr>
        <w:t>בין היתר בזכותו של המבוקש להליך הוגן</w:t>
      </w:r>
      <w:r>
        <w:rPr>
          <w:rtl w:val="true"/>
        </w:rPr>
        <w:t xml:space="preserve">, </w:t>
      </w:r>
      <w:r>
        <w:rPr>
          <w:rtl w:val="true"/>
        </w:rPr>
        <w:t xml:space="preserve">כך שבראיה כוללת יהא זה בלתי צודק לעשות כן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מונדרוביץ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14.1.2010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בולטיאנסקי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19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השימוש בסייג זה ייעשה במשורה</w:t>
      </w:r>
      <w:r>
        <w:rPr>
          <w:rtl w:val="true"/>
        </w:rPr>
        <w:t xml:space="preserve">, </w:t>
      </w:r>
      <w:r>
        <w:rPr>
          <w:rtl w:val="true"/>
        </w:rPr>
        <w:t xml:space="preserve">וכפי שקבעתי בעניין </w:t>
      </w:r>
      <w:r>
        <w:rPr>
          <w:rFonts w:cs="Miriam"/>
          <w:b/>
          <w:b/>
          <w:spacing w:val="0"/>
          <w:szCs w:val="24"/>
          <w:rtl w:val="true"/>
        </w:rPr>
        <w:t>בלומברג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7835/17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בלומברג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היועץ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לממשלה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7.11.2018</w:t>
      </w:r>
      <w:r>
        <w:rPr>
          <w:rtl w:val="true"/>
        </w:rPr>
        <w:t>):</w:t>
      </w:r>
    </w:p>
    <w:p>
      <w:pPr>
        <w:pStyle w:val="Ruller4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spacing w:val="0"/>
          <w:szCs w:val="24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תצטמצם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בהסגרתו</w:t>
      </w:r>
      <w:r>
        <w:rPr>
          <w:rtl w:val="true"/>
        </w:rPr>
        <w:t>."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זכויותיו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לא היה בידי המערער להראות כי יש במחדלי החקירה הנטענים</w:t>
      </w:r>
      <w:r>
        <w:rPr>
          <w:rtl w:val="true"/>
        </w:rPr>
        <w:t xml:space="preserve">, </w:t>
      </w:r>
      <w:r>
        <w:rPr>
          <w:rtl w:val="true"/>
        </w:rPr>
        <w:t>לרבות הקשר הבלתי אמצעי בין אחותו לחוקר המשטרה</w:t>
      </w:r>
      <w:r>
        <w:rPr>
          <w:rtl w:val="true"/>
        </w:rPr>
        <w:t xml:space="preserve">, </w:t>
      </w:r>
      <w:r>
        <w:rPr>
          <w:rtl w:val="true"/>
        </w:rPr>
        <w:t>כדי להביא לפגיעה בזכותו להליך הוגן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שההתכתבויות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</w:t>
      </w:r>
      <w:r>
        <w:rPr>
          <w:rtl w:val="true"/>
        </w:rPr>
        <w:t xml:space="preserve">.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התכתבויות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האלקטרוני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האמריקאית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והשפעתם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למפל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4"/>
        </w:rPr>
      </w:pPr>
      <w:r>
        <w:rPr>
          <w:rFonts w:cs="Times New Roman;Times New Roman" w:ascii="Times New Roman;Times New Roman" w:hAnsi="Times New Roman;Times New Roman"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כבית משפט קמא</w:t>
      </w:r>
      <w:r>
        <w:rPr>
          <w:rtl w:val="true"/>
        </w:rPr>
        <w:t xml:space="preserve">, </w:t>
      </w:r>
      <w:r>
        <w:rPr>
          <w:rtl w:val="true"/>
        </w:rPr>
        <w:t>גם אני סבור כי לא מתקיים בעניינו של המערער סייג להסגרתו משום חשש לפגיעה בתקנת הציבור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4"/>
        </w:rPr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בעניינו של המערער מתקיימות כלל הדרישות הפרוצדורליות והמהותיות המנויות ב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: </w:t>
      </w:r>
      <w:r>
        <w:rPr>
          <w:rtl w:val="true"/>
        </w:rPr>
        <w:t xml:space="preserve">המעשה המיוחס לו עונה על דרישת </w:t>
      </w:r>
      <w:r>
        <w:rPr>
          <w:rtl w:val="true"/>
        </w:rPr>
        <w:t>'</w:t>
      </w:r>
      <w:r>
        <w:rPr>
          <w:rtl w:val="true"/>
        </w:rPr>
        <w:t>הפליליות הכפולה</w:t>
      </w:r>
      <w:r>
        <w:rPr>
          <w:rtl w:val="true"/>
        </w:rPr>
        <w:t xml:space="preserve">', </w:t>
      </w:r>
      <w:r>
        <w:rPr>
          <w:rtl w:val="true"/>
        </w:rPr>
        <w:t xml:space="preserve">הראיות לכאורה שהוצגו בבקשת ההסגרה עונות על דרישת </w:t>
      </w:r>
      <w:r>
        <w:rPr>
          <w:rtl w:val="true"/>
        </w:rPr>
        <w:t>'</w:t>
      </w:r>
      <w:r>
        <w:rPr>
          <w:rtl w:val="true"/>
        </w:rPr>
        <w:t>האחיזה לאישום</w:t>
      </w:r>
      <w:r>
        <w:rPr>
          <w:rtl w:val="true"/>
        </w:rPr>
        <w:t xml:space="preserve">', </w:t>
      </w:r>
      <w:r>
        <w:rPr>
          <w:rtl w:val="true"/>
        </w:rPr>
        <w:t>ושיקולי תקנת הציבור אינם מונעים את הסגרתו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4"/>
        </w:rPr>
      </w:pPr>
      <w:r>
        <w:rPr>
          <w:rFonts w:cs="Times New Roman;Times New Roman" w:ascii="Times New Roman;Times New Roman" w:hAnsi="Times New Roman;Times New Roman"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4"/>
        </w:rPr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ולהותיר את ההכרזה על המערער כבר</w:t>
      </w:r>
      <w:r>
        <w:rPr>
          <w:rtl w:val="true"/>
        </w:rPr>
        <w:t>-</w:t>
      </w:r>
      <w:r>
        <w:rPr>
          <w:rtl w:val="true"/>
        </w:rPr>
        <w:t>הסגרה על כנה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Times New Roman;Times New Roman" w:hAnsi="Times New Roman;Times New Roman" w:cs="Times New Roman;Times New Roman"/>
          <w:spacing w:val="0"/>
          <w:szCs w:val="24"/>
        </w:rPr>
      </w:pPr>
      <w:r>
        <w:rPr>
          <w:rFonts w:cs="Times New Roman;Times New Roman" w:ascii="Times New Roman;Times New Roman" w:hAnsi="Times New Roman;Times New Roman"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25.2.2019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</w:t>
      </w:r>
      <w:r>
        <w:rPr>
          <w:sz w:val="16"/>
        </w:rPr>
        <w:t>18045760</w:t>
      </w:r>
      <w:r>
        <w:rPr>
          <w:sz w:val="16"/>
          <w:rtl w:val="true"/>
        </w:rPr>
        <w:t>_</w:t>
      </w:r>
      <w:r>
        <w:rPr>
          <w:sz w:val="16"/>
        </w:rPr>
        <w:t>J08.docx</w:t>
      </w:r>
      <w:r>
        <w:rPr>
          <w:sz w:val="16"/>
          <w:rtl w:val="true"/>
        </w:rPr>
        <w:t xml:space="preserve"> </w:t>
      </w:r>
      <w:r>
        <w:rPr>
          <w:sz w:val="16"/>
          <w:sz w:val="16"/>
          <w:rtl w:val="true"/>
        </w:rPr>
        <w:t>עע</w:t>
      </w:r>
      <w:r>
        <w:rPr>
          <w:rtl w:val="true"/>
        </w:rPr>
        <w:t>+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4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54678313-4576/18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4576/18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תומס גרוס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388238" TargetMode="External"/><Relationship Id="rId3" Type="http://schemas.openxmlformats.org/officeDocument/2006/relationships/hyperlink" Target="http://www.nevo.co.il/law/71723" TargetMode="External"/><Relationship Id="rId4" Type="http://schemas.openxmlformats.org/officeDocument/2006/relationships/hyperlink" Target="http://www.nevo.co.il/law/71723/2a" TargetMode="External"/><Relationship Id="rId5" Type="http://schemas.openxmlformats.org/officeDocument/2006/relationships/hyperlink" Target="http://www.nevo.co.il/law/71723/2a.a" TargetMode="External"/><Relationship Id="rId6" Type="http://schemas.openxmlformats.org/officeDocument/2006/relationships/hyperlink" Target="http://www.nevo.co.il/law/71723/2a.a.1" TargetMode="External"/><Relationship Id="rId7" Type="http://schemas.openxmlformats.org/officeDocument/2006/relationships/hyperlink" Target="http://www.nevo.co.il/law/71723/2a.a.2" TargetMode="External"/><Relationship Id="rId8" Type="http://schemas.openxmlformats.org/officeDocument/2006/relationships/hyperlink" Target="http://www.nevo.co.il/law/71723/2b.8" TargetMode="External"/><Relationship Id="rId9" Type="http://schemas.openxmlformats.org/officeDocument/2006/relationships/hyperlink" Target="http://www.nevo.co.il/law/71723/2b.a.8" TargetMode="External"/><Relationship Id="rId10" Type="http://schemas.openxmlformats.org/officeDocument/2006/relationships/hyperlink" Target="http://www.nevo.co.il/law/71723/3" TargetMode="External"/><Relationship Id="rId11" Type="http://schemas.openxmlformats.org/officeDocument/2006/relationships/hyperlink" Target="http://www.nevo.co.il/law/71723/9" TargetMode="External"/><Relationship Id="rId12" Type="http://schemas.openxmlformats.org/officeDocument/2006/relationships/hyperlink" Target="http://www.nevo.co.il/law/71723/9.a" TargetMode="External"/><Relationship Id="rId13" Type="http://schemas.openxmlformats.org/officeDocument/2006/relationships/hyperlink" Target="http://www.nevo.co.il/law/71724" TargetMode="External"/><Relationship Id="rId14" Type="http://schemas.openxmlformats.org/officeDocument/2006/relationships/hyperlink" Target="http://www.nevo.co.il/law/71724/8" TargetMode="External"/><Relationship Id="rId15" Type="http://schemas.openxmlformats.org/officeDocument/2006/relationships/hyperlink" Target="http://www.nevo.co.il/case/23388238" TargetMode="External"/><Relationship Id="rId16" Type="http://schemas.openxmlformats.org/officeDocument/2006/relationships/hyperlink" Target="http://www.nevo.co.il/law/71723" TargetMode="External"/><Relationship Id="rId17" Type="http://schemas.openxmlformats.org/officeDocument/2006/relationships/hyperlink" Target="http://www.nevo.co.il/law/71723/3" TargetMode="External"/><Relationship Id="rId18" Type="http://schemas.openxmlformats.org/officeDocument/2006/relationships/hyperlink" Target="http://www.nevo.co.il/law/71723" TargetMode="External"/><Relationship Id="rId19" Type="http://schemas.openxmlformats.org/officeDocument/2006/relationships/hyperlink" Target="http://www.nevo.co.il/law/71723/2a.a.1" TargetMode="External"/><Relationship Id="rId20" Type="http://schemas.openxmlformats.org/officeDocument/2006/relationships/hyperlink" Target="http://www.nevo.co.il/law/71723/2a.a.2" TargetMode="External"/><Relationship Id="rId21" Type="http://schemas.openxmlformats.org/officeDocument/2006/relationships/hyperlink" Target="http://www.nevo.co.il/law/71723" TargetMode="External"/><Relationship Id="rId22" Type="http://schemas.openxmlformats.org/officeDocument/2006/relationships/hyperlink" Target="http://www.nevo.co.il/law/71723/9" TargetMode="External"/><Relationship Id="rId23" Type="http://schemas.openxmlformats.org/officeDocument/2006/relationships/hyperlink" Target="http://www.nevo.co.il/law/71723/9" TargetMode="External"/><Relationship Id="rId24" Type="http://schemas.openxmlformats.org/officeDocument/2006/relationships/hyperlink" Target="http://www.nevo.co.il/law/71723/2b.a.8" TargetMode="External"/><Relationship Id="rId25" Type="http://schemas.openxmlformats.org/officeDocument/2006/relationships/hyperlink" Target="http://www.nevo.co.il/law/71723" TargetMode="External"/><Relationship Id="rId26" Type="http://schemas.openxmlformats.org/officeDocument/2006/relationships/hyperlink" Target="http://www.nevo.co.il/law/71723/9.a" TargetMode="External"/><Relationship Id="rId27" Type="http://schemas.openxmlformats.org/officeDocument/2006/relationships/hyperlink" Target="http://www.nevo.co.il/law/71723" TargetMode="External"/><Relationship Id="rId28" Type="http://schemas.openxmlformats.org/officeDocument/2006/relationships/hyperlink" Target="http://www.nevo.co.il/law/71723/2b.8" TargetMode="External"/><Relationship Id="rId29" Type="http://schemas.openxmlformats.org/officeDocument/2006/relationships/hyperlink" Target="http://www.nevo.co.il/law/71724/8" TargetMode="External"/><Relationship Id="rId30" Type="http://schemas.openxmlformats.org/officeDocument/2006/relationships/hyperlink" Target="http://www.nevo.co.il/law/71724" TargetMode="External"/><Relationship Id="rId31" Type="http://schemas.openxmlformats.org/officeDocument/2006/relationships/hyperlink" Target="http://www.nevo.co.il/law/71723/2a.a" TargetMode="External"/><Relationship Id="rId32" Type="http://schemas.openxmlformats.org/officeDocument/2006/relationships/hyperlink" Target="http://www.nevo.co.il/law/71723" TargetMode="External"/><Relationship Id="rId33" Type="http://schemas.openxmlformats.org/officeDocument/2006/relationships/hyperlink" Target="http://www.nevo.co.il/law/71723/2a.a.2" TargetMode="External"/><Relationship Id="rId34" Type="http://schemas.openxmlformats.org/officeDocument/2006/relationships/hyperlink" Target="http://www.nevo.co.il/case/5821640" TargetMode="External"/><Relationship Id="rId35" Type="http://schemas.openxmlformats.org/officeDocument/2006/relationships/hyperlink" Target="http://www.nevo.co.il/law/71723/2a" TargetMode="External"/><Relationship Id="rId36" Type="http://schemas.openxmlformats.org/officeDocument/2006/relationships/hyperlink" Target="http://www.nevo.co.il/law/71723" TargetMode="External"/><Relationship Id="rId37" Type="http://schemas.openxmlformats.org/officeDocument/2006/relationships/hyperlink" Target="http://www.nevo.co.il/law/71723/9" TargetMode="External"/><Relationship Id="rId38" Type="http://schemas.openxmlformats.org/officeDocument/2006/relationships/hyperlink" Target="http://www.nevo.co.il/law/71723" TargetMode="External"/><Relationship Id="rId39" Type="http://schemas.openxmlformats.org/officeDocument/2006/relationships/hyperlink" Target="http://www.nevo.co.il/case/23353988" TargetMode="External"/><Relationship Id="rId40" Type="http://schemas.openxmlformats.org/officeDocument/2006/relationships/hyperlink" Target="http://www.nevo.co.il/case/21015139" TargetMode="External"/><Relationship Id="rId41" Type="http://schemas.openxmlformats.org/officeDocument/2006/relationships/hyperlink" Target="http://www.nevo.co.il/case/23826496" TargetMode="External"/><Relationship Id="rId42" Type="http://schemas.openxmlformats.org/officeDocument/2006/relationships/hyperlink" Target="http://www.nevo.co.il/case/6114201" TargetMode="External"/><Relationship Id="rId43" Type="http://schemas.openxmlformats.org/officeDocument/2006/relationships/hyperlink" Target="http://www.nevo.co.il/law/71723/2b.a.8" TargetMode="External"/><Relationship Id="rId44" Type="http://schemas.openxmlformats.org/officeDocument/2006/relationships/hyperlink" Target="http://www.nevo.co.il/law/71723" TargetMode="External"/><Relationship Id="rId45" Type="http://schemas.openxmlformats.org/officeDocument/2006/relationships/hyperlink" Target="http://www.nevo.co.il/case/5814012" TargetMode="External"/><Relationship Id="rId46" Type="http://schemas.openxmlformats.org/officeDocument/2006/relationships/hyperlink" Target="http://www.nevo.co.il/case/23143751" TargetMode="External"/><Relationship Id="rId47" Type="http://schemas.openxmlformats.org/officeDocument/2006/relationships/hyperlink" Target="http://www.nevo.co.il/law/71723" TargetMode="External"/><Relationship Id="rId48" Type="http://schemas.openxmlformats.org/officeDocument/2006/relationships/hyperlink" Target="http://supreme.court.gov.il/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2019-02-26T10:56:00Z</dcterms:created>
  <dc:creator>h3</dc:creator>
  <dc:description/>
  <cp:keywords/>
  <dc:language>en-IL</dc:language>
  <cp:lastModifiedBy>orly</cp:lastModifiedBy>
  <cp:lastPrinted>2019-02-25T13:04:00Z</cp:lastPrinted>
  <dcterms:modified xsi:type="dcterms:W3CDTF">2019-02-26T10:56:00Z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תומס גרוס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23388238:2;5821640;23353988;21015139;23826496;6114201;5814012;23143751</vt:lpwstr>
  </property>
  <property fmtid="{D5CDD505-2E9C-101B-9397-08002B2CF9AE}" pid="9" name="CITY">
    <vt:lpwstr/>
  </property>
  <property fmtid="{D5CDD505-2E9C-101B-9397-08002B2CF9AE}" pid="10" name="DATE">
    <vt:lpwstr>20190225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קרא;י' אלרון</vt:lpwstr>
  </property>
  <property fmtid="{D5CDD505-2E9C-101B-9397-08002B2CF9AE}" pid="14" name="LAWLISTTMP1">
    <vt:lpwstr>71723/003;002a.a.1;002a.a.2:2;009:3;002b.a.8:2;009.a;002b.8;002a.a;002a</vt:lpwstr>
  </property>
  <property fmtid="{D5CDD505-2E9C-101B-9397-08002B2CF9AE}" pid="15" name="LAWLISTTMP2">
    <vt:lpwstr>71724/008</vt:lpwstr>
  </property>
  <property fmtid="{D5CDD505-2E9C-101B-9397-08002B2CF9AE}" pid="16" name="LAWYER">
    <vt:lpwstr>מתן עקיבא;אייל בסרגליק;עמרי לשם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הסגרה</vt:lpwstr>
  </property>
  <property fmtid="{D5CDD505-2E9C-101B-9397-08002B2CF9AE}" pid="28" name="NOSE110">
    <vt:lpwstr/>
  </property>
  <property fmtid="{D5CDD505-2E9C-101B-9397-08002B2CF9AE}" pid="29" name="NOSE12">
    <vt:lpwstr>הסגרה</vt:lpwstr>
  </property>
  <property fmtid="{D5CDD505-2E9C-101B-9397-08002B2CF9AE}" pid="30" name="NOSE13">
    <vt:lpwstr>הסגרה</vt:lpwstr>
  </property>
  <property fmtid="{D5CDD505-2E9C-101B-9397-08002B2CF9AE}" pid="31" name="NOSE14">
    <vt:lpwstr>הסגרה</vt:lpwstr>
  </property>
  <property fmtid="{D5CDD505-2E9C-101B-9397-08002B2CF9AE}" pid="32" name="NOSE15">
    <vt:lpwstr>הסגרה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28;28;28;28;28</vt:lpwstr>
  </property>
  <property fmtid="{D5CDD505-2E9C-101B-9397-08002B2CF9AE}" pid="38" name="NOSE21">
    <vt:lpwstr>תנאי הסגרה</vt:lpwstr>
  </property>
  <property fmtid="{D5CDD505-2E9C-101B-9397-08002B2CF9AE}" pid="39" name="NOSE210">
    <vt:lpwstr/>
  </property>
  <property fmtid="{D5CDD505-2E9C-101B-9397-08002B2CF9AE}" pid="40" name="NOSE22">
    <vt:lpwstr>תנאי הסגרה</vt:lpwstr>
  </property>
  <property fmtid="{D5CDD505-2E9C-101B-9397-08002B2CF9AE}" pid="41" name="NOSE23">
    <vt:lpwstr>סייגים להסגרה</vt:lpwstr>
  </property>
  <property fmtid="{D5CDD505-2E9C-101B-9397-08002B2CF9AE}" pid="42" name="NOSE24">
    <vt:lpwstr>הכרזה כבר-הסגרה</vt:lpwstr>
  </property>
  <property fmtid="{D5CDD505-2E9C-101B-9397-08002B2CF9AE}" pid="43" name="NOSE25">
    <vt:lpwstr>הכרזה כבר-הסגרה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614;614;610;605;605</vt:lpwstr>
  </property>
  <property fmtid="{D5CDD505-2E9C-101B-9397-08002B2CF9AE}" pid="49" name="NOSE31">
    <vt:lpwstr>תשתית ראייתית</vt:lpwstr>
  </property>
  <property fmtid="{D5CDD505-2E9C-101B-9397-08002B2CF9AE}" pid="50" name="NOSE310">
    <vt:lpwstr/>
  </property>
  <property fmtid="{D5CDD505-2E9C-101B-9397-08002B2CF9AE}" pid="51" name="NOSE32">
    <vt:lpwstr>סייגים להסגרה</vt:lpwstr>
  </property>
  <property fmtid="{D5CDD505-2E9C-101B-9397-08002B2CF9AE}" pid="52" name="NOSE33">
    <vt:lpwstr>תקנת הציבור</vt:lpwstr>
  </property>
  <property fmtid="{D5CDD505-2E9C-101B-9397-08002B2CF9AE}" pid="53" name="NOSE34">
    <vt:lpwstr>פליליות כפולה</vt:lpwstr>
  </property>
  <property fmtid="{D5CDD505-2E9C-101B-9397-08002B2CF9AE}" pid="54" name="NOSE35">
    <vt:lpwstr>הראיות הנדרשות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4232;4231;4221;4206;4203</vt:lpwstr>
  </property>
  <property fmtid="{D5CDD505-2E9C-101B-9397-08002B2CF9AE}" pid="60" name="PADIDATE">
    <vt:lpwstr>20190226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4576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410120190225</vt:lpwstr>
  </property>
  <property fmtid="{D5CDD505-2E9C-101B-9397-08002B2CF9AE}" pid="70" name="TYPE_N_DATE">
    <vt:lpwstr>41020190225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