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4615/19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עבאסי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הועדה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המקומית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לתכנון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ובניה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בירושלים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בעפמ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8516-07-19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כדורי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עליאן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פרוינד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pacing w:val="0"/>
          <w:sz w:val="24"/>
          <w:szCs w:val="24"/>
        </w:rPr>
      </w:pPr>
      <w:r>
        <w:rPr>
          <w:rFonts w:cs="FrankRuehl;Tahoma" w:ascii="FrankRuehl;Tahoma" w:hAnsi="FrankRuehl;Tahoma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pacing w:val="0"/>
          <w:sz w:val="24"/>
          <w:szCs w:val="24"/>
        </w:rPr>
      </w:pPr>
      <w:r>
        <w:rPr>
          <w:rFonts w:cs="FrankRuehl;Tahoma" w:ascii="FrankRuehl;Tahoma" w:hAnsi="FrankRuehl;Tahoma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pacing w:val="0"/>
          <w:sz w:val="24"/>
          <w:szCs w:val="24"/>
        </w:rPr>
      </w:pPr>
      <w:r>
        <w:rPr>
          <w:rFonts w:ascii="FrankRuehl;Tahoma" w:hAnsi="FrankRuehl;Tahoma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ahoma" w:ascii="FrankRuehl;Tahoma" w:hAnsi="FrankRuehl;Tahoma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pacing w:val="0"/>
          <w:sz w:val="24"/>
          <w:szCs w:val="24"/>
        </w:rPr>
      </w:pPr>
      <w:hyperlink r:id="rId2">
        <w:r>
          <w:rPr>
            <w:rStyle w:val="Hyperlink"/>
            <w:rFonts w:ascii="FrankRuehl;Tahoma" w:hAnsi="FrankRuehl;Tahoma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;Tahoma" w:ascii="FrankRuehl;Tahoma" w:hAnsi="FrankRuehl;Tahoma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ahoma" w:hAnsi="FrankRuehl;Tahoma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;Tahoma" w:ascii="FrankRuehl;Tahoma" w:hAnsi="FrankRuehl;Tahoma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ahoma" w:hAnsi="FrankRuehl;Tahoma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;Tahoma" w:ascii="FrankRuehl;Tahoma" w:hAnsi="FrankRuehl;Tahoma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ahoma" w:ascii="FrankRuehl;Tahoma" w:hAnsi="FrankRuehl;Tahoma"/>
            <w:color w:val="0000FF"/>
            <w:spacing w:val="0"/>
            <w:sz w:val="24"/>
            <w:szCs w:val="24"/>
            <w:u w:val="single"/>
          </w:rPr>
          <w:t>1965</w:t>
        </w:r>
      </w:hyperlink>
      <w:r>
        <w:rPr>
          <w:rFonts w:cs="FrankRuehl;Tahoma" w:ascii="FrankRuehl;Tahoma" w:hAnsi="FrankRuehl;Tahoma"/>
          <w:spacing w:val="0"/>
          <w:sz w:val="24"/>
          <w:szCs w:val="24"/>
          <w:rtl w:val="true"/>
        </w:rPr>
        <w:t xml:space="preserve">: </w:t>
      </w:r>
      <w:r>
        <w:rPr>
          <w:rFonts w:ascii="FrankRuehl;Tahoma" w:hAnsi="FrankRuehl;Tahoma"/>
          <w:spacing w:val="0"/>
          <w:sz w:val="24"/>
          <w:sz w:val="24"/>
          <w:szCs w:val="24"/>
          <w:rtl w:val="true"/>
        </w:rPr>
        <w:t>סע</w:t>
      </w:r>
      <w:r>
        <w:rPr>
          <w:rFonts w:cs="FrankRuehl;Tahoma" w:ascii="FrankRuehl;Tahoma" w:hAnsi="FrankRuehl;Tahoma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;Tahoma" w:ascii="FrankRuehl;Tahoma" w:hAnsi="FrankRuehl;Tahoma"/>
            <w:color w:val="0000FF"/>
            <w:spacing w:val="0"/>
            <w:sz w:val="24"/>
            <w:szCs w:val="24"/>
            <w:u w:val="single"/>
          </w:rPr>
          <w:t>229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pacing w:val="0"/>
          <w:sz w:val="24"/>
          <w:szCs w:val="24"/>
        </w:rPr>
      </w:pPr>
      <w:r>
        <w:rPr>
          <w:rFonts w:cs="FrankRuehl;Tahoma" w:ascii="FrankRuehl;Tahoma" w:hAnsi="FrankRuehl;Tahoma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;Tahoma"/>
          <w:sz w:val="24"/>
          <w:sz w:val="24"/>
          <w:szCs w:val="26"/>
          <w:rtl w:val="true"/>
        </w:rPr>
        <w:t>מיני</w:t>
      </w:r>
      <w:r>
        <w:rPr>
          <w:rFonts w:cs="FrankRuehl;Tahoma"/>
          <w:sz w:val="24"/>
          <w:szCs w:val="26"/>
          <w:rtl w:val="true"/>
        </w:rPr>
        <w:t>-</w:t>
      </w:r>
      <w:r>
        <w:rPr>
          <w:rFonts w:cs="FrankRuehl;Tahoma"/>
          <w:sz w:val="24"/>
          <w:sz w:val="24"/>
          <w:szCs w:val="26"/>
          <w:rtl w:val="true"/>
        </w:rPr>
        <w:t>רציו</w:t>
      </w:r>
      <w:r>
        <w:rPr>
          <w:rFonts w:cs="FrankRuehl;Tahoma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מנהלי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המצומצמת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לגופו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עניין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היתר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שניתנו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בערכאות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להריסת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להמחיש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הגדשת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הסאה</w:t>
      </w:r>
      <w:r>
        <w:rPr>
          <w:rFonts w:cs="FrankRuehl;Tahoma"/>
          <w:sz w:val="24"/>
          <w:szCs w:val="26"/>
          <w:rtl w:val="true"/>
        </w:rPr>
        <w:t xml:space="preserve">", </w:t>
      </w:r>
      <w:r>
        <w:rPr>
          <w:rFonts w:cs="FrankRuehl;Tahoma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המבקש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מנצל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ציני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לערכאות</w:t>
      </w:r>
      <w:r>
        <w:rPr>
          <w:rFonts w:cs="FrankRuehl;Tahoma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ובנייה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עיכוב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ובנייה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מינהלי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מחוזי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בגדרה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הוחלט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מינהלי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חוקי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בשנת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</w:rPr>
        <w:t>2015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היתר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מקרקעין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המיועדים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ושטח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פתוח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בשכונת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סילוואן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בירושלים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ומשמש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כמבנה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מסחרי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  <w:rtl w:val="true"/>
        </w:rPr>
        <w:t>(</w:t>
      </w:r>
      <w:r>
        <w:rPr>
          <w:rFonts w:cs="FrankRuehl;Tahoma"/>
          <w:sz w:val="24"/>
          <w:sz w:val="24"/>
          <w:szCs w:val="26"/>
          <w:rtl w:val="true"/>
        </w:rPr>
        <w:t>להלן</w:t>
      </w:r>
      <w:r>
        <w:rPr>
          <w:rFonts w:cs="FrankRuehl;Tahoma"/>
          <w:sz w:val="24"/>
          <w:szCs w:val="26"/>
          <w:rtl w:val="true"/>
        </w:rPr>
        <w:t xml:space="preserve">: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</w:t>
      </w:r>
      <w:r>
        <w:rPr>
          <w:rFonts w:cs="FrankRuehl;Tahoma"/>
          <w:sz w:val="24"/>
          <w:szCs w:val="26"/>
          <w:rtl w:val="true"/>
        </w:rPr>
        <w:t>-</w:t>
      </w:r>
      <w:r>
        <w:rPr>
          <w:rFonts w:cs="FrankRuehl;Tahoma"/>
          <w:sz w:val="24"/>
          <w:sz w:val="24"/>
          <w:szCs w:val="26"/>
          <w:rtl w:val="true"/>
        </w:rPr>
        <w:t>המבנה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בהתאמה</w:t>
      </w:r>
      <w:r>
        <w:rPr>
          <w:rFonts w:cs="FrankRuehl;Tahoma"/>
          <w:sz w:val="24"/>
          <w:szCs w:val="26"/>
          <w:rtl w:val="true"/>
        </w:rPr>
        <w:t xml:space="preserve">). </w:t>
      </w:r>
      <w:r>
        <w:rPr>
          <w:rFonts w:cs="FrankRuehl;Tahoma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הוגשה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לעיכוב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</w:t>
      </w:r>
      <w:r>
        <w:rPr>
          <w:rFonts w:cs="FrankRuehl;Tahoma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  <w:rtl w:val="true"/>
        </w:rPr>
        <w:t>(</w:t>
      </w:r>
      <w:r>
        <w:rPr>
          <w:rFonts w:cs="FrankRuehl;Tahoma"/>
          <w:sz w:val="24"/>
          <w:sz w:val="24"/>
          <w:szCs w:val="26"/>
          <w:rtl w:val="true"/>
        </w:rPr>
        <w:t>השופטת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</w:t>
      </w:r>
      <w:r>
        <w:rPr>
          <w:rFonts w:cs="FrankRuehl;Tahoma"/>
          <w:sz w:val="24"/>
          <w:szCs w:val="26"/>
          <w:rtl w:val="true"/>
        </w:rPr>
        <w:t xml:space="preserve">' </w:t>
      </w:r>
      <w:r>
        <w:rPr>
          <w:rFonts w:cs="FrankRuehl;Tahoma"/>
          <w:sz w:val="24"/>
          <w:sz w:val="24"/>
          <w:szCs w:val="26"/>
          <w:rtl w:val="true"/>
        </w:rPr>
        <w:t>וילנר</w:t>
      </w:r>
      <w:r>
        <w:rPr>
          <w:rFonts w:cs="FrankRuehl;Tahoma"/>
          <w:sz w:val="24"/>
          <w:szCs w:val="26"/>
          <w:rtl w:val="true"/>
        </w:rPr>
        <w:t xml:space="preserve">) </w:t>
      </w:r>
      <w:r>
        <w:rPr>
          <w:rFonts w:cs="FrankRuehl;Tahoma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הבאים</w:t>
      </w:r>
      <w:r>
        <w:rPr>
          <w:rFonts w:cs="FrankRuehl;Tahoma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ראשית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מופנה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אחרת</w:t>
      </w:r>
      <w:r>
        <w:rPr>
          <w:rFonts w:cs="FrankRuehl;Tahoma"/>
          <w:sz w:val="24"/>
          <w:szCs w:val="26"/>
          <w:rtl w:val="true"/>
        </w:rPr>
        <w:t xml:space="preserve">"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המחוזי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בגדרה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הוחלט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בערעור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המצומצמת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והברורות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שניתנו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בערכאות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הנדון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כולן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הכלל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הריסתו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יומו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FrankRuehl;Tahoma"/>
          <w:sz w:val="24"/>
          <w:szCs w:val="26"/>
          <w:rtl w:val="true"/>
        </w:rPr>
        <w:t xml:space="preserve">", </w:t>
      </w:r>
      <w:r>
        <w:rPr>
          <w:rFonts w:cs="FrankRuehl;Tahoma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זכויותיו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יפגעו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ייבחן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FrankRuehl;Tahoma"/>
          <w:sz w:val="24"/>
          <w:szCs w:val="26"/>
          <w:rtl w:val="true"/>
        </w:rPr>
        <w:t>-</w:t>
      </w:r>
      <w:r>
        <w:rPr>
          <w:rFonts w:cs="FrankRuehl;Tahoma"/>
          <w:sz w:val="24"/>
          <w:sz w:val="24"/>
          <w:szCs w:val="26"/>
          <w:rtl w:val="true"/>
        </w:rPr>
        <w:t>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הביקורת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השיפוטית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מינהליים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תוגבל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מתגלים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פגמים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העלולים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בסופו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להצהרה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בטלותו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ההריסה</w:t>
      </w:r>
      <w:r>
        <w:rPr>
          <w:rFonts w:cs="FrankRuehl;Tahoma"/>
          <w:sz w:val="24"/>
          <w:szCs w:val="26"/>
          <w:rtl w:val="true"/>
        </w:rPr>
        <w:t>. "</w:t>
      </w:r>
      <w:r>
        <w:rPr>
          <w:rFonts w:cs="FrankRuehl;Tahoma"/>
          <w:sz w:val="24"/>
          <w:sz w:val="24"/>
          <w:szCs w:val="26"/>
          <w:rtl w:val="true"/>
        </w:rPr>
        <w:t>פגמים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חמורים</w:t>
      </w:r>
      <w:r>
        <w:rPr>
          <w:rFonts w:cs="FrankRuehl;Tahoma"/>
          <w:sz w:val="24"/>
          <w:szCs w:val="26"/>
          <w:rtl w:val="true"/>
        </w:rPr>
        <w:t xml:space="preserve">" </w:t>
      </w:r>
      <w:r>
        <w:rPr>
          <w:rFonts w:cs="FrankRuehl;Tahoma"/>
          <w:sz w:val="24"/>
          <w:sz w:val="24"/>
          <w:szCs w:val="26"/>
          <w:rtl w:val="true"/>
        </w:rPr>
        <w:t>שכאלו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מתקיימים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בעניינו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בבחינת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הצורך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לגופו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מארבע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בבתי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תכליתם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ביטול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ועיכוב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ההריסה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טענותיו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פעם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נדונה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ונדחתה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טענתו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והאפליה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הפסולה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נדונה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ונדחתה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טענתו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וההתקדמות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התכנונית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המבנה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שצוין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היתכנות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תכנונית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להותרת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והפיכתו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לחוקי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מיקומו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ושטח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פתוח</w:t>
      </w:r>
      <w:r>
        <w:rPr>
          <w:rFonts w:cs="FrankRuehl;Tahoma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שניתנו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בערכאות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להריסת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להמחיש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הגדשת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הסאה</w:t>
      </w:r>
      <w:r>
        <w:rPr>
          <w:rFonts w:cs="FrankRuehl;Tahoma"/>
          <w:sz w:val="24"/>
          <w:szCs w:val="26"/>
          <w:rtl w:val="true"/>
        </w:rPr>
        <w:t xml:space="preserve">", </w:t>
      </w:r>
      <w:r>
        <w:rPr>
          <w:rFonts w:cs="FrankRuehl;Tahoma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המבקש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מנצל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ציני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לערכאות</w:t>
      </w:r>
      <w:r>
        <w:rPr>
          <w:rFonts w:cs="FrankRuehl;Tahoma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האמור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המבחנים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הרלוונטיים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לעיכוב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ואיזן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ביניהם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כראוי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ahoma"/>
          <w:sz w:val="24"/>
          <w:sz w:val="24"/>
          <w:szCs w:val="26"/>
          <w:rtl w:val="true"/>
        </w:rPr>
        <w:t>סיכויי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הקלושים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בצירוף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בסופיות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הדיון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בכיבוד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הערכאות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השיפוטיות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גיבוי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ובמימוש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תכלית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המסדיר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להוצאת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מנהליים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מובילים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למסקנה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המחוזי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ולפיכך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FrankRuehl;Tahoma"/>
          <w:sz w:val="24"/>
          <w:szCs w:val="26"/>
          <w:rtl w:val="true"/>
        </w:rPr>
        <w:t>.</w:t>
      </w:r>
      <w:r>
        <w:rPr>
          <w:rFonts w:cs="FrankRuehl;Tahoma"/>
          <w:sz w:val="24"/>
          <w:szCs w:val="26"/>
          <w:rtl w:val="true"/>
        </w:rPr>
        <w:t xml:space="preserve">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pacing w:val="0"/>
          <w:sz w:val="24"/>
          <w:szCs w:val="24"/>
        </w:rPr>
      </w:pPr>
      <w:r>
        <w:rPr>
          <w:rFonts w:cs="FrankRuehl;Tahoma" w:ascii="FrankRuehl;Tahoma" w:hAnsi="FrankRuehl;Tahoma"/>
          <w:spacing w:val="0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</w:rPr>
        <w:t>1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כב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כדורי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בעפמ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</w:rPr>
        <w:t>8516-07-19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</w:rPr>
        <w:t>4.7.2019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ובגדרה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לעכב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מינהלי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שהוצא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חוקי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שהקים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</w:rPr>
        <w:t>2015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מקרקעין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המיועדים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ושטח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פתוח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בשכונת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סילוואן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מסחרי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המבנה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לעיכוב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</w:rPr>
        <w:t>2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בבוקר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מתנהלת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מינהליים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מינהלית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עיריית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מתבררת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נמנעת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מלקדם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בשכונת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סילוואן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להכשרת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שהקים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עיכוב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שהוצאו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למבנים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בשכונה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מעוכבים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לפעול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שוויוני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תושבי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השכונה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כולם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למבחנים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לעיכוב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נימוק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סיכויי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קלושים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יהפוך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לתיאורטי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מאזן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הנוחות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הכף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ערעורו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</w:rPr>
        <w:t>3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המקומית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ובניה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ירושלים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חוליה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בשרשרת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נוקט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תכליתם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הקץ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להריסת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חוקי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הפקת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רווחים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מפעילותו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המסחרית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החלטות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המבקש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מוסכמת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אופק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תכנוני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להכשרת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מקרקעין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המיועדים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ושטח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פתוח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אכיפת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b/>
          <w:spacing w:val="10"/>
          <w:sz w:val="22"/>
          <w:szCs w:val="28"/>
        </w:rPr>
      </w:pPr>
      <w:r>
        <w:rPr>
          <w:rFonts w:cs="FrankRuehl;Tahoma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</w:rPr>
        <w:t>4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ובנספחיו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ושמעתי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בבוקר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Arial TUR;Arial" w:hAnsi="Arial TUR;Arial"/>
          <w:spacing w:val="10"/>
          <w:sz w:val="22"/>
          <w:szCs w:val="28"/>
        </w:rPr>
        <w:t>5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בגדרה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לעכב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המצומצמת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להחלטות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ההחלטות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והברורות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בערכאות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כולן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הריסתו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זכויותיו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ייבחן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"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</w:rPr>
          <w:t>3249/05</w:t>
        </w:r>
      </w:hyperlink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הוועדה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תקוה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' (</w:t>
      </w:r>
      <w:r>
        <w:rPr>
          <w:rFonts w:cs="FrankRuehl;Tahoma" w:ascii="Century" w:hAnsi="Century"/>
          <w:spacing w:val="10"/>
          <w:sz w:val="22"/>
          <w:szCs w:val="28"/>
        </w:rPr>
        <w:t>17.4.2005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מקבלים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הביקורת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השיפוטית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מינהליים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תוגבל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מתגלים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פגמים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העלולים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להצהרה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בטלותו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"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</w:rPr>
          <w:t>229</w:t>
        </w:r>
      </w:hyperlink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</w:t>
      </w:r>
      <w:hyperlink r:id="rId6"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התכנון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והבניה</w:t>
        </w:r>
      </w:hyperlink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התשכ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ahoma" w:ascii="Arial TUR;Arial" w:hAnsi="Arial TUR;Arial"/>
          <w:spacing w:val="10"/>
          <w:sz w:val="22"/>
          <w:szCs w:val="28"/>
        </w:rPr>
        <w:t>1965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7"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</w:rPr>
          <w:t>8655/13</w:t>
        </w:r>
      </w:hyperlink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25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ahoma" w:ascii="Century" w:hAnsi="Century"/>
          <w:spacing w:val="10"/>
          <w:sz w:val="22"/>
          <w:szCs w:val="28"/>
        </w:rPr>
        <w:t>14.6.2015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שכאלו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6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לגופו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שיפורט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תכליתם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ועיכוב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ביצועו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נדחות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פעם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פירוט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וההחלטות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בערכאות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להריסת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ימחיש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הגדשת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הסאה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מנצל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ציני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הליכי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לערכאות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ahoma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8"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</w:rPr>
          <w:t>4998/07</w:t>
        </w:r>
      </w:hyperlink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עיריית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חיפה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7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ahoma" w:ascii="Century" w:hAnsi="Century"/>
          <w:spacing w:val="10"/>
          <w:sz w:val="22"/>
          <w:szCs w:val="28"/>
        </w:rPr>
        <w:t>8.6.2007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); </w:t>
      </w:r>
      <w:hyperlink r:id="rId9"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Arial TUR;Arial" w:hAnsi="Arial TUR;Arial"/>
            <w:color w:val="0000FF"/>
            <w:spacing w:val="10"/>
            <w:sz w:val="22"/>
            <w:szCs w:val="28"/>
            <w:u w:val="single"/>
          </w:rPr>
          <w:t>2164/14</w:t>
        </w:r>
      </w:hyperlink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שוויקי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הוועדה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ולבניה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ירושלים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ahoma" w:ascii="Century" w:hAnsi="Century"/>
          <w:spacing w:val="10"/>
          <w:sz w:val="22"/>
          <w:szCs w:val="28"/>
        </w:rPr>
        <w:t>23.3.2014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;Tahoma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אלו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בקיצור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האפשרי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7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15.4.2015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7.5.2015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לביטול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המינהלי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19.1.2016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מהנדס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המקומית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המפקח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מטעמה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המיועד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הושלמה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בנייתו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אוכלס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הוכחו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מטרתה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להרוויח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ונדחו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דיוניות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8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23.2.2016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ערעורו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הפעם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מטרתה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להרוויח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המינהלי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ומידתית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ננקטה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מאפליה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פוליטיים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23.1.2018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(</w:t>
      </w:r>
      <w:hyperlink r:id="rId10">
        <w:r>
          <w:rPr>
            <w:rStyle w:val="Hyperlink"/>
            <w:rFonts w:ascii="Century" w:hAnsi="Century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</w:rPr>
          <w:t>1639/16</w:t>
        </w:r>
      </w:hyperlink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לנשיאה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מלצר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גלגול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שלישי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מצומצם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השיפוטית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מינהליים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רשאית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ההחלטה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10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לתוקף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התקדמות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תכנונית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למבנה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תגובות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הדדיות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ארכות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18.3.2019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הריסה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תוואי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מתוכננת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התכנוניים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הרישוי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יימשכו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ויחלפו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להסדרת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18.3.2019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11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נמחק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27.6.2019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12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המוסכם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מקומיים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2.7.2019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18.3.2019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נימוק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הנוכחית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13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נואש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19.9.2019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בבד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4.7.2019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למחיקת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27.6.2019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המיועד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תוחלת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תכנונית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להסדרתו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14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הריסת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להמחיש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הקודמים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ונדחו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מנומק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זה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והאפליה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הפסולה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וההתקדמות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התכנונית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היתכנות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תכנונית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והפיכתו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לחוקי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פתוח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ואיזן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כראוי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קלושים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סופיות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דין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קלושים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ממוקם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פתוח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27.6.2019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המבקש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16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הקלושים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בסופיות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בכיבוד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השיפוטיות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גיבוי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לרשויות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ובמימוש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המסדיר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הריסה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מנהליים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מובילים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: </w:t>
      </w:r>
      <w:hyperlink r:id="rId11"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</w:rPr>
          <w:t>10505/03</w:t>
        </w:r>
      </w:hyperlink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אזולאי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8-7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ahoma" w:ascii="Century" w:hAnsi="Century"/>
          <w:spacing w:val="10"/>
          <w:sz w:val="22"/>
          <w:szCs w:val="28"/>
        </w:rPr>
        <w:t>17.12.2003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); </w:t>
      </w:r>
      <w:hyperlink r:id="rId12">
        <w:r>
          <w:rPr>
            <w:rStyle w:val="Hyperlink"/>
            <w:rFonts w:ascii="Century" w:hAnsi="Century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</w:rPr>
          <w:t>1278/05</w:t>
        </w:r>
      </w:hyperlink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הוועדה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ahoma" w:ascii="Century" w:hAnsi="Century"/>
          <w:spacing w:val="10"/>
          <w:sz w:val="22"/>
          <w:szCs w:val="28"/>
        </w:rPr>
        <w:t>9.2.2005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); </w:t>
      </w:r>
      <w:hyperlink r:id="rId13">
        <w:r>
          <w:rPr>
            <w:rStyle w:val="Hyperlink"/>
            <w:rFonts w:ascii="Century" w:hAnsi="Century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ahoma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ahoma" w:ascii="Century" w:hAnsi="Century"/>
            <w:color w:val="0000FF"/>
            <w:spacing w:val="10"/>
            <w:sz w:val="22"/>
            <w:szCs w:val="28"/>
            <w:u w:val="single"/>
          </w:rPr>
          <w:t>10843/08</w:t>
        </w:r>
      </w:hyperlink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ולבניה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שבע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ahoma" w:ascii="Century" w:hAnsi="Century"/>
          <w:spacing w:val="10"/>
          <w:sz w:val="22"/>
          <w:szCs w:val="28"/>
        </w:rPr>
        <w:t>13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ahoma" w:ascii="Century" w:hAnsi="Century"/>
          <w:spacing w:val="10"/>
          <w:sz w:val="22"/>
          <w:szCs w:val="28"/>
        </w:rPr>
        <w:t>30.12.2008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האזרח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</w:rPr>
        <w:t>17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מתייתר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ahoma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ahoma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ahoma"/>
          <w:spacing w:val="10"/>
          <w:sz w:val="22"/>
          <w:szCs w:val="28"/>
        </w:rPr>
      </w:pPr>
      <w:r>
        <w:rPr>
          <w:rFonts w:cs="FrankRuehl;Tahoma" w:ascii="Century" w:hAnsi="Century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Nitan"/>
      <w:bookmarkStart w:id="14" w:name="Writer_Name"/>
      <w:bookmarkEnd w:id="14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17.7.2019</w:t>
      </w:r>
      <w:r>
        <w:rPr>
          <w:rFonts w:cs="Century" w:ascii="Century" w:hAnsi="Century"/>
          <w:rtl w:val="true"/>
        </w:rPr>
        <w:t xml:space="preserve">). </w:t>
      </w:r>
      <w:bookmarkEnd w:id="13"/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19046150</w:t>
      </w:r>
      <w:r>
        <w:rPr>
          <w:sz w:val="16"/>
          <w:rtl w:val="true"/>
        </w:rPr>
        <w:t>_</w:t>
      </w:r>
      <w:r>
        <w:rPr>
          <w:sz w:val="16"/>
        </w:rPr>
        <w:t>R03.docx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וילנר </w:t>
      </w:r>
      <w:r>
        <w:rPr>
          <w:rFonts w:cs="David;Times New Roman" w:ascii="David;Times New Roman" w:hAnsi="David;Times New Roman"/>
          <w:color w:val="000000"/>
          <w:szCs w:val="22"/>
        </w:rPr>
        <w:t>54678313-4615/19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ahoma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ahoma" w:hAnsi="FrankRuehl;Tahoma" w:cs="FrankRuehl;Tahoma"/>
        <w:sz w:val="24"/>
      </w:rPr>
    </w:pPr>
    <w:r>
      <w:rPr>
        <w:rFonts w:cs="FrankRuehl;Tahoma" w:ascii="FrankRuehl;Tahoma" w:hAnsi="FrankRuehl;Tahoma"/>
        <w:sz w:val="24"/>
        <w:rtl w:val="true"/>
      </w:rPr>
      <w:fldChar w:fldCharType="begin"/>
    </w:r>
    <w:r>
      <w:rPr>
        <w:rtl w:val="true"/>
        <w:sz w:val="24"/>
        <w:rFonts w:cs="FrankRuehl;Tahoma" w:ascii="FrankRuehl;Tahoma" w:hAnsi="FrankRuehl;Tahoma"/>
      </w:rPr>
      <w:instrText xml:space="preserve"> PAGE </w:instrText>
    </w:r>
    <w:r>
      <w:rPr>
        <w:rtl w:val="true"/>
        <w:sz w:val="24"/>
        <w:rFonts w:cs="FrankRuehl;Tahoma" w:ascii="FrankRuehl;Tahoma" w:hAnsi="FrankRuehl;Tahoma"/>
      </w:rPr>
      <w:fldChar w:fldCharType="separate"/>
    </w:r>
    <w:r>
      <w:rPr>
        <w:rtl w:val="true"/>
        <w:sz w:val="24"/>
        <w:rFonts w:cs="FrankRuehl;Tahoma" w:ascii="FrankRuehl;Tahoma" w:hAnsi="FrankRuehl;Tahoma"/>
      </w:rPr>
      <w:t>10</w:t>
    </w:r>
    <w:r>
      <w:rPr>
        <w:rtl w:val="true"/>
        <w:sz w:val="24"/>
        <w:rFonts w:cs="FrankRuehl;Tahoma" w:ascii="FrankRuehl;Tahoma" w:hAnsi="FrankRuehl;Tahoma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ahoma" w:hAnsi="FrankRuehl;Tahoma" w:cs="FrankRuehl;Tahoma"/>
        <w:color w:val="000000"/>
        <w:sz w:val="24"/>
        <w:lang w:val="en-IL" w:eastAsia="en-IL"/>
      </w:rPr>
    </w:pPr>
    <w:r>
      <w:rPr>
        <w:rFonts w:cs="FrankRuehl;Tahoma" w:ascii="FrankRuehl;Tahoma" w:hAnsi="FrankRuehl;Tahoma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4615/19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מוחמד עבאסי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יו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"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ר הועדה המקומית לתכנון ובניה בירושלים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ahoma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ahoma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ahoma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ahoma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ahoma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229" TargetMode="External"/><Relationship Id="rId4" Type="http://schemas.openxmlformats.org/officeDocument/2006/relationships/hyperlink" Target="http://www.nevo.co.il/case/5885005" TargetMode="External"/><Relationship Id="rId5" Type="http://schemas.openxmlformats.org/officeDocument/2006/relationships/hyperlink" Target="http://www.nevo.co.il/law/91073/229" TargetMode="External"/><Relationship Id="rId6" Type="http://schemas.openxmlformats.org/officeDocument/2006/relationships/hyperlink" Target="http://www.nevo.co.il/law/91073" TargetMode="External"/><Relationship Id="rId7" Type="http://schemas.openxmlformats.org/officeDocument/2006/relationships/hyperlink" Target="http://www.nevo.co.il/case/10541042" TargetMode="External"/><Relationship Id="rId8" Type="http://schemas.openxmlformats.org/officeDocument/2006/relationships/hyperlink" Target="http://www.nevo.co.il/case/5988321" TargetMode="External"/><Relationship Id="rId9" Type="http://schemas.openxmlformats.org/officeDocument/2006/relationships/hyperlink" Target="http://www.nevo.co.il/case/13066414" TargetMode="External"/><Relationship Id="rId10" Type="http://schemas.openxmlformats.org/officeDocument/2006/relationships/hyperlink" Target="http://www.nevo.co.il/case/20995953" TargetMode="External"/><Relationship Id="rId11" Type="http://schemas.openxmlformats.org/officeDocument/2006/relationships/hyperlink" Target="http://www.nevo.co.il/case/6171040" TargetMode="External"/><Relationship Id="rId12" Type="http://schemas.openxmlformats.org/officeDocument/2006/relationships/hyperlink" Target="http://www.nevo.co.il/case/5758375" TargetMode="External"/><Relationship Id="rId13" Type="http://schemas.openxmlformats.org/officeDocument/2006/relationships/hyperlink" Target="http://www.nevo.co.il/case/6175549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2019-07-18T08:41:00Z</dcterms:created>
  <dc:creator>h4</dc:creator>
  <dc:description/>
  <cp:keywords/>
  <dc:language>en-IL</dc:language>
  <cp:lastModifiedBy>orly</cp:lastModifiedBy>
  <cp:lastPrinted>2019-07-17T12:32:00Z</cp:lastPrinted>
  <dcterms:modified xsi:type="dcterms:W3CDTF">2019-07-18T08:41:00Z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עבאסי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יו#ר הועדה המקומית לתכנון ובניה בירושלים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5885005;10541042;5988321;13066414;20995953;6171040;5758375;6175549</vt:lpwstr>
  </property>
  <property fmtid="{D5CDD505-2E9C-101B-9397-08002B2CF9AE}" pid="9" name="CITY">
    <vt:lpwstr/>
  </property>
  <property fmtid="{D5CDD505-2E9C-101B-9397-08002B2CF9AE}" pid="10" name="DATE">
    <vt:lpwstr>20190717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וילנר</vt:lpwstr>
  </property>
  <property fmtid="{D5CDD505-2E9C-101B-9397-08002B2CF9AE}" pid="14" name="LAWLISTTMP1">
    <vt:lpwstr>91073/229</vt:lpwstr>
  </property>
  <property fmtid="{D5CDD505-2E9C-101B-9397-08002B2CF9AE}" pid="15" name="LAWYER">
    <vt:lpwstr>דוד פרוינד;מוחמד עליאן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תכנון ובנייה</vt:lpwstr>
  </property>
  <property fmtid="{D5CDD505-2E9C-101B-9397-08002B2CF9AE}" pid="27" name="NOSE110">
    <vt:lpwstr/>
  </property>
  <property fmtid="{D5CDD505-2E9C-101B-9397-08002B2CF9AE}" pid="28" name="NOSE12">
    <vt:lpwstr>תכנון ובנייה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103;103</vt:lpwstr>
  </property>
  <property fmtid="{D5CDD505-2E9C-101B-9397-08002B2CF9AE}" pid="37" name="NOSE21">
    <vt:lpwstr>הריסה</vt:lpwstr>
  </property>
  <property fmtid="{D5CDD505-2E9C-101B-9397-08002B2CF9AE}" pid="38" name="NOSE210">
    <vt:lpwstr/>
  </property>
  <property fmtid="{D5CDD505-2E9C-101B-9397-08002B2CF9AE}" pid="39" name="NOSE22">
    <vt:lpwstr>הריסה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1811;1811</vt:lpwstr>
  </property>
  <property fmtid="{D5CDD505-2E9C-101B-9397-08002B2CF9AE}" pid="48" name="NOSE31">
    <vt:lpwstr>עיכוב ביצוע</vt:lpwstr>
  </property>
  <property fmtid="{D5CDD505-2E9C-101B-9397-08002B2CF9AE}" pid="49" name="NOSE310">
    <vt:lpwstr/>
  </property>
  <property fmtid="{D5CDD505-2E9C-101B-9397-08002B2CF9AE}" pid="50" name="NOSE32">
    <vt:lpwstr>צו הריסה מינהלי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12483;11119</vt:lpwstr>
  </property>
  <property fmtid="{D5CDD505-2E9C-101B-9397-08002B2CF9AE}" pid="59" name="PADIDATE">
    <vt:lpwstr>20190718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4615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410120190717</vt:lpwstr>
  </property>
  <property fmtid="{D5CDD505-2E9C-101B-9397-08002B2CF9AE}" pid="69" name="TYPE_N_DATE">
    <vt:lpwstr>41020190717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