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4618/23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4626/23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4618/23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4626/23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4618/23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4626/23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42774-08-22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2.5.2023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20.09.2023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4"/>
        <w:gridCol w:w="5147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4618/23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4626/23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רנקו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אקתרינה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4618/23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4626/23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שהם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6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זהו מקרה חריג המצדיק התערבות בעונש שנגזר על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4618/23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מעשים מגונים בשלוש 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בנות </w:t>
      </w:r>
      <w:r>
        <w:rPr>
          <w:rFonts w:cs="Times New Roman" w:ascii="Times New Roman" w:hAnsi="Times New Roman"/>
          <w:spacing w:val="0"/>
          <w:szCs w:val="26"/>
        </w:rPr>
        <w:t>8-7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שימש כאיש צוות בצהרון בית ספר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שיוחמר ויעמוד 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עמד על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הרבה של עבירות מין כלפי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הדגיש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ראה לנגד עיניו את החומרה היתירה הטמונה במקרים בהם מבצע העבירה מנצל את מעמדו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לנהוג במבצעיהם של מעשים אלה ביד נוקשה ובענישה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4618/23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ביצע מעשים מגונים בשלוש 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בנות </w:t>
      </w:r>
      <w:r>
        <w:rPr>
          <w:rFonts w:cs="Times New Roman" w:ascii="Times New Roman" w:hAnsi="Times New Roman"/>
          <w:spacing w:val="0"/>
          <w:szCs w:val="26"/>
        </w:rPr>
        <w:t>8-7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שימש כאיש צוות בצהרון בית ספר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ריבוי עבירות של מעשה מגונה בקטינה שטרם מלאו לה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שלא בהסכמתה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 עליו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של 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פיצוי לכל אחת מנפגעות העבירה בסך כולל של </w:t>
      </w:r>
      <w:r>
        <w:rPr>
          <w:rFonts w:cs="Times New Roman" w:ascii="Times New Roman" w:hAnsi="Times New Roman"/>
          <w:spacing w:val="0"/>
          <w:szCs w:val="26"/>
        </w:rPr>
        <w:t>45,000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וקנס בסך </w:t>
      </w:r>
      <w:r>
        <w:rPr>
          <w:rFonts w:cs="Times New Roman" w:ascii="Times New Roman" w:hAnsi="Times New Roman"/>
          <w:spacing w:val="0"/>
          <w:szCs w:val="26"/>
        </w:rPr>
        <w:t>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4618/23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 כלפי חומרת עונש המאסר בפועל וכלפי רכיב הקנס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המדינה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4626/23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מופנה כלפי קולת עונש המאסר בפועל וכלפי גובהם הנמוך של הפיצויים שנפסקו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שטיין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4626/23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ברובו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4618/23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אינה נוהגת להתערב בעונש שגזרה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שבהם ניכרת חריגה קיצונית ממדיניות הענישה הנוהגת במקרים דומים או כאשר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נמנה עם אותם מקרים חריגים המצדיקים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שהעונש שנגזר על המערער מקל עמו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שאינו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אודות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חומרתן הרבה של עבירות מין כלפי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חומרה זו נעוצה בניצול הבוטה של חולשת הקטינים ותמימותם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ובפגיעה הקשה בנפשם של הקטינים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שעלולה להותיר צלקות שלא תימחינה גם בחלוף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לנהוג במבצעיהם של מעשים אלה ביד נוקשה ובענישה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משמעותם של דברים אלה מתעצמת מקום בו מבצע העבירה מנצל את מעמדו ואת טיב יחסיו עם נפגע העבירה לשם ביצוע זממו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כפי שגם עולה מדברי המחוקק בסעיף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ניצל בגסות את מעמדו ואת האמון שנתנו בו הקטינים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כאיש צוות חינוכי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וכמי שהופקד לשמור עליהם ולספק להם סביבה בטוחה ומוגנת 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רק על מנת לספק את מאווייו וצרכיו המיניים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פגע אנושות בתחושת הביטחון של הקטינות וביכולתן לתת אמון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יעלה על הדעת כי מקום שאמור להיות סביבה מוגנת ובטוחה עבור קטינים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יהפוך בנקל לזירה בה מתחוללים מעשים הרומסים את ביטחונם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עניין זה לא מצא ביטוי מספק בגזר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היה לתת משקל נכבד יותר לנזק שנגרם בפועל ובכוח לנפגעות העבירה ולכך שמדובר במעשים שבוצעו בשלוש קטינות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ראה בכך שמעשיו של המערער בוצעו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מעל הבגדים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כנסיבה שיש לשקול לטובתו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ניסה להכניס את ידו מתחת למכנסי אחת הקטינות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נכשל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משקלה המקל של נסיבה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פוחת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ascii="Times New Roman" w:hAnsi="Times New Roman" w:cs="Times New Roman"/>
          <w:spacing w:val="0"/>
          <w:szCs w:val="26"/>
          <w:rtl w:val="true"/>
        </w:rPr>
        <w:t>ונש המאסר בפועל שנגזר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רחוק מאוד מעונש המקסימום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בן עשר שנים שקבוע בצד עבירת המעשים המגונים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בדבר העדר עבר פלילי ונטילת אחריות שנשקלו לטובת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שומה על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לאזן כראוי בין שיקולים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שיקולים דוגמת הלימה והרתעה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בנסיבות אלה כדי להוליך למסקנה אליה הגיע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אין להתערב בשיקול דעתה של הערכאה הדיונית בקביעת שיעור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הפיצויים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במקרים יוצאי דופן בהם ניכרת חריגה קיצונית משיעור הפיצוי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אמת מידה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שיעור הפיצויים שפסק בי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קמא אינו מצדיק התערבות במסקנתו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הינתן הכלל שלפיו ערכאת הערעור אינה ממצה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נדחה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למעט ביחס לרכיב הקנס שיתבטל נוכח הסכמת המשיבה משלא נתבקש על ידה בערכאה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המשיבה 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>תקבל ביחס לרכיב עונש המאסר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שיעמוד 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</w:t>
      </w:r>
      <w:r>
        <w:rPr>
          <w:rtl w:val="true"/>
        </w:rPr>
        <w:t xml:space="preserve"> </w:t>
      </w:r>
      <w:r>
        <w:rPr>
          <w:rtl w:val="true"/>
        </w:rPr>
        <w:t xml:space="preserve">שני </w:t>
      </w:r>
      <w:r>
        <w:rPr>
          <w:rtl w:val="true"/>
        </w:rPr>
        <w:t>ערעור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בתל 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42774-08-22</w:t>
      </w:r>
      <w:r>
        <w:rPr>
          <w:rtl w:val="true"/>
        </w:rPr>
        <w:t xml:space="preserve"> (</w:t>
      </w:r>
      <w:r>
        <w:rPr>
          <w:rtl w:val="true"/>
        </w:rPr>
        <w:t>סגן</w:t>
      </w:r>
      <w:r>
        <w:rPr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שגיא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</w:t>
      </w:r>
      <w:r>
        <w:rPr/>
        <w:t>.</w:t>
      </w:r>
      <w:r>
        <w:rPr/>
        <w:t>5</w:t>
      </w:r>
      <w:r>
        <w:rPr/>
        <w:t>.20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נגזר 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4618/23</w:t>
      </w:r>
      <w:r>
        <w:rPr>
          <w:rtl w:val="true"/>
        </w:rPr>
        <w:t xml:space="preserve"> </w:t>
      </w:r>
      <w:r>
        <w:rPr>
          <w:rtl w:val="true"/>
        </w:rPr>
        <w:t>והמשיב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4626/23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לבל יעבור עבירת מין</w:t>
      </w:r>
      <w:r>
        <w:rPr>
          <w:rtl w:val="true"/>
        </w:rPr>
        <w:t xml:space="preserve">, </w:t>
      </w:r>
      <w:r>
        <w:rPr>
          <w:rtl w:val="true"/>
        </w:rPr>
        <w:t>למש</w:t>
      </w:r>
      <w:r>
        <w:rPr>
          <w:rtl w:val="true"/>
        </w:rPr>
        <w:t xml:space="preserve">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תשלום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לכל אחת מנפגעות העבירה</w:t>
      </w:r>
      <w:r>
        <w:rPr>
          <w:rtl w:val="true"/>
        </w:rPr>
        <w:t xml:space="preserve"> </w:t>
      </w:r>
      <w:r>
        <w:rPr>
          <w:rtl w:val="true"/>
        </w:rPr>
        <w:t>בסך</w:t>
      </w:r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וקנס בסך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;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ascii="Century" w:hAnsi="Century" w:cs="Century"/>
          <w:sz w:val="22"/>
          <w:sz w:val="22"/>
          <w:rtl w:val="true"/>
        </w:rPr>
        <w:t>ביצע מעשים מגונים בשלוש קטינות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בנות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לערך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עת שימש כאיש צוות בצהרון בית ספר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9.6.2022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בסמוך לשעה </w:t>
      </w:r>
      <w:r>
        <w:rPr>
          <w:rFonts w:cs="Century" w:ascii="Century" w:hAnsi="Century"/>
          <w:sz w:val="22"/>
        </w:rPr>
        <w:t>13:00</w:t>
      </w:r>
      <w:r>
        <w:rPr>
          <w:rtl w:val="true"/>
        </w:rPr>
        <w:t xml:space="preserve">, </w:t>
      </w:r>
      <w:r>
        <w:rPr>
          <w:rtl w:val="true"/>
        </w:rPr>
        <w:t>המערער הקרין סרט במסגרת תפקידו לקבוצת תלמידי כיתה ב</w:t>
      </w:r>
      <w:r>
        <w:rPr>
          <w:rtl w:val="true"/>
        </w:rPr>
        <w:t xml:space="preserve">', </w:t>
      </w:r>
      <w:r>
        <w:rPr>
          <w:rtl w:val="true"/>
        </w:rPr>
        <w:t>כשבמהלך ההקרנה שהה עם התלמידים לבדו</w:t>
      </w:r>
      <w:r>
        <w:rPr>
          <w:rtl w:val="true"/>
        </w:rPr>
        <w:t xml:space="preserve">. </w:t>
      </w:r>
      <w:r>
        <w:rPr>
          <w:rtl w:val="true"/>
        </w:rPr>
        <w:t>לאחר תחילת ההקרנה</w:t>
      </w:r>
      <w:r>
        <w:rPr>
          <w:rtl w:val="true"/>
        </w:rPr>
        <w:t xml:space="preserve">, </w:t>
      </w:r>
      <w:r>
        <w:rPr>
          <w:rtl w:val="true"/>
        </w:rPr>
        <w:t>המערער קרא לאחת הקטינות</w:t>
      </w:r>
      <w:r>
        <w:rPr>
          <w:rtl w:val="true"/>
        </w:rPr>
        <w:t xml:space="preserve">, </w:t>
      </w:r>
      <w:r>
        <w:rPr>
          <w:rtl w:val="true"/>
        </w:rPr>
        <w:t>הורה לה לקום מכיסאה ולשבת עליו</w:t>
      </w:r>
      <w:r>
        <w:rPr>
          <w:rtl w:val="true"/>
        </w:rPr>
        <w:t xml:space="preserve">. </w:t>
      </w:r>
      <w:r>
        <w:rPr>
          <w:rtl w:val="true"/>
        </w:rPr>
        <w:t>לאחר שעשתה כהוראתו</w:t>
      </w:r>
      <w:r>
        <w:rPr>
          <w:rtl w:val="true"/>
        </w:rPr>
        <w:t xml:space="preserve">, </w:t>
      </w:r>
      <w:r>
        <w:rPr>
          <w:rtl w:val="true"/>
        </w:rPr>
        <w:t>המערער הניח ידו על ירכ</w:t>
      </w:r>
      <w:r>
        <w:rPr>
          <w:rtl w:val="true"/>
        </w:rPr>
        <w:t>הּ</w:t>
      </w:r>
      <w:r>
        <w:rPr>
          <w:rtl w:val="true"/>
        </w:rPr>
        <w:t xml:space="preserve">, </w:t>
      </w:r>
      <w:r>
        <w:rPr>
          <w:rtl w:val="true"/>
        </w:rPr>
        <w:t>ובהמשך העלה באיטיות את ידו לעבר איבר מינה וצבט אותו באצבעותיו מעל למכנסיה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הקטינה נבהלה ממעשי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קמה מכיסאה וביקשה לצאת להתפנות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במהלך אותה הקרנה</w:t>
      </w:r>
      <w:r>
        <w:rPr>
          <w:rtl w:val="true"/>
        </w:rPr>
        <w:t xml:space="preserve">, </w:t>
      </w:r>
      <w:r>
        <w:rPr>
          <w:rtl w:val="true"/>
        </w:rPr>
        <w:t>המערער הורה מספר פעמים לאותה 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לשבת 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היא עשתה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 אחת מהפעמים הללו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ליטף את איבר מינה מעל למכנסיה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כשבאחת מהפעמים הוא אף ניסה להכניס את ידו מתחת למכנסיה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ובתגובה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קמה מכיסאה במהירות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המערער הורה </w:t>
      </w:r>
      <w:r>
        <w:rPr>
          <w:rFonts w:ascii="Century" w:hAnsi="Century" w:cs="Century"/>
          <w:sz w:val="22"/>
          <w:sz w:val="22"/>
          <w:rtl w:val="true"/>
        </w:rPr>
        <w:t>לקטינה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שלא לספר על מעשיו למנהלת הצהרון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המערער הורה במהלך ההקרנה לקטינה אחרת</w:t>
      </w:r>
      <w:r>
        <w:rPr>
          <w:rFonts w:ascii="Century" w:hAnsi="Century" w:cs="Century"/>
          <w:sz w:val="22"/>
          <w:sz w:val="22"/>
          <w:rtl w:val="true"/>
        </w:rPr>
        <w:t xml:space="preserve"> לקום מכיסאה ולשבת עליו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עשתה כהוראתו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שהתיישבה על ברכיו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מיקם אותה על איבר מינו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בחלוף זמן 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הקטינה התיישבה על כיסא בסמוך 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ובעודה יושבת שם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המערער נגע באיבר מינו מעל לבגדיו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או אז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שאל 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הקטינה אם ברצונה לתת לו את יד</w:t>
      </w:r>
      <w:r>
        <w:rPr>
          <w:rtl w:val="true"/>
        </w:rPr>
        <w:t>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נמנעה מלהשיב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נטל את יד</w:t>
      </w:r>
      <w:r>
        <w:rPr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 xml:space="preserve"> והניח</w:t>
      </w:r>
      <w:r>
        <w:rPr>
          <w:rtl w:val="true"/>
        </w:rPr>
        <w:t>הּ</w:t>
      </w:r>
      <w:r>
        <w:rPr>
          <w:rFonts w:ascii="Century" w:hAnsi="Century" w:cs="Century"/>
          <w:sz w:val="22"/>
          <w:sz w:val="22"/>
          <w:rtl w:val="true"/>
        </w:rPr>
        <w:t xml:space="preserve"> על איבר מינו מעל לבגדיו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הקטינה התנגדה למעשי המערער בכך שפרסה את אצבעות כף ידה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 ההקרנה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הושיב את הקטינה על ברכיו כ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פעמים נוספות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ובסיום ההקרנה אמר לה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סליחה</w:t>
      </w:r>
      <w:r>
        <w:rPr>
          <w:rFonts w:cs="Century" w:ascii="Century" w:hAnsi="Century"/>
          <w:sz w:val="22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ההקרנה</w:t>
      </w:r>
      <w:r>
        <w:rPr>
          <w:rtl w:val="true"/>
        </w:rPr>
        <w:t xml:space="preserve">, </w:t>
      </w:r>
      <w:r>
        <w:rPr>
          <w:rtl w:val="true"/>
        </w:rPr>
        <w:t>הושיב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ביזוי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במיוחס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המתוקן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סמך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טיעון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בחן את מידת הפגיעה בערכים המוגנים הגלומה במעשי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נותן דעתו לכך שהמערער פעל תוך ניצול תפקידו בצהרון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לכך שמדובר בקטינות שגילן 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לכך שפרק הזמן שבו בוצעו העבירות הוא קצר יחסית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בהתחשב 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ובקביעה כי מעשי המערער עולים 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אירוע אחד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כהגדרתו </w:t>
      </w:r>
      <w:hyperlink r:id="rId1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יג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נקבע כי מתחם העונש ההולם בעניינו של המערער הוא בין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העונש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דעתו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לכך שהמערער הודה במעשים המתוארים בכתב האישום המתוקן ונטל עליהם אחריות</w:t>
      </w:r>
      <w:r>
        <w:rPr>
          <w:rtl w:val="true"/>
        </w:rPr>
        <w:t xml:space="preserve">; </w:t>
      </w:r>
      <w:r>
        <w:rPr>
          <w:rtl w:val="true"/>
        </w:rPr>
        <w:t>לכך שהמערער</w:t>
      </w:r>
      <w:r>
        <w:rPr>
          <w:rtl w:val="true"/>
        </w:rPr>
        <w:t xml:space="preserve">, </w:t>
      </w:r>
      <w:r>
        <w:rPr>
          <w:rtl w:val="true"/>
        </w:rPr>
        <w:t xml:space="preserve">שגילו </w:t>
      </w:r>
      <w:r>
        <w:rPr/>
        <w:t>56</w:t>
      </w:r>
      <w:r>
        <w:rPr>
          <w:rtl w:val="true"/>
        </w:rPr>
        <w:t xml:space="preserve">, </w:t>
      </w:r>
      <w:r>
        <w:rPr>
          <w:rtl w:val="true"/>
        </w:rPr>
        <w:t>נעדר הרשעות קודמות</w:t>
      </w:r>
      <w:r>
        <w:rPr>
          <w:rtl w:val="true"/>
        </w:rPr>
        <w:t xml:space="preserve">; </w:t>
      </w:r>
      <w:r>
        <w:rPr>
          <w:rtl w:val="true"/>
        </w:rPr>
        <w:t>ולכך שמדובר במאסר ראשון עבור המערער</w:t>
      </w:r>
      <w:r>
        <w:rPr>
          <w:rtl w:val="true"/>
        </w:rPr>
        <w:t xml:space="preserve">. </w:t>
      </w:r>
      <w:r>
        <w:rPr>
          <w:rtl w:val="true"/>
        </w:rPr>
        <w:t>בשקלול הדברים</w:t>
      </w:r>
      <w:r>
        <w:rPr>
          <w:rtl w:val="true"/>
        </w:rPr>
        <w:t xml:space="preserve">, </w:t>
      </w:r>
      <w:r>
        <w:rPr>
          <w:rtl w:val="true"/>
        </w:rPr>
        <w:t>נקבע כי יש לקבוע את עונש המערער ברף התחתון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 כמפורט לעיל</w:t>
      </w:r>
      <w:r>
        <w:rPr>
          <w:rtl w:val="true"/>
        </w:rPr>
        <w:t xml:space="preserve">. 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בראי מתחם העונש ההולם שנפסק במקרים דומים</w:t>
      </w:r>
      <w:r>
        <w:rPr>
          <w:rtl w:val="true"/>
        </w:rPr>
        <w:t xml:space="preserve">, </w:t>
      </w:r>
      <w:r>
        <w:rPr>
          <w:rtl w:val="true"/>
        </w:rPr>
        <w:t>ובהתחשב בכך שכל המעשים שבגינם הורשע נעשו מעל הבגדים</w:t>
      </w:r>
      <w:r>
        <w:rPr>
          <w:rtl w:val="true"/>
        </w:rPr>
        <w:t xml:space="preserve">, </w:t>
      </w:r>
      <w:r>
        <w:rPr>
          <w:rtl w:val="true"/>
        </w:rPr>
        <w:t>וללא שימוש בכוח או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כך לדבריו </w:t>
      </w:r>
      <w:r>
        <w:rPr>
          <w:rtl w:val="true"/>
        </w:rPr>
        <w:t>–</w:t>
      </w:r>
      <w:r>
        <w:rPr>
          <w:rtl w:val="true"/>
        </w:rPr>
        <w:t xml:space="preserve"> המתחם שנקבע בעניינו מחמיר יתר על המידה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נטען כי בית המשפט קמא שגה בהטילו את עונש הקנס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שהמשיבה כלל לא ביקשה להטיל על המערער עונש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 הן מתחם העונש ההולם שנקבע 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והן העונש שנגזר בגדרי המתחם </w:t>
      </w:r>
      <w:r>
        <w:rPr>
          <w:rtl w:val="true"/>
        </w:rPr>
        <w:t>–</w:t>
      </w:r>
      <w:r>
        <w:rPr>
          <w:rtl w:val="true"/>
        </w:rPr>
        <w:t xml:space="preserve"> מקלים עמו באופן שאינו מבטא כראוי את חומרת מעשיו</w:t>
      </w:r>
      <w:r>
        <w:rPr>
          <w:rtl w:val="true"/>
        </w:rPr>
        <w:t xml:space="preserve">. </w:t>
      </w:r>
      <w:r>
        <w:rPr>
          <w:rtl w:val="true"/>
        </w:rPr>
        <w:t>אשר למתחם העונש ההולם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העובדה שמעשי המערער פגעו בשלוש קטינות רכות בשנים</w:t>
      </w:r>
      <w:r>
        <w:rPr>
          <w:rtl w:val="true"/>
        </w:rPr>
        <w:t xml:space="preserve">; </w:t>
      </w:r>
      <w:r>
        <w:rPr>
          <w:rtl w:val="true"/>
        </w:rPr>
        <w:t>כמו גם הנזק שנגרם לנפגעות ולמשפחותיהן כפי שעולה מתסקירי נפגעות העבירה</w:t>
      </w:r>
      <w:r>
        <w:rPr>
          <w:rtl w:val="true"/>
        </w:rPr>
        <w:t xml:space="preserve">; </w:t>
      </w:r>
      <w:r>
        <w:rPr>
          <w:rtl w:val="true"/>
        </w:rPr>
        <w:t xml:space="preserve">ובפרט החומרה המיוחדת שטמונה בכך שאיש צוות של צהרון מבצע מעשים מגונים בילדות שעה שהן שוהות בבית הספר </w:t>
      </w:r>
      <w:r>
        <w:rPr>
          <w:rtl w:val="true"/>
        </w:rPr>
        <w:t>–</w:t>
      </w:r>
      <w:r>
        <w:rPr>
          <w:rtl w:val="true"/>
        </w:rPr>
        <w:t xml:space="preserve"> כל אלה לא קיבלו ביטוי הולם בקביעת מתחם העונש</w:t>
      </w:r>
      <w:r>
        <w:rPr>
          <w:rtl w:val="true"/>
        </w:rPr>
        <w:t xml:space="preserve">. </w:t>
      </w:r>
      <w:r>
        <w:rPr>
          <w:rtl w:val="true"/>
        </w:rPr>
        <w:t>אשר לעונש שנגזר בגדרי המתחם</w:t>
      </w:r>
      <w:r>
        <w:rPr>
          <w:rtl w:val="true"/>
        </w:rPr>
        <w:t xml:space="preserve">, </w:t>
      </w:r>
      <w:r>
        <w:rPr>
          <w:rtl w:val="true"/>
        </w:rPr>
        <w:t>נטען כי העובדה שמדובר במאסר ראשון שיהא על המערער לרצות אינה עומדת כשיקול עצמאי</w:t>
      </w:r>
      <w:r>
        <w:rPr>
          <w:rtl w:val="true"/>
        </w:rPr>
        <w:t xml:space="preserve">, </w:t>
      </w:r>
      <w:r>
        <w:rPr>
          <w:rtl w:val="true"/>
        </w:rPr>
        <w:t>אלא מדובר בנסיבה שהיא חלק אינהרנטי מכך שהוא נעדר עבר פלילי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התחשבות בעונש מאסר ראשון ובהיעדר עבר פלילי גם יחד</w:t>
      </w:r>
      <w:r>
        <w:rPr>
          <w:rtl w:val="true"/>
        </w:rPr>
        <w:t xml:space="preserve">, </w:t>
      </w:r>
      <w:r>
        <w:rPr>
          <w:rtl w:val="true"/>
        </w:rPr>
        <w:t xml:space="preserve">עולה למעשה לכדי </w:t>
      </w:r>
      <w:r>
        <w:rPr>
          <w:rtl w:val="true"/>
        </w:rPr>
        <w:t>"</w:t>
      </w:r>
      <w:r>
        <w:rPr>
          <w:rtl w:val="true"/>
        </w:rPr>
        <w:t>ספירה כפולה</w:t>
      </w:r>
      <w:r>
        <w:rPr>
          <w:rtl w:val="true"/>
        </w:rPr>
        <w:t xml:space="preserve">", </w:t>
      </w:r>
      <w:r>
        <w:rPr>
          <w:rtl w:val="true"/>
        </w:rPr>
        <w:t>כהגדרת המשיבה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נטען כי בית המשפט קמא לא הביא בחשבון את הקושי שבחשיפת אירועים מעין אלו</w:t>
      </w:r>
      <w:r>
        <w:rPr>
          <w:rtl w:val="true"/>
        </w:rPr>
        <w:t xml:space="preserve">, </w:t>
      </w:r>
      <w:r>
        <w:rPr>
          <w:rtl w:val="true"/>
        </w:rPr>
        <w:t>וכי שיקולי הרתעה לא קיבלו משקל מספק גם כן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 כי ערכאת הערעור אינה נוהגת להתערב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שבהם ניכרת חריגה קיצונית ממדיניות הענישה הנוהגת במקרים דומים או כאשר נפלה על פני הדברים טעות מהותית ובולטת בגזר הדין </w:t>
      </w:r>
      <w:r>
        <w:rPr>
          <w:rtl w:val="true"/>
        </w:rPr>
        <w:t>(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51/23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13.6.2023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המקרה דנן נמנה עם אותם מקרים חריגים המצדיקים את התערבותנו</w:t>
      </w:r>
      <w:r>
        <w:rPr>
          <w:rtl w:val="true"/>
        </w:rPr>
        <w:t xml:space="preserve">, </w:t>
      </w:r>
      <w:r>
        <w:rPr>
          <w:rtl w:val="true"/>
        </w:rPr>
        <w:t>מאחר שהעונש שנגזר על המערער מקל עמו יתר על המידה</w:t>
      </w:r>
      <w:r>
        <w:rPr>
          <w:rtl w:val="true"/>
        </w:rPr>
        <w:t xml:space="preserve">, </w:t>
      </w:r>
      <w:r>
        <w:rPr>
          <w:rtl w:val="true"/>
        </w:rPr>
        <w:t>באופן שאינו הולם את חומרת מעשיו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שב ועמד על חומרתן הרבה של עבירות מין כלפי קטינים</w:t>
      </w:r>
      <w:r>
        <w:rPr>
          <w:rtl w:val="true"/>
        </w:rPr>
        <w:t xml:space="preserve">. </w:t>
      </w:r>
      <w:r>
        <w:rPr>
          <w:rtl w:val="true"/>
        </w:rPr>
        <w:t>חומרה זו נעוצה בניצול הבוטה של חולשת הקטינים ותמימותם</w:t>
      </w:r>
      <w:r>
        <w:rPr>
          <w:rtl w:val="true"/>
        </w:rPr>
        <w:t xml:space="preserve">, </w:t>
      </w:r>
      <w:r>
        <w:rPr>
          <w:rtl w:val="true"/>
        </w:rPr>
        <w:t xml:space="preserve">ובפגיעה הקשה בנפשם של הקטינים </w:t>
      </w:r>
      <w:r>
        <w:rPr>
          <w:rtl w:val="true"/>
        </w:rPr>
        <w:t>–</w:t>
      </w:r>
      <w:r>
        <w:rPr>
          <w:rtl w:val="true"/>
        </w:rPr>
        <w:t xml:space="preserve"> פגיעה שעלולה להותיר צלקות שלא תימחינה גם בחלוף שנים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יש לנהוג במבצעיהם של מעשים אלה ביד נוקשה ובענישה מרתיעה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7046/18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18.8.2021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אייזק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מתעצמת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אמידתם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הניצול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מעמדו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ניצל בגסות את מעמדו ואת האמון שנתנו בו הקטינים</w:t>
      </w:r>
      <w:r>
        <w:rPr>
          <w:rtl w:val="true"/>
        </w:rPr>
        <w:t xml:space="preserve">, </w:t>
      </w:r>
      <w:r>
        <w:rPr>
          <w:rtl w:val="true"/>
        </w:rPr>
        <w:t>כאיש הצוות החינוכי</w:t>
      </w:r>
      <w:r>
        <w:rPr>
          <w:rtl w:val="true"/>
        </w:rPr>
        <w:t xml:space="preserve">, </w:t>
      </w:r>
      <w:r>
        <w:rPr>
          <w:rtl w:val="true"/>
        </w:rPr>
        <w:t xml:space="preserve">וכמי שהופקד לשמור עליהם ולספק להם סביבה בטוחה ומוגנת </w:t>
      </w:r>
      <w:r>
        <w:rPr>
          <w:rtl w:val="true"/>
        </w:rPr>
        <w:t>–</w:t>
      </w:r>
      <w:r>
        <w:rPr>
          <w:rtl w:val="true"/>
        </w:rPr>
        <w:t xml:space="preserve"> וזאת רק על מנת לספק את מאווייו וצרכיו המיניים</w:t>
      </w:r>
      <w:r>
        <w:rPr>
          <w:rtl w:val="true"/>
        </w:rPr>
        <w:t xml:space="preserve">. </w:t>
      </w:r>
      <w:r>
        <w:rPr>
          <w:rtl w:val="true"/>
        </w:rPr>
        <w:t>כפי שעולה בבירור מתסקירי נפגעות העבירה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בנה וטיפח קשרי אמון עם הקטינות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את קשרים אלו ניצל ביד גסה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לבלי רחם ומבלי שגילן הרך של הקטינות יגרום לו להירתע מלבצע את המעשים חמורים שעשה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אנושות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וביכולתן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יעלה על הדעת כי מקום שאמור להיות סביבה מוגנת ובטוחה עבור קטינים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יהפוך בנקל לזירה בה מתחוללים מעשים הרומסים את ביטחונם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והשוו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6065/21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8.12.2021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עניין זה לא מצא ביטוי מספק בגזר דינו של בית המשפט קמא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נדרש היה לתת משקל נכבד יותר לנזק שנגרם בפועל ובכוח לנפגעות העבירה ולכך שמדובר במעשים שבוצעו 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מטעמי צנעת הפרט</w:t>
      </w:r>
      <w:r>
        <w:rPr>
          <w:rtl w:val="true"/>
        </w:rPr>
        <w:t xml:space="preserve">, </w:t>
      </w:r>
      <w:r>
        <w:rPr>
          <w:rtl w:val="true"/>
        </w:rPr>
        <w:t>לא אפרט כאן על אודות הנזק שאירע לנפגעות העבירה בענייננו</w:t>
      </w:r>
      <w:r>
        <w:rPr>
          <w:rtl w:val="true"/>
        </w:rPr>
        <w:t xml:space="preserve">, </w:t>
      </w:r>
      <w:r>
        <w:rPr>
          <w:rtl w:val="true"/>
        </w:rPr>
        <w:t>כפי שעולה בבירור מהתסקירים שהוגשו בעניינן</w:t>
      </w:r>
      <w:r>
        <w:rPr>
          <w:rtl w:val="true"/>
        </w:rPr>
        <w:t xml:space="preserve">. </w:t>
      </w:r>
      <w:r>
        <w:rPr>
          <w:rtl w:val="true"/>
        </w:rPr>
        <w:t>אסתפק בכך שאציין</w:t>
      </w:r>
      <w:r>
        <w:rPr>
          <w:rtl w:val="true"/>
        </w:rPr>
        <w:t xml:space="preserve">, </w:t>
      </w:r>
      <w:r>
        <w:rPr>
          <w:rtl w:val="true"/>
        </w:rPr>
        <w:t>כי למעשי המערער השלכות חמורות על חייהן של שלוש הקטינות</w:t>
      </w:r>
      <w:r>
        <w:rPr>
          <w:rtl w:val="true"/>
        </w:rPr>
        <w:t xml:space="preserve">, </w:t>
      </w:r>
      <w:r>
        <w:rPr>
          <w:rtl w:val="true"/>
        </w:rPr>
        <w:t>ביותר ממישור אחד</w:t>
      </w:r>
      <w:r>
        <w:rPr>
          <w:rtl w:val="true"/>
        </w:rPr>
        <w:t xml:space="preserve">, </w:t>
      </w:r>
      <w:r>
        <w:rPr>
          <w:rtl w:val="true"/>
        </w:rPr>
        <w:t>ויש רק לקוות שהשלכות אלה לא תוחמרנה עוד בעתיד</w:t>
      </w:r>
      <w:r>
        <w:rPr>
          <w:rtl w:val="true"/>
        </w:rPr>
        <w:t xml:space="preserve">. </w:t>
      </w:r>
      <w:r>
        <w:rPr>
          <w:rtl w:val="true"/>
        </w:rPr>
        <w:t>נוסף לאמור</w:t>
      </w:r>
      <w:r>
        <w:rPr>
          <w:rtl w:val="true"/>
        </w:rPr>
        <w:t xml:space="preserve">, </w:t>
      </w:r>
      <w:r>
        <w:rPr>
          <w:rtl w:val="true"/>
        </w:rPr>
        <w:t xml:space="preserve">אבקש להדגיש את שנראה ברור מאליו </w:t>
      </w:r>
      <w:r>
        <w:rPr>
          <w:rtl w:val="true"/>
        </w:rPr>
        <w:t>–</w:t>
      </w:r>
      <w:r>
        <w:rPr>
          <w:rtl w:val="true"/>
        </w:rPr>
        <w:t xml:space="preserve"> כל קטינה וקטינה היא עולם מלא</w:t>
      </w:r>
      <w:r>
        <w:rPr>
          <w:rtl w:val="true"/>
        </w:rPr>
        <w:t xml:space="preserve">. </w:t>
      </w:r>
      <w:r>
        <w:rPr>
          <w:rtl w:val="true"/>
        </w:rPr>
        <w:t>אין בעובדה שמדובר במסכת אירועים אחת</w:t>
      </w:r>
      <w:r>
        <w:rPr>
          <w:rtl w:val="true"/>
        </w:rPr>
        <w:t xml:space="preserve">, </w:t>
      </w:r>
      <w:r>
        <w:rPr>
          <w:rtl w:val="true"/>
        </w:rPr>
        <w:t xml:space="preserve">כמובנה </w:t>
      </w:r>
      <w:hyperlink r:id="rId1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יג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להקל כהוא זה מהפגיעה הקשה שחוותה כל אחת ואחת מהן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לאמור יש להוסיף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קמא ראה בכך שמעשיו של המערער בוצעו </w:t>
      </w:r>
      <w:r>
        <w:rPr>
          <w:rtl w:val="true"/>
        </w:rPr>
        <w:t>"</w:t>
      </w:r>
      <w:r>
        <w:rPr>
          <w:rtl w:val="true"/>
        </w:rPr>
        <w:t>מעל הבגדים</w:t>
      </w:r>
      <w:r>
        <w:rPr>
          <w:rtl w:val="true"/>
        </w:rPr>
        <w:t xml:space="preserve">", </w:t>
      </w:r>
      <w:r>
        <w:rPr>
          <w:rtl w:val="true"/>
        </w:rPr>
        <w:t>כנסיבה שיש לשקול לטובתו</w:t>
      </w:r>
      <w:r>
        <w:rPr>
          <w:rtl w:val="true"/>
        </w:rPr>
        <w:t xml:space="preserve">. </w:t>
      </w:r>
      <w:r>
        <w:rPr>
          <w:rtl w:val="true"/>
        </w:rPr>
        <w:t>נקודה זו מצאה ביטוי לא מבוטל גם בנימוקי הערעור שהגיש 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וכמצוין במפורש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ניסה להכניס את ידו מתחת למכנסיה של </w:t>
      </w:r>
      <w:r>
        <w:rPr>
          <w:rFonts w:ascii="Century" w:hAnsi="Century" w:cs="Century"/>
          <w:sz w:val="22"/>
          <w:sz w:val="22"/>
          <w:rtl w:val="true"/>
        </w:rPr>
        <w:t>אחת הקטינות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אך ניסיון זה נכשל מאחר שהיא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קמה מכיסאה במהירות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משאלה הם פני הדברים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משקלה המקל של נסיבה זו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פוחת עד למאוד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 ה</w:t>
      </w:r>
      <w:r>
        <w:rPr>
          <w:rtl w:val="true"/>
        </w:rPr>
        <w:t>חומר</w:t>
      </w:r>
      <w:r>
        <w:rPr>
          <w:rtl w:val="true"/>
        </w:rPr>
        <w:t>ה שרואה המחוקק בעבירות השונות המנויות בחוק</w:t>
      </w:r>
      <w:r>
        <w:rPr>
          <w:rtl w:val="true"/>
        </w:rPr>
        <w:t xml:space="preserve">, </w:t>
      </w:r>
      <w:r>
        <w:rPr>
          <w:rtl w:val="true"/>
        </w:rPr>
        <w:t>ניתן ללמוד גם מעונש המקסימום הקבוע בצידן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שתכליתם של עונשי המקסימום אינה מתמצית בהגדרת הגבול העליון של סמכות הענישה</w:t>
      </w:r>
      <w:r>
        <w:rPr>
          <w:rtl w:val="true"/>
        </w:rPr>
        <w:t xml:space="preserve">, </w:t>
      </w:r>
      <w:r>
        <w:rPr>
          <w:rtl w:val="true"/>
        </w:rPr>
        <w:t xml:space="preserve">אלא יש בה כדי לבטא את עמדתו הערכית של המחוקק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פסק דינו של ידי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 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2722/23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9.5.2023</w:t>
      </w:r>
      <w:r>
        <w:rPr>
          <w:rtl w:val="true"/>
        </w:rPr>
        <w:t xml:space="preserve">)).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עונש המקסימום הקבוע בצידה של עבירת המעשים המגונים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שאליהן מפנה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הוא </w:t>
      </w:r>
      <w:r>
        <w:rPr>
          <w:rFonts w:cs="Miriam"/>
          <w:b/>
          <w:b/>
          <w:spacing w:val="0"/>
          <w:szCs w:val="24"/>
          <w:rtl w:val="true"/>
        </w:rPr>
        <w:t>עשר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 xml:space="preserve">עבירות המעשים המגונים אינן עשויות מקשה אחת </w:t>
      </w:r>
      <w:r>
        <w:rPr>
          <w:rtl w:val="true"/>
        </w:rPr>
        <w:t>–</w:t>
      </w:r>
      <w:r>
        <w:rPr>
          <w:rtl w:val="true"/>
        </w:rPr>
        <w:t xml:space="preserve"> אך אין בכך כדי לשנות מהביטוי הערכי שמגולם בעונש המקסימום שקבע המחוקק</w:t>
      </w:r>
      <w:r>
        <w:rPr>
          <w:rtl w:val="true"/>
        </w:rPr>
        <w:t xml:space="preserve">. </w:t>
      </w:r>
      <w:r>
        <w:rPr>
          <w:rtl w:val="true"/>
        </w:rPr>
        <w:t>בעניינו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עונש המאסר בפועל שנגזר עליו </w:t>
      </w:r>
      <w:r>
        <w:rPr>
          <w:rFonts w:cs="Miriam"/>
          <w:b/>
          <w:b/>
          <w:spacing w:val="0"/>
          <w:szCs w:val="24"/>
          <w:rtl w:val="true"/>
        </w:rPr>
        <w:t>רחוק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מאוד</w:t>
      </w:r>
      <w:r>
        <w:rPr>
          <w:rtl w:val="true"/>
        </w:rPr>
        <w:t xml:space="preserve"> מעונש המקסימום</w:t>
      </w:r>
      <w:r>
        <w:rPr>
          <w:rtl w:val="true"/>
        </w:rPr>
        <w:t xml:space="preserve">. </w:t>
      </w:r>
      <w:r>
        <w:rPr>
          <w:rtl w:val="true"/>
        </w:rPr>
        <w:t xml:space="preserve">עוד ראוי להזכיר את קביעת המחוקק בדבר העונש המזערי שקבועה </w:t>
      </w:r>
      <w:hyperlink r:id="rId1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ולפיה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345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</w:rPr>
        <w:t>348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),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החליט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בעונשו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מכלול הדברים מקשה מאוד אפוא על קבלת העונש המקל שגזר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אחר כל זאת</w:t>
      </w:r>
      <w:r>
        <w:rPr>
          <w:rtl w:val="true"/>
        </w:rPr>
        <w:t xml:space="preserve">, </w:t>
      </w:r>
      <w:r>
        <w:rPr>
          <w:rtl w:val="true"/>
        </w:rPr>
        <w:t>יובהר כי לא נעלמו מעיני הנסיבות בדבר היעדר עבר פלילי ונטילת אחריות שנשקלו לטובת המערער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במלאכת גזרת העונש</w:t>
      </w:r>
      <w:r>
        <w:rPr>
          <w:rtl w:val="true"/>
        </w:rPr>
        <w:t xml:space="preserve">, </w:t>
      </w:r>
      <w:r>
        <w:rPr>
          <w:rtl w:val="true"/>
        </w:rPr>
        <w:t>שומה על בית המשפט  לאזן כראוי בין שיקולים אלה</w:t>
      </w:r>
      <w:r>
        <w:rPr>
          <w:rtl w:val="true"/>
        </w:rPr>
        <w:t xml:space="preserve">, </w:t>
      </w:r>
      <w:r>
        <w:rPr>
          <w:rtl w:val="true"/>
        </w:rPr>
        <w:t xml:space="preserve">לבין שיקולים דוגמת הלימה והרתעה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3335/23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6.7.2023</w:t>
      </w:r>
      <w:r>
        <w:rPr>
          <w:rtl w:val="true"/>
        </w:rPr>
        <w:t xml:space="preserve">)).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יש לזכור את מרכזיותו של עיקרון ההלימה כפי שזו נקבעה במפורש על ידי המחוקק </w:t>
      </w:r>
      <w:hyperlink r:id="rId2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לחוק </w:t>
      </w:r>
      <w:r>
        <w:rPr>
          <w:rtl w:val="true"/>
        </w:rPr>
        <w:t>(</w:t>
      </w:r>
      <w:r>
        <w:rPr>
          <w:rtl w:val="true"/>
        </w:rPr>
        <w:t>וראו עוד</w:t>
      </w:r>
      <w:r>
        <w:rPr>
          <w:rtl w:val="true"/>
        </w:rPr>
        <w:t xml:space="preserve">: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לדעתי בנסיבות אלה כדי להוליך למסקנה אליה הגיע בית המשפט קמא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לסוגיית הפיצויים</w:t>
      </w:r>
      <w:r>
        <w:rPr>
          <w:rtl w:val="true"/>
        </w:rPr>
        <w:t xml:space="preserve">, </w:t>
      </w:r>
      <w:r>
        <w:rPr>
          <w:rtl w:val="true"/>
        </w:rPr>
        <w:t xml:space="preserve">הלכה היא כי </w:t>
      </w:r>
      <w:r>
        <w:rPr>
          <w:rtl w:val="true"/>
        </w:rPr>
        <w:t>אין להתערב בשיקול דעתה של הערכאה הדיונית בקביע</w:t>
      </w:r>
      <w:r>
        <w:rPr>
          <w:rtl w:val="true"/>
        </w:rPr>
        <w:t>ת שיעורם</w:t>
      </w:r>
      <w:r>
        <w:rPr>
          <w:rtl w:val="true"/>
        </w:rPr>
        <w:t xml:space="preserve">, </w:t>
      </w:r>
      <w:r>
        <w:rPr>
          <w:rtl w:val="true"/>
        </w:rPr>
        <w:t xml:space="preserve">למעט במקרים יוצאי דופן בהם </w:t>
      </w:r>
      <w:r>
        <w:rPr>
          <w:rtl w:val="true"/>
        </w:rPr>
        <w:t xml:space="preserve">ניכרת </w:t>
      </w:r>
      <w:r>
        <w:rPr>
          <w:rtl w:val="true"/>
        </w:rPr>
        <w:t>חר</w:t>
      </w:r>
      <w:r>
        <w:rPr>
          <w:rtl w:val="true"/>
        </w:rPr>
        <w:t>י</w:t>
      </w:r>
      <w:r>
        <w:rPr>
          <w:rtl w:val="true"/>
        </w:rPr>
        <w:t xml:space="preserve">גה </w:t>
      </w:r>
      <w:r>
        <w:rPr>
          <w:rtl w:val="true"/>
        </w:rPr>
        <w:t>קיצונית</w:t>
      </w:r>
      <w:r>
        <w:rPr>
          <w:rtl w:val="true"/>
        </w:rPr>
        <w:t xml:space="preserve"> משיעור הפיצוי הראוי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19.2.2023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נוכח אמת מידה זו</w:t>
      </w:r>
      <w:r>
        <w:rPr>
          <w:rtl w:val="true"/>
        </w:rPr>
        <w:t xml:space="preserve">, </w:t>
      </w:r>
      <w:r>
        <w:rPr>
          <w:rtl w:val="true"/>
        </w:rPr>
        <w:t>שיעור הפיצויים שפסק בית המשפט קמא אינו מצדיק התערבות במסקנתו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בטרם סיום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להתעלם מתחושות האשמה ומהקשיים בעריכת שיח על שאירע </w:t>
      </w:r>
      <w:r>
        <w:rPr>
          <w:rtl w:val="true"/>
        </w:rPr>
        <w:t>–</w:t>
      </w:r>
      <w:r>
        <w:rPr>
          <w:rtl w:val="true"/>
        </w:rPr>
        <w:t xml:space="preserve"> אשר היו מנת חלקן של הנפגעות בענייננו</w:t>
      </w:r>
      <w:r>
        <w:rPr>
          <w:rtl w:val="true"/>
        </w:rPr>
        <w:t xml:space="preserve">, </w:t>
      </w:r>
      <w:r>
        <w:rPr>
          <w:rtl w:val="true"/>
        </w:rPr>
        <w:t>כפי שמתואר בגזר הדין</w:t>
      </w:r>
      <w:r>
        <w:rPr>
          <w:rtl w:val="true"/>
        </w:rPr>
        <w:t xml:space="preserve">. </w:t>
      </w:r>
      <w:r>
        <w:rPr>
          <w:rtl w:val="true"/>
        </w:rPr>
        <w:t>לא נותר לי אלא לציין את אומץ ליבן של הנפגעות</w:t>
      </w:r>
      <w:r>
        <w:rPr>
          <w:rtl w:val="true"/>
        </w:rPr>
        <w:t xml:space="preserve">. </w:t>
      </w:r>
      <w:r>
        <w:rPr>
          <w:rtl w:val="true"/>
        </w:rPr>
        <w:t>סיוען במיצוי הדין עם המערער אינו מובן מאליו</w:t>
      </w:r>
      <w:r>
        <w:rPr>
          <w:rtl w:val="true"/>
        </w:rPr>
        <w:t xml:space="preserve">, </w:t>
      </w:r>
      <w:r>
        <w:rPr>
          <w:rtl w:val="true"/>
        </w:rPr>
        <w:t>לא כל שכן עבור קטינות בגיל רך כגילן</w:t>
      </w:r>
      <w:r>
        <w:rPr>
          <w:rtl w:val="true"/>
        </w:rPr>
        <w:t xml:space="preserve">. </w:t>
      </w:r>
      <w:r>
        <w:rPr>
          <w:rtl w:val="true"/>
        </w:rPr>
        <w:t>אין אלא לקוות כי בסיום ההליך המשפטי בעניינו של המערער</w:t>
      </w:r>
      <w:r>
        <w:rPr>
          <w:rtl w:val="true"/>
        </w:rPr>
        <w:t xml:space="preserve">, </w:t>
      </w:r>
      <w:r>
        <w:rPr>
          <w:rtl w:val="true"/>
        </w:rPr>
        <w:t>יהיה כדי לסייע להן</w:t>
      </w:r>
      <w:r>
        <w:rPr>
          <w:rtl w:val="true"/>
        </w:rPr>
        <w:t xml:space="preserve">, </w:t>
      </w:r>
      <w:r>
        <w:rPr>
          <w:rtl w:val="true"/>
        </w:rPr>
        <w:t>ולו במעט</w:t>
      </w:r>
      <w:r>
        <w:rPr>
          <w:rtl w:val="true"/>
        </w:rPr>
        <w:t xml:space="preserve">, </w:t>
      </w:r>
      <w:r>
        <w:rPr>
          <w:rtl w:val="true"/>
        </w:rPr>
        <w:t>באיחוי הפצעים שמעשיו הותירו בנפשן</w:t>
      </w:r>
      <w:r>
        <w:rPr>
          <w:rtl w:val="true"/>
        </w:rPr>
        <w:t xml:space="preserve">. </w:t>
      </w:r>
      <w:r>
        <w:rPr>
          <w:rtl w:val="true"/>
        </w:rPr>
        <w:t>כפי שציינתי זה לא מכבר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lineRule="auto" w:line="240"/>
        <w:ind w:hanging="0" w:start="1644" w:end="1281"/>
        <w:jc w:val="both"/>
        <w:rPr/>
      </w:pPr>
      <w:r>
        <w:rPr>
          <w:rtl w:val="true"/>
        </w:rPr>
        <w:t>״דומה כי גם היום נותרו קשיים לא מעטים בפני קורבנות לעבירות דומות</w:t>
      </w:r>
      <w:r>
        <w:rPr>
          <w:rtl w:val="true"/>
        </w:rPr>
        <w:t xml:space="preserve">, </w:t>
      </w:r>
      <w:r>
        <w:rPr>
          <w:rtl w:val="true"/>
        </w:rPr>
        <w:t>עבירות מין ברף החומרה הנמוך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לצורך מיצוי הדין עם מבצעי העבירות</w:t>
      </w:r>
      <w:r>
        <w:rPr>
          <w:rtl w:val="true"/>
        </w:rPr>
        <w:t xml:space="preserve">. </w:t>
      </w:r>
      <w:r>
        <w:rPr>
          <w:rtl w:val="true"/>
        </w:rPr>
        <w:t>בראי זאת</w:t>
      </w:r>
      <w:r>
        <w:rPr>
          <w:rtl w:val="true"/>
        </w:rPr>
        <w:t xml:space="preserve">, </w:t>
      </w:r>
      <w:r>
        <w:rPr>
          <w:rtl w:val="true"/>
        </w:rPr>
        <w:t>יש להביע הערכה רבה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פעלה באומץ למיצוי הדין עם המבקש </w:t>
      </w:r>
      <w:r>
        <w:rPr>
          <w:rtl w:val="true"/>
        </w:rPr>
        <w:t xml:space="preserve">[...] </w:t>
      </w:r>
      <w:r>
        <w:rPr>
          <w:rtl w:val="true"/>
        </w:rPr>
        <w:t xml:space="preserve">אם לאחר כל זאת ננהג במידת הרחמים כלפי המבקש – נסב פנינו מפגיעתה של המתלוננת ומחומרת המעשים״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רע״פ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30.1.2023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11.5.2023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בהינתן הכלל שלפיו ערכאת הערעור אינה ממצה את 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ערעור 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למעט ביחס לרכיב הקנס אשר יתבטל נוכח הסכמת המשיבה משלא נתבקש על ידה בערכאה קמא</w:t>
      </w:r>
      <w:r>
        <w:rPr>
          <w:rtl w:val="true"/>
        </w:rPr>
        <w:t xml:space="preserve">; </w:t>
      </w:r>
      <w:r>
        <w:rPr>
          <w:rtl w:val="true"/>
        </w:rPr>
        <w:t xml:space="preserve">ערעור המשיבה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יתקבל</w:t>
      </w:r>
      <w:r>
        <w:rPr>
          <w:rtl w:val="true"/>
        </w:rPr>
        <w:t xml:space="preserve"> ביחס לרכיב עונש המאסר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כך שיעמוד על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החודשים שגזר עליו בית המשפט 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10.10.2023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23046180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54678313-4618/23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4618/23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355.a" TargetMode="External"/><Relationship Id="rId7" Type="http://schemas.openxmlformats.org/officeDocument/2006/relationships/hyperlink" Target="http://www.nevo.co.il/law/70301/40jc.a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case/29263190" TargetMode="External"/><Relationship Id="rId12" Type="http://schemas.openxmlformats.org/officeDocument/2006/relationships/hyperlink" Target="http://www.nevo.co.il/case/25041571" TargetMode="External"/><Relationship Id="rId13" Type="http://schemas.openxmlformats.org/officeDocument/2006/relationships/hyperlink" Target="http://www.nevo.co.il/case/26333867" TargetMode="External"/><Relationship Id="rId14" Type="http://schemas.openxmlformats.org/officeDocument/2006/relationships/hyperlink" Target="http://www.nevo.co.il/law/70301/40i.a" TargetMode="External"/><Relationship Id="rId15" Type="http://schemas.openxmlformats.org/officeDocument/2006/relationships/hyperlink" Target="http://www.nevo.co.il/case/27915728" TargetMode="External"/><Relationship Id="rId16" Type="http://schemas.openxmlformats.org/officeDocument/2006/relationships/hyperlink" Target="http://www.nevo.co.il/law/70301/40jc.a" TargetMode="External"/><Relationship Id="rId17" Type="http://schemas.openxmlformats.org/officeDocument/2006/relationships/hyperlink" Target="http://www.nevo.co.il/case/29525456" TargetMode="External"/><Relationship Id="rId18" Type="http://schemas.openxmlformats.org/officeDocument/2006/relationships/hyperlink" Target="http://www.nevo.co.il/law/70301/348.b" TargetMode="External"/><Relationship Id="rId19" Type="http://schemas.openxmlformats.org/officeDocument/2006/relationships/hyperlink" Target="http://www.nevo.co.il/law/70301/355.a" TargetMode="External"/><Relationship Id="rId20" Type="http://schemas.openxmlformats.org/officeDocument/2006/relationships/hyperlink" Target="http://www.nevo.co.il/case/29614320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www.nevo.co.il/case/27555133" TargetMode="External"/><Relationship Id="rId23" Type="http://schemas.openxmlformats.org/officeDocument/2006/relationships/hyperlink" Target="http://www.nevo.co.il/case/29324758" TargetMode="External"/><Relationship Id="rId24" Type="http://schemas.openxmlformats.org/officeDocument/2006/relationships/hyperlink" Target="http://www.nevo.co.il/case/29646886" TargetMode="External"/><Relationship Id="rId25" Type="http://schemas.openxmlformats.org/officeDocument/2006/relationships/hyperlink" Target="https://supreme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2023-10-14T22:18:00Z</dcterms:created>
  <dc:creator>h4</dc:creator>
  <dc:description/>
  <cp:keywords/>
  <dc:language>en-IL</dc:language>
  <cp:lastModifiedBy>h1</cp:lastModifiedBy>
  <cp:lastPrinted>2023-10-10T07:03:00Z</cp:lastPrinted>
  <dcterms:modified xsi:type="dcterms:W3CDTF">2023-10-14T22:18:00Z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29263190;25041571;26333867;27915728;29525456;29614320;27555133;29324758;29646886</vt:lpwstr>
  </property>
  <property fmtid="{D5CDD505-2E9C-101B-9397-08002B2CF9AE}" pid="9" name="CITY">
    <vt:lpwstr/>
  </property>
  <property fmtid="{D5CDD505-2E9C-101B-9397-08002B2CF9AE}" pid="10" name="DATE">
    <vt:lpwstr>20231010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אלרון;א' שטיין;ח' כבוב</vt:lpwstr>
  </property>
  <property fmtid="{D5CDD505-2E9C-101B-9397-08002B2CF9AE}" pid="14" name="LAWLISTTMP1">
    <vt:lpwstr>70301/348.b:2;40jc.a:2;040i.a;355.a;040b</vt:lpwstr>
  </property>
  <property fmtid="{D5CDD505-2E9C-101B-9397-08002B2CF9AE}" pid="15" name="LAWYER">
    <vt:lpwstr>איתי שהם;קוצ'רנקו אקתרינה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דרכי ענישה: פיצויים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16970;8982;8995;8968</vt:lpwstr>
  </property>
  <property fmtid="{D5CDD505-2E9C-101B-9397-08002B2CF9AE}" pid="59" name="PADIDATE">
    <vt:lpwstr>20231010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4618;4626</vt:lpwstr>
  </property>
  <property fmtid="{D5CDD505-2E9C-101B-9397-08002B2CF9AE}" pid="65" name="PROCYEAR">
    <vt:lpwstr>23;23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410120231010</vt:lpwstr>
  </property>
  <property fmtid="{D5CDD505-2E9C-101B-9397-08002B2CF9AE}" pid="69" name="TYPE_N_DATE">
    <vt:lpwstr>41020231010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