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4629/19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/>
              <w:t>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אח</w:t>
            </w:r>
            <w:r>
              <w:rPr>
                <w:rtl w:val="true"/>
              </w:rPr>
              <w:t xml:space="preserve">'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.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>.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378-12-17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22.5.2019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4"/>
        <w:gridCol w:w="5101"/>
      </w:tblGrid>
      <w:tr>
        <w:trPr/>
        <w:tc>
          <w:tcPr>
            <w:tcW w:w="3184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בחשון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20.10.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4"/>
        <w:gridCol w:w="5101"/>
      </w:tblGrid>
      <w:tr>
        <w:trPr/>
        <w:tc>
          <w:tcPr>
            <w:tcW w:w="31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Start w:id="5" w:name="lawyers_a_title"/>
            <w:bookmarkEnd w:id="4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ab/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4"/>
        <w:gridCol w:w="5101"/>
      </w:tblGrid>
      <w:tr>
        <w:trPr/>
        <w:tc>
          <w:tcPr>
            <w:tcW w:w="31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6" w:name="lawyers_b_title"/>
            <w:bookmarkEnd w:id="6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awTable"/>
      <w:bookmarkEnd w:id="7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גזר דין בו הורשע המערער בשורה של עבירות מין וסחיטה באיומים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אותן ביצע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קטינות שונות באמצעות יישומונים שונים במרחב הווירטואלי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חומרתן הרבה של העבירות הנדונות על הנזק לקורבנות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על אף שלא בוצעו במרחב הפיזי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הצורך בהרתעה ובהשתת עונשים חמורים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שהתבצעו דרך רשת האינטרנט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אשר הרשיע את המערער בשורה של עבירות מין וסחיטה באיומים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אותן ביצע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קטינות שונות באמצעות יישומונים שונים במרחב הווירטואלי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וגזר עליו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עונשים 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פיצוי למתלוננות בסך כולל של </w:t>
      </w:r>
      <w:r>
        <w:rPr>
          <w:rFonts w:cs="Times New Roman" w:ascii="Times New Roman" w:hAnsi="Times New Roman"/>
          <w:spacing w:val="0"/>
          <w:szCs w:val="26"/>
        </w:rPr>
        <w:t>146,000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השופטים עמית וברון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עניינו של המערער אינו נמנה על המקרים החריגים המצדיקים התערבות בעונש שהושת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ענייננו בעבירות מין חמורות שבוצעו במספר רב של קטינות שבוצעו באמצעות יישומונים המשמשים כרשתות חברתיות במרחב הווירטואלי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על אף שעבירות אלה אינן כוללות מרכיב של מגע פיזי בין הנאשם לקרבן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 רבה והן ראויות לעונשים חמורים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בשנים האחרונות הולך וגובר השימוש ברשתות החברתיות השונות לרבות אצל ילדים צעירים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שהמעשים נעשים במרחב הווירטואלי אינה גורעת מהנזקים הנפשיים הממשיים הנגרמים לנפגעי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פוטנציאל הנזק חמור במיוחד גם לאור קלות השכפול וההפצה המאפיינים את העברת המידע במרחב הווירטואלי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אפשרויות אלה גוררות עמן אלמנט מסוכן נוסף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תכיפות גבוהה של שימוש אכזרי בסחיטה ואיומים על ידי עברייני מין אשר מטילים אימה על נפגעות העבירה ושוללים מהן את חירותן הבסיסית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פרטיותן ואת כבודן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מאפיינים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הפגיעה בקטינים אשר זהותם האישית והמינית טרם התעצבה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מדגישים את הצורך החברתי המהותי בהרתעת היחיד והרבים מביצוע עבירות מין בכלל ועבירות מן הסוג הנדון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גזרי דין שנגזרו בעבר על עברייני מין במרחב הווירטואלי הושפעו לעתים לקולא גם מטעמי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הדרגתיות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שלנוכח התפשטות התופעה אינם מתאימים 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לקבל את הטענה לפיה חומרת הענישה בגזר הדין חורגת מרף הענישה המקובל בעבירות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המצדיק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גזר הדין מתייחס בפירוט לנסיבות הרבות שנטענו ואף שוקל את רובן המוחלט לקולא בקביעת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היעדר הפירוט לגבי מידת השפעתן המדויקת על העונש אינו מלמד על התעלמות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סיבה להתערב בקביעה שלא לתת משקל משמעותי לנסיבות נוספות שפורטו בגזר הדין ובפרט לפגיעה במשפחת הנאשם ולמחלתו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מה 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שכלל הוא כי בעת גזירת עונשו של נאשם בביצוע עבירות מין בקטינים יש לבכר שיקולי גמול והרתעה על פני 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נפל פגם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לפיה לאחר קביעת מתחמי ענישה נפרדים בגין הקטגוריות השונות של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להטיל עליו עונש כולל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נתון לשיקול דעתו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לפי 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יג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מה 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שעונש כולל מאפשר להביע עמדה עונשית ביחס למכלול התנהגותו הפלילית של הנאשם תוך מניעת חפיפה בין העונשים השונים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בעיקר במצבים בהם מתקיימת שורה של עבירות המצביעה על מסכת אחת של התנהגות 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 לפיה לא ניתן משקל מתאים לעובדה שהודאתו ניתנה במסגרת הסדר טיעון שהתבסס בין היתר על ציפייתו להקלה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ציפיות של נאשם במסגרת הסדר טיעון יהוו שיקול משפיע במהלך הפעלת שיקול דעתו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אך ישקלו בשים לב ליתר נתוני התיק שלפניו ובמסגרת שקילת היחס ההולם שבין טובת ההנאה שניתנה לנאשם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אינטרס הציבור במובנו הצר והרחב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ביתר שאת בענייננו כאשר הסדר הטיעון לא כלל כל התייחסות לעונש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וממילא לא אמור היה להביא לציפיות רבות 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.;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22.5.2019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378-12-17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8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חודשי מאסר על תנאי שלא יעבור עבירת מין מסוג פשע או עבירה של סחיטה באיומים למשך 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חודשי מאסר על תנאי שלא יעבור עבירת מין מסוג עוון או עבירה של הטרדה מינית למשך 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146,000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לפי עובדות כתב האישום המתוקן אשר כלל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אישומים המפרטים עבירות מין שונות שביצע המערער ב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קטינות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הוא נהג להשתמש בישומונים </w:t>
      </w:r>
      <w:r>
        <w:rPr>
          <w:rtl w:val="true"/>
        </w:rPr>
        <w:t>"</w:t>
      </w:r>
      <w:r>
        <w:rPr/>
        <w:t>Instagram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/>
        <w:t>WhatsApp</w:t>
      </w:r>
      <w:r>
        <w:rPr>
          <w:rtl w:val="true"/>
        </w:rPr>
        <w:t xml:space="preserve">" </w:t>
      </w:r>
      <w:r>
        <w:rPr>
          <w:rtl w:val="true"/>
        </w:rPr>
        <w:t>לצורך יצירת קשר עם קטינות שאינן מוכרות לו וניהל התכתבויות ושיחות בעלות אופי מיני עמן</w:t>
      </w:r>
      <w:r>
        <w:rPr>
          <w:rtl w:val="true"/>
        </w:rPr>
        <w:t xml:space="preserve">, </w:t>
      </w:r>
      <w:r>
        <w:rPr>
          <w:rtl w:val="true"/>
        </w:rPr>
        <w:t>תוך שהוא מציג עצמו בשמות וגילאים בדויים</w:t>
      </w:r>
      <w:r>
        <w:rPr>
          <w:rtl w:val="true"/>
        </w:rPr>
        <w:t xml:space="preserve">. </w:t>
      </w:r>
      <w:r>
        <w:rPr>
          <w:rtl w:val="true"/>
        </w:rPr>
        <w:t>המערער נהג לפנות בתדירות גבוהה לקטינות אשר עמן עמד בקשר</w:t>
      </w:r>
      <w:r>
        <w:rPr>
          <w:rtl w:val="true"/>
        </w:rPr>
        <w:t xml:space="preserve">, </w:t>
      </w:r>
      <w:r>
        <w:rPr>
          <w:rtl w:val="true"/>
        </w:rPr>
        <w:t>לשוחח עמן בנושאים מיניים ולבקש מהן לשלוח לו תמונות שלהן בעירום</w:t>
      </w:r>
      <w:r>
        <w:rPr>
          <w:rtl w:val="true"/>
        </w:rPr>
        <w:t xml:space="preserve">, </w:t>
      </w:r>
      <w:r>
        <w:rPr>
          <w:rtl w:val="true"/>
        </w:rPr>
        <w:t>חלקי או מלא</w:t>
      </w:r>
      <w:r>
        <w:rPr>
          <w:rtl w:val="true"/>
        </w:rPr>
        <w:t xml:space="preserve">, </w:t>
      </w:r>
      <w:r>
        <w:rPr>
          <w:rtl w:val="true"/>
        </w:rPr>
        <w:t>עד אשר הגיע לפורקן מיני</w:t>
      </w:r>
      <w:r>
        <w:rPr>
          <w:rtl w:val="true"/>
        </w:rPr>
        <w:t xml:space="preserve">. </w:t>
      </w:r>
      <w:r>
        <w:rPr>
          <w:rtl w:val="true"/>
        </w:rPr>
        <w:t>כמו כן נהג להורות להן לבצע בעצמן מעשים מגונים ועבירות מין נוספות</w:t>
      </w:r>
      <w:r>
        <w:rPr>
          <w:rtl w:val="true"/>
        </w:rPr>
        <w:t xml:space="preserve">. </w:t>
      </w:r>
      <w:r>
        <w:rPr>
          <w:rtl w:val="true"/>
        </w:rPr>
        <w:t>במהלך שיחות אלה היה מדבר עם הקטינות בשפה מינית בוטה ומשפילה ומתאר את מאווייו המיניים הנוגעים להן אשר כללו גם אלמנטים של הכנעה והשפלה</w:t>
      </w:r>
      <w:r>
        <w:rPr>
          <w:rtl w:val="true"/>
        </w:rPr>
        <w:t xml:space="preserve">. </w:t>
      </w:r>
      <w:r>
        <w:rPr>
          <w:rtl w:val="true"/>
        </w:rPr>
        <w:t>בחלק מן המקרים סחט את הקטינות ואיים עליהן באמצעים שונים על מנת שיצייתו להוראותיו</w:t>
      </w:r>
      <w:r>
        <w:rPr>
          <w:rtl w:val="true"/>
        </w:rPr>
        <w:t xml:space="preserve">. </w:t>
      </w:r>
      <w:r>
        <w:rPr>
          <w:rtl w:val="true"/>
        </w:rPr>
        <w:t>במקרים רבים הציע לקטינות להיפגש ואף דרש מחלקן למסור לו את כתובות ביתן</w:t>
      </w:r>
      <w:r>
        <w:rPr>
          <w:rtl w:val="true"/>
        </w:rPr>
        <w:t xml:space="preserve">. </w:t>
      </w:r>
      <w:r>
        <w:rPr>
          <w:rtl w:val="true"/>
        </w:rPr>
        <w:t>לעתים ביקש מן הקטינות לצלם גם את אחיותיהן הקטנות</w:t>
      </w:r>
      <w:r>
        <w:rPr>
          <w:rtl w:val="true"/>
        </w:rPr>
        <w:t xml:space="preserve">, </w:t>
      </w:r>
      <w:r>
        <w:rPr>
          <w:rtl w:val="true"/>
        </w:rPr>
        <w:t>את חברותיהן או להציע לחברותיהן לשלוח בעצמן תמונות עירום שלהן</w:t>
      </w:r>
      <w:r>
        <w:rPr>
          <w:rtl w:val="true"/>
        </w:rPr>
        <w:t xml:space="preserve">. </w:t>
      </w:r>
      <w:r>
        <w:rPr>
          <w:rtl w:val="true"/>
        </w:rPr>
        <w:t>כן שלח תמונות אינטימיות לקטינות ופעמים רבות עשה זאת גם לאחר שהביעו את התנגדותן לכך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הואשם גם בהחזקת חומר תועבה עם דמות קטין</w:t>
      </w:r>
      <w:r>
        <w:rPr>
          <w:rtl w:val="true"/>
        </w:rPr>
        <w:t xml:space="preserve">, </w:t>
      </w:r>
      <w:r>
        <w:rPr>
          <w:rtl w:val="true"/>
        </w:rPr>
        <w:t xml:space="preserve">לאחר שביום </w:t>
      </w:r>
      <w:r>
        <w:rPr/>
        <w:t>5.11.2017</w:t>
      </w:r>
      <w:r>
        <w:rPr>
          <w:rtl w:val="true"/>
        </w:rPr>
        <w:t xml:space="preserve"> </w:t>
      </w:r>
      <w:r>
        <w:rPr>
          <w:rtl w:val="true"/>
        </w:rPr>
        <w:t>נמצאו בביתו מחשבים</w:t>
      </w:r>
      <w:r>
        <w:rPr>
          <w:rtl w:val="true"/>
        </w:rPr>
        <w:t xml:space="preserve">, </w:t>
      </w:r>
      <w:r>
        <w:rPr>
          <w:rtl w:val="true"/>
        </w:rPr>
        <w:t>תקליטורים וטלפונים סלולריים המכילים חומרי תועבה רבים ובהם דמויותיהם של קטינים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בעובדות כתב האישום המתוקן בהתאם להודאתו במסגרת הסדר טיעון שלא כלל הסכמה לגבי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22.5.2019</w:t>
      </w:r>
      <w:r>
        <w:rPr>
          <w:rtl w:val="true"/>
        </w:rPr>
        <w:t xml:space="preserve"> </w:t>
      </w:r>
      <w:r>
        <w:rPr>
          <w:rtl w:val="true"/>
        </w:rPr>
        <w:t>עמד בית המשפט המחוזי על חומרת מעשיו של המערער אשר ביצע עבירות מין רבות</w:t>
      </w:r>
      <w:r>
        <w:rPr>
          <w:rtl w:val="true"/>
        </w:rPr>
        <w:t xml:space="preserve">, </w:t>
      </w:r>
      <w:r>
        <w:rPr>
          <w:rtl w:val="true"/>
        </w:rPr>
        <w:t xml:space="preserve">שידול וסחיטה במספר רב של קטינות בגילאי </w:t>
      </w:r>
      <w:r>
        <w:rPr/>
        <w:t>13-10</w:t>
      </w:r>
      <w:r>
        <w:rPr>
          <w:rtl w:val="true"/>
        </w:rPr>
        <w:t xml:space="preserve"> </w:t>
      </w:r>
      <w:r>
        <w:rPr>
          <w:rtl w:val="true"/>
        </w:rPr>
        <w:t>במשך תקופה של חמישה חודשים לכל הפחות</w:t>
      </w:r>
      <w:r>
        <w:rPr>
          <w:rtl w:val="true"/>
        </w:rPr>
        <w:t xml:space="preserve">. </w:t>
      </w:r>
      <w:r>
        <w:rPr>
          <w:rtl w:val="true"/>
        </w:rPr>
        <w:t>בית המשפט ציין כי כל אישום מהווה אירוע נפרד המצדיק קביעת מתחם ענישה נפרד כאשר יש טעם של ממש בחלוקת האישומים לקטגוריות על בסיס הדמיון הקיים בין האירועים בכל קטגוריה</w:t>
      </w:r>
      <w:r>
        <w:rPr>
          <w:rtl w:val="true"/>
        </w:rPr>
        <w:t xml:space="preserve">. </w:t>
      </w:r>
      <w:r>
        <w:rPr>
          <w:rtl w:val="true"/>
        </w:rPr>
        <w:t>לפיכך חילק בית המשפט את האישומים בכתב האישום לשלוש קטגוריות</w:t>
      </w:r>
      <w:r>
        <w:rPr>
          <w:rtl w:val="true"/>
        </w:rPr>
        <w:t xml:space="preserve">: </w:t>
      </w:r>
      <w:r>
        <w:rPr>
          <w:rtl w:val="true"/>
        </w:rPr>
        <w:t>בקטגוריה הראשונה נכלל האישום החמור ביותר</w:t>
      </w:r>
      <w:r>
        <w:rPr>
          <w:rtl w:val="true"/>
        </w:rPr>
        <w:t xml:space="preserve">, </w:t>
      </w:r>
      <w:r>
        <w:rPr>
          <w:rtl w:val="true"/>
        </w:rPr>
        <w:t>בו הורשע המערער בגרם מעשה אינוס</w:t>
      </w:r>
      <w:r>
        <w:rPr>
          <w:rtl w:val="true"/>
        </w:rPr>
        <w:t xml:space="preserve">, </w:t>
      </w:r>
      <w:r>
        <w:rPr>
          <w:rtl w:val="true"/>
        </w:rPr>
        <w:t>גרם מעשה סדום</w:t>
      </w:r>
      <w:r>
        <w:rPr>
          <w:rtl w:val="true"/>
        </w:rPr>
        <w:t xml:space="preserve">, </w:t>
      </w:r>
      <w:r>
        <w:rPr>
          <w:rtl w:val="true"/>
        </w:rPr>
        <w:t>ביצוע מעשה מגונה בקטינה</w:t>
      </w:r>
      <w:r>
        <w:rPr>
          <w:rtl w:val="true"/>
        </w:rPr>
        <w:t xml:space="preserve">, </w:t>
      </w:r>
      <w:r>
        <w:rPr>
          <w:rtl w:val="true"/>
        </w:rPr>
        <w:t>גרם מעשה מגונה בקטינה והטרדה מינית</w:t>
      </w:r>
      <w:r>
        <w:rPr>
          <w:rtl w:val="true"/>
        </w:rPr>
        <w:t xml:space="preserve">; </w:t>
      </w:r>
      <w:r>
        <w:rPr>
          <w:rtl w:val="true"/>
        </w:rPr>
        <w:t>בקטגוריה השניי</w:t>
      </w:r>
      <w:r>
        <w:rPr>
          <w:rtl w:val="true"/>
        </w:rPr>
        <w:t>ה</w:t>
      </w:r>
      <w:r>
        <w:rPr>
          <w:rtl w:val="true"/>
        </w:rPr>
        <w:t xml:space="preserve"> נכללו שניים מהאישומים אשר כללו גם רכיב של סחיטה באיומים</w:t>
      </w:r>
      <w:r>
        <w:rPr>
          <w:rtl w:val="true"/>
        </w:rPr>
        <w:t xml:space="preserve">; </w:t>
      </w:r>
      <w:r>
        <w:rPr>
          <w:rtl w:val="true"/>
        </w:rPr>
        <w:t>בקטגוריה השלישית נכללו שאר האישומים</w:t>
      </w:r>
      <w:r>
        <w:rPr>
          <w:rtl w:val="true"/>
        </w:rPr>
        <w:t xml:space="preserve">, </w:t>
      </w:r>
      <w:r>
        <w:rPr>
          <w:rtl w:val="true"/>
        </w:rPr>
        <w:t>למעט אישום אחד הנוגע להחזקת חומר התועבה אשר נבחן בנפרד</w:t>
      </w:r>
      <w:r>
        <w:rPr>
          <w:rtl w:val="true"/>
        </w:rPr>
        <w:t xml:space="preserve">. </w:t>
      </w:r>
      <w:r>
        <w:rPr>
          <w:rtl w:val="true"/>
        </w:rPr>
        <w:t>בית המשפט ציין את חומרתן הרבה של עבירות במרחב המרשתת</w:t>
      </w:r>
      <w:r>
        <w:rPr>
          <w:rtl w:val="true"/>
        </w:rPr>
        <w:t xml:space="preserve">, </w:t>
      </w:r>
      <w:r>
        <w:rPr>
          <w:rtl w:val="true"/>
        </w:rPr>
        <w:t>אשר אינן נופלות בעוצמת פגיעתן במתלוננות ובערכים חברתיים מוגנים מעבירות מין הכוללות מגע פיזי בין נאשם לקורבנותיו</w:t>
      </w:r>
      <w:r>
        <w:rPr>
          <w:rtl w:val="true"/>
        </w:rPr>
        <w:t xml:space="preserve">. </w:t>
      </w:r>
      <w:r>
        <w:rPr>
          <w:rtl w:val="true"/>
        </w:rPr>
        <w:t>בעבירות אלה נפגעות המתלוננות בביתן המוגן לכאורה על ידי עבריין המתחבא בביתו בצורה המקלה על ביצוע העבירה</w:t>
      </w:r>
      <w:r>
        <w:rPr>
          <w:rtl w:val="true"/>
        </w:rPr>
        <w:t xml:space="preserve">, </w:t>
      </w:r>
      <w:r>
        <w:rPr>
          <w:rtl w:val="true"/>
        </w:rPr>
        <w:t>מערפלת את תחושת הפגיעה וגוררת פעמים רבות מעשי סחיטה ואיומים</w:t>
      </w:r>
      <w:r>
        <w:rPr>
          <w:rtl w:val="true"/>
        </w:rPr>
        <w:t xml:space="preserve">. </w:t>
      </w:r>
      <w:r>
        <w:rPr>
          <w:rtl w:val="true"/>
        </w:rPr>
        <w:t>המערער תכנן את העבירות שביצע בקטינות וניצל את תמימותן תוך שהוא מכיר בחומרת מעשיו ובוחר לא להימנע מהם על אף שהיה עליו לצפות את הנזק שעלול להיגרם לקטינות</w:t>
      </w:r>
      <w:r>
        <w:rPr>
          <w:rtl w:val="true"/>
        </w:rPr>
        <w:t xml:space="preserve">. </w:t>
      </w:r>
      <w:r>
        <w:rPr>
          <w:rtl w:val="true"/>
        </w:rPr>
        <w:t>עוד צוינה הפגיעה הממשית בנפגעות העבירה</w:t>
      </w:r>
      <w:r>
        <w:rPr>
          <w:rtl w:val="true"/>
        </w:rPr>
        <w:t xml:space="preserve">, </w:t>
      </w:r>
      <w:r>
        <w:rPr>
          <w:rtl w:val="true"/>
        </w:rPr>
        <w:t>אשר נלמדה בין היתר מתסקיר שנערך לאחת מהן</w:t>
      </w:r>
      <w:r>
        <w:rPr>
          <w:rtl w:val="true"/>
        </w:rPr>
        <w:t xml:space="preserve">, </w:t>
      </w:r>
      <w:r>
        <w:rPr>
          <w:rtl w:val="true"/>
        </w:rPr>
        <w:t>מבלי שמתעורר הצורך בהגשת תסקיר לגבי כל אחת ואחת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לקטגוריה הראשונה נקבע מתחם ענישה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r>
        <w:rPr>
          <w:rtl w:val="true"/>
        </w:rPr>
        <w:t xml:space="preserve">לקטגוריה השנייה נקבע מתחם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r>
        <w:rPr>
          <w:rtl w:val="true"/>
        </w:rPr>
        <w:t xml:space="preserve">ולקטגוריה השלישית נקבע מתחם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לגבי החזקת פרסום תועבה נקבע מתחם ענישה בין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על מנת למקם את העונש בתוך מתחמי הענישה</w:t>
      </w:r>
      <w:r>
        <w:rPr>
          <w:rtl w:val="true"/>
        </w:rPr>
        <w:t xml:space="preserve">, </w:t>
      </w:r>
      <w:r>
        <w:rPr>
          <w:rtl w:val="true"/>
        </w:rPr>
        <w:t>בחן בית המשפט נסיבות שונות שאינן קשורות בביצוע העבירות</w:t>
      </w:r>
      <w:r>
        <w:rPr>
          <w:rtl w:val="true"/>
        </w:rPr>
        <w:t xml:space="preserve">. </w:t>
      </w:r>
      <w:r>
        <w:rPr>
          <w:rtl w:val="true"/>
        </w:rPr>
        <w:t>בפרט התייחס לנסיבות חייו הקשות של המערער אשר נלמדו מתסקיר שירות המבחן ודו</w:t>
      </w:r>
      <w:r>
        <w:rPr>
          <w:rtl w:val="true"/>
        </w:rPr>
        <w:t>"</w:t>
      </w:r>
      <w:r>
        <w:rPr>
          <w:rtl w:val="true"/>
        </w:rPr>
        <w:t>ח הערכת המסוכנות</w:t>
      </w:r>
      <w:r>
        <w:rPr>
          <w:rtl w:val="true"/>
        </w:rPr>
        <w:t xml:space="preserve">, </w:t>
      </w:r>
      <w:r>
        <w:rPr>
          <w:rtl w:val="true"/>
        </w:rPr>
        <w:t>ובמיוחד לטענתו לפיה הותקף מינית בעצמו בהיותו קטין ומאז גורר עמו קשיים רבים בחייו הבוגרים אשר חלקם עומדים ברקע למעשיו</w:t>
      </w:r>
      <w:r>
        <w:rPr>
          <w:rtl w:val="true"/>
        </w:rPr>
        <w:t xml:space="preserve">. </w:t>
      </w:r>
      <w:r>
        <w:rPr>
          <w:rtl w:val="true"/>
        </w:rPr>
        <w:t>נשקלו גם היעדרו של עבר פלילי</w:t>
      </w:r>
      <w:r>
        <w:rPr>
          <w:rtl w:val="true"/>
        </w:rPr>
        <w:t xml:space="preserve">, </w:t>
      </w:r>
      <w:r>
        <w:rPr>
          <w:rtl w:val="true"/>
        </w:rPr>
        <w:t>הודאתו במיוחס לו וההכרה בחומרת המעשים ובחשיבות הטיפול המוצע לו</w:t>
      </w:r>
      <w:r>
        <w:rPr>
          <w:rtl w:val="true"/>
        </w:rPr>
        <w:t xml:space="preserve">. </w:t>
      </w:r>
      <w:r>
        <w:rPr>
          <w:rtl w:val="true"/>
        </w:rPr>
        <w:t>מנגד צוינו שיקולי הרתעה אשר מצדיקים ענישה משמעותית נוכח אופי המעשים</w:t>
      </w:r>
      <w:r>
        <w:rPr>
          <w:rtl w:val="true"/>
        </w:rPr>
        <w:t xml:space="preserve">. </w:t>
      </w:r>
      <w:r>
        <w:rPr>
          <w:rtl w:val="true"/>
        </w:rPr>
        <w:t>לבסוף הוטלו על המערער העונשים שפורטו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טען כי על אף חומרתן הרבה של עבירות מין במרחב הווירטואלי</w:t>
      </w:r>
      <w:r>
        <w:rPr>
          <w:rtl w:val="true"/>
        </w:rPr>
        <w:t xml:space="preserve">, </w:t>
      </w:r>
      <w:r>
        <w:rPr>
          <w:rtl w:val="true"/>
        </w:rPr>
        <w:t>אין לייחס להן חומרה זהה לעבירות מין הכוללות מרכיב פיזי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שגה בית המשפט כאשר גזר ביניהן </w:t>
      </w:r>
      <w:r>
        <w:rPr>
          <w:rtl w:val="true"/>
        </w:rPr>
        <w:t>"</w:t>
      </w:r>
      <w:r>
        <w:rPr>
          <w:rtl w:val="true"/>
        </w:rPr>
        <w:t>גזירה שווה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העונש אשר נגזר עליו אינו מידתי ואינו תואם את מבחני הפסיקה ואת רף הענישה המקובל בעבירות מהסוג הנדון ובנסיבות המאפיינות את ענייננו</w:t>
      </w:r>
      <w:r>
        <w:rPr>
          <w:rtl w:val="true"/>
        </w:rPr>
        <w:t xml:space="preserve">. </w:t>
      </w:r>
      <w:r>
        <w:rPr>
          <w:rtl w:val="true"/>
        </w:rPr>
        <w:t>בית המשפט שגה כאשר לא הביא בחשבון את הצורך להעלות את רף הענישה באופן הדרגתי ובכך שלא ביצע בחינה כפולה של רף הענישה</w:t>
      </w:r>
      <w:r>
        <w:rPr>
          <w:rtl w:val="true"/>
        </w:rPr>
        <w:t xml:space="preserve">, </w:t>
      </w:r>
      <w:r>
        <w:rPr>
          <w:rtl w:val="true"/>
        </w:rPr>
        <w:t>הכוללת בחינה קפדנית של חומרת הענישה המקובלת במקרים דומים ובמקרים חמורים יותר מענייננו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נפגע עיקרון אחידות הענישה</w:t>
      </w:r>
      <w:r>
        <w:rPr>
          <w:rtl w:val="true"/>
        </w:rPr>
        <w:t xml:space="preserve">. </w:t>
      </w:r>
      <w:r>
        <w:rPr>
          <w:rtl w:val="true"/>
        </w:rPr>
        <w:t>גם לא ניתן משקל ראוי לעובדה כי הוא עצמו נפל קרבן לעבירות מין בילדותו ולהשלכות של עובדה זו על נסיבות חייו וממילא גם על ביצוע העבירות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לא ניתן משקל מתאים להודאתו המוקדמת אשר חסכה את העדת המתלוננות ולהיותה חלק מהסדר טיעון</w:t>
      </w:r>
      <w:r>
        <w:rPr>
          <w:rtl w:val="true"/>
        </w:rPr>
        <w:t xml:space="preserve">. </w:t>
      </w:r>
      <w:r>
        <w:rPr>
          <w:rtl w:val="true"/>
        </w:rPr>
        <w:t>לא נשקלו כראוי גם מחלתו אשר החמירה בעקבות תנאי מעצרו</w:t>
      </w:r>
      <w:r>
        <w:rPr>
          <w:rtl w:val="true"/>
        </w:rPr>
        <w:t xml:space="preserve">, </w:t>
      </w:r>
      <w:r>
        <w:rPr>
          <w:rtl w:val="true"/>
        </w:rPr>
        <w:t>הקשיים הרבים שמעצרו גרם לו ולמשפחתו והיעדרו של עבר פלילי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שגה בית המשפט כשלא קבע מתחם ענישה אחיד לכלל האירועים ובכך שקבע עונש כולל הוא מנע כל אפשרות להבנת גזר הדין והמשקל שניתן לרכיבים השונים של העונש</w:t>
      </w:r>
      <w:r>
        <w:rPr>
          <w:rtl w:val="true"/>
        </w:rPr>
        <w:t xml:space="preserve">. </w:t>
      </w:r>
      <w:r>
        <w:rPr>
          <w:rtl w:val="true"/>
        </w:rPr>
        <w:t>טעמים אלו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תוך הפניית בית המשפט לשורה ארוכה של פסקי דין</w:t>
      </w:r>
      <w:r>
        <w:rPr>
          <w:rtl w:val="true"/>
        </w:rPr>
        <w:t xml:space="preserve">, </w:t>
      </w:r>
      <w:r>
        <w:rPr>
          <w:rtl w:val="true"/>
        </w:rPr>
        <w:t>מצדיקים הקלה בעונש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סמכה ידיה על גזר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לטענתה השוואה בין גזרי הדין אליהם הפנה בא כוח המערער לבין גזר הדין מושא הערעור ואבחון מתאים של חומרת המעשים והיקפם</w:t>
      </w:r>
      <w:r>
        <w:rPr>
          <w:rtl w:val="true"/>
        </w:rPr>
        <w:t xml:space="preserve">, </w:t>
      </w:r>
      <w:r>
        <w:rPr>
          <w:rtl w:val="true"/>
        </w:rPr>
        <w:t>אבחון אשר התבצע בגזר הדין</w:t>
      </w:r>
      <w:r>
        <w:rPr>
          <w:rtl w:val="true"/>
        </w:rPr>
        <w:t xml:space="preserve">, </w:t>
      </w:r>
      <w:r>
        <w:rPr>
          <w:rtl w:val="true"/>
        </w:rPr>
        <w:t>מלמדים כי העונש שנגזר אינו חורג ממדיניות הענישה הנהוגה</w:t>
      </w:r>
      <w:r>
        <w:rPr>
          <w:rtl w:val="true"/>
        </w:rPr>
        <w:t xml:space="preserve">. </w:t>
      </w:r>
      <w:r>
        <w:rPr>
          <w:rtl w:val="true"/>
        </w:rPr>
        <w:t>תוצאה זו מתבקשת גם בהתייחס למסוכנות הגבוהה אשר יוחסה למערער על ידי שירות המבחן</w:t>
      </w:r>
      <w:r>
        <w:rPr>
          <w:rtl w:val="true"/>
        </w:rPr>
        <w:t xml:space="preserve">. </w:t>
      </w:r>
      <w:r>
        <w:rPr>
          <w:rtl w:val="true"/>
        </w:rPr>
        <w:t>המשיבה עמדה על כך כי המרחב הווירטואלי הפך כר פורה לעבריינות מין</w:t>
      </w:r>
      <w:r>
        <w:rPr>
          <w:rtl w:val="true"/>
        </w:rPr>
        <w:t xml:space="preserve">, </w:t>
      </w:r>
      <w:r>
        <w:rPr>
          <w:rtl w:val="true"/>
        </w:rPr>
        <w:t>אשר גורם לתוצאות קשות הזהות לתוצאות המוכרות של עבריינות מין המתבצעת במרחב הפיזי</w:t>
      </w:r>
      <w:r>
        <w:rPr>
          <w:rtl w:val="true"/>
        </w:rPr>
        <w:t xml:space="preserve">. </w:t>
      </w:r>
      <w:r>
        <w:rPr>
          <w:rtl w:val="true"/>
        </w:rPr>
        <w:t>אין מנוס אפוא מהעברת מסר מרתיע חד משמעי באמצעות ענישה בלתי מתפשרת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בחומר שבכתב ושמיעת טענות הצדדים בעל</w:t>
      </w:r>
      <w:r>
        <w:rPr>
          <w:rtl w:val="true"/>
        </w:rPr>
        <w:t>-</w:t>
      </w:r>
      <w:r>
        <w:rPr>
          <w:rtl w:val="true"/>
        </w:rPr>
        <w:t>פה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 להידחות וכך אציע לחבריי לעשות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כלל ידוע הוא שערכאת הערעור אינה נוטה להתערב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שבהן העונש חורג באופן קיצוני מהענישה המקובלת במקרים דומים</w:t>
      </w:r>
      <w:r>
        <w:rPr>
          <w:rtl w:val="true"/>
        </w:rPr>
        <w:t xml:space="preserve">, </w:t>
      </w:r>
      <w:r>
        <w:rPr>
          <w:rtl w:val="true"/>
        </w:rPr>
        <w:t>או כאשר נפלה טעות בולטת בגזר 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לדוגמה לאחרונה</w:t>
      </w:r>
      <w:r>
        <w:rPr>
          <w:rtl w:val="true"/>
        </w:rPr>
        <w:t xml:space="preserve">: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(</w:t>
      </w:r>
      <w:r>
        <w:rPr/>
        <w:t>20.10.2020</w:t>
      </w:r>
      <w:r>
        <w:rPr>
          <w:rtl w:val="true"/>
        </w:rPr>
        <w:t xml:space="preserve">);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(</w:t>
      </w:r>
      <w:r>
        <w:rPr/>
        <w:t>12.7.2020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18.6.2020</w:t>
      </w:r>
      <w:r>
        <w:rPr>
          <w:rtl w:val="true"/>
        </w:rPr>
        <w:t xml:space="preserve">)). </w:t>
      </w:r>
      <w:r>
        <w:rPr>
          <w:rtl w:val="true"/>
        </w:rPr>
        <w:t>עניינו של המערער אינו נמנה על אותם מקרים חריגים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ענייננו בעבירות מין חמורות אשר בוצעו במשך מספר חודשים במספר רב של קטינות</w:t>
      </w:r>
      <w:r>
        <w:rPr>
          <w:rtl w:val="true"/>
        </w:rPr>
        <w:t xml:space="preserve">. </w:t>
      </w:r>
      <w:r>
        <w:rPr>
          <w:rtl w:val="true"/>
        </w:rPr>
        <w:t>עבירות אלה בוצעו באמצעות ישומונים שונים המשמשים כרשתות חברתיות במרחב הווירטואלי</w:t>
      </w:r>
      <w:r>
        <w:rPr>
          <w:rtl w:val="true"/>
        </w:rPr>
        <w:t xml:space="preserve">. </w:t>
      </w:r>
      <w:r>
        <w:rPr>
          <w:rtl w:val="true"/>
        </w:rPr>
        <w:t>עבירות מסוג זה נדונו בפסיקת בית משפט זה</w:t>
      </w:r>
      <w:r>
        <w:rPr>
          <w:rtl w:val="true"/>
        </w:rPr>
        <w:t xml:space="preserve">, </w:t>
      </w:r>
      <w:r>
        <w:rPr>
          <w:rtl w:val="true"/>
        </w:rPr>
        <w:t>אשר קבע לא אחת כי על אף שאינן כוללות מרכיב של מגע פיזי בין הנאשם לקרבן</w:t>
      </w:r>
      <w:r>
        <w:rPr>
          <w:rtl w:val="true"/>
        </w:rPr>
        <w:t xml:space="preserve">, </w:t>
      </w:r>
      <w:r>
        <w:rPr>
          <w:rtl w:val="true"/>
        </w:rPr>
        <w:t xml:space="preserve">חומרתן רבה והן ראויות לעונשים חמורים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3.3.2020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/>
        <w:t>11.11.2018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פינטו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11.9.2016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פינטו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חומרתן הרבה של עבירות המין במרחב הווירטואלי נובעת ממאפייניהן הייחודיי</w:t>
      </w:r>
      <w:r>
        <w:rPr>
          <w:rtl w:val="true"/>
        </w:rPr>
        <w:t>ם</w:t>
      </w:r>
      <w:r>
        <w:rPr>
          <w:rtl w:val="true"/>
        </w:rPr>
        <w:t xml:space="preserve"> והמסוכנים</w:t>
      </w:r>
      <w:r>
        <w:rPr>
          <w:rtl w:val="true"/>
        </w:rPr>
        <w:t xml:space="preserve">, </w:t>
      </w:r>
      <w:r>
        <w:rPr>
          <w:rtl w:val="true"/>
        </w:rPr>
        <w:t>ביניהם הקלות בה ניתן לבצען בתדירות גבוהה בנפגעות שונות ופוטנציאל הפגיעה הנרחב שלהן</w:t>
      </w:r>
      <w:r>
        <w:rPr>
          <w:rtl w:val="true"/>
        </w:rPr>
        <w:t xml:space="preserve">. </w:t>
      </w:r>
      <w:r>
        <w:rPr>
          <w:rtl w:val="true"/>
        </w:rPr>
        <w:t>בניגוד לעבריין מין הפועל במרחב הפיזי</w:t>
      </w:r>
      <w:r>
        <w:rPr>
          <w:rtl w:val="true"/>
        </w:rPr>
        <w:t xml:space="preserve">, </w:t>
      </w:r>
      <w:r>
        <w:rPr>
          <w:rtl w:val="true"/>
        </w:rPr>
        <w:t>עבריין מין הפועל במרחב הווירטואלי בביתו אינו חשוף לכל עין בוחנת</w:t>
      </w:r>
      <w:r>
        <w:rPr>
          <w:rtl w:val="true"/>
        </w:rPr>
        <w:t xml:space="preserve">. </w:t>
      </w:r>
      <w:r>
        <w:rPr>
          <w:rtl w:val="true"/>
        </w:rPr>
        <w:t>הוא מסתתר בין קירות ביתו ומאחורי זהויות בדויות בלא כל הפרעה</w:t>
      </w:r>
      <w:r>
        <w:rPr>
          <w:rtl w:val="true"/>
        </w:rPr>
        <w:t xml:space="preserve">. </w:t>
      </w:r>
      <w:r>
        <w:rPr>
          <w:rtl w:val="true"/>
        </w:rPr>
        <w:t>מרחבי הרשת פרושים לפניו וכוללים אפשרויות מגוונות לפגיעה מינית</w:t>
      </w:r>
      <w:r>
        <w:rPr>
          <w:rtl w:val="true"/>
        </w:rPr>
        <w:t xml:space="preserve">. </w:t>
      </w:r>
      <w:r>
        <w:rPr>
          <w:rtl w:val="true"/>
        </w:rPr>
        <w:t>פגיעה זו יכולה להתבצע בדרכים שונות הכוללות יצירת קשר דרך ממשקים מקוונים ועלולה להביא גם לפגיעות מיניות במרחב הפיזי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 xml:space="preserve">נדמה כי המרחק הפיזי בין העבריין לקרבן גורר עמו גם מרחק נפשי ורגשי ביניהם ומעוות את תפיסתו האנושית של העבריין בצורה המחמירה את התנהגותו העבריינית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אותו מרחק בין העבריין לקרבן הוא אשר גם מהתל ומתעתע בנפגעי העבירה ומאפשר את הפגיעה בהם בסביבתם המוגנת ובהיעדר כל חשד מצדם לגבי זהות העבריין</w:t>
      </w:r>
      <w:r>
        <w:rPr>
          <w:rtl w:val="true"/>
        </w:rPr>
        <w:t xml:space="preserve">. </w:t>
      </w:r>
      <w:r>
        <w:rPr>
          <w:rtl w:val="true"/>
        </w:rPr>
        <w:t>לא סוד הוא כי בשנים האחרונות הולך וגובר השימוש ברשתות החברתיות השונות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חדרו רשתות אלה לעולמם של ילדים רבים צעירים מאוד בגילם</w:t>
      </w:r>
      <w:r>
        <w:rPr>
          <w:rtl w:val="true"/>
        </w:rPr>
        <w:t xml:space="preserve">, </w:t>
      </w:r>
      <w:r>
        <w:rPr>
          <w:rtl w:val="true"/>
        </w:rPr>
        <w:t>אשר חשופים במידה הולכת וגוברת לפוטנציאל לפגיעות מיניות</w:t>
      </w:r>
      <w:r>
        <w:rPr>
          <w:rtl w:val="true"/>
        </w:rPr>
        <w:t xml:space="preserve">. </w:t>
      </w:r>
      <w:r>
        <w:rPr>
          <w:rtl w:val="true"/>
        </w:rPr>
        <w:t xml:space="preserve">העובדה שהמעשים נעשים במרחב הווירטואלי אינה גורעת למרבה הצער מהנזקים הנפשיים הממשיים הנגרמים לנפגעי העבירה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6703/13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16.1.2014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)). </w:t>
      </w:r>
      <w:r>
        <w:rPr>
          <w:rtl w:val="true"/>
        </w:rPr>
        <w:t xml:space="preserve">הדבר ניכר גם בתסקירי נפגעות העבירה שהוגשו בדיון שהתקיים לפנינו ביחס לנפגעות באישומים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 מצביעים על הנזקים החמורים שנגרמו להן וההשלכות הקשות כתוצאה מכך</w:t>
      </w:r>
      <w:r>
        <w:rPr>
          <w:rtl w:val="true"/>
        </w:rPr>
        <w:t xml:space="preserve">. </w:t>
      </w:r>
      <w:r>
        <w:rPr>
          <w:rtl w:val="true"/>
        </w:rPr>
        <w:t>ביניהם בדידות והסתגרות</w:t>
      </w:r>
      <w:r>
        <w:rPr>
          <w:rtl w:val="true"/>
        </w:rPr>
        <w:t xml:space="preserve">; </w:t>
      </w:r>
      <w:r>
        <w:rPr>
          <w:rtl w:val="true"/>
        </w:rPr>
        <w:t>מצוקה רגשית</w:t>
      </w:r>
      <w:r>
        <w:rPr>
          <w:rtl w:val="true"/>
        </w:rPr>
        <w:t xml:space="preserve">; </w:t>
      </w:r>
      <w:r>
        <w:rPr>
          <w:rtl w:val="true"/>
        </w:rPr>
        <w:t>מצבי רוח ירודים</w:t>
      </w:r>
      <w:r>
        <w:rPr>
          <w:rtl w:val="true"/>
        </w:rPr>
        <w:t xml:space="preserve">; </w:t>
      </w:r>
      <w:r>
        <w:rPr>
          <w:rtl w:val="true"/>
        </w:rPr>
        <w:t>קשיי שינה</w:t>
      </w:r>
      <w:r>
        <w:rPr>
          <w:rtl w:val="true"/>
        </w:rPr>
        <w:t xml:space="preserve">; </w:t>
      </w:r>
      <w:r>
        <w:rPr>
          <w:rtl w:val="true"/>
        </w:rPr>
        <w:t>שינוי הרגלי תזונה</w:t>
      </w:r>
      <w:r>
        <w:rPr>
          <w:rtl w:val="true"/>
        </w:rPr>
        <w:t xml:space="preserve">; </w:t>
      </w:r>
      <w:r>
        <w:rPr>
          <w:rtl w:val="true"/>
        </w:rPr>
        <w:t>ירידה בדימוי העצמי ואף מחשבות אובדניות</w:t>
      </w:r>
      <w:r>
        <w:rPr>
          <w:rtl w:val="true"/>
        </w:rPr>
        <w:t xml:space="preserve">. </w:t>
      </w:r>
      <w:r>
        <w:rPr>
          <w:rtl w:val="true"/>
        </w:rPr>
        <w:t xml:space="preserve">פוטנציאל הנזק חמור במיוחד גם לאור קלות השכפול וההפצה המאפיינים את העברת המידע במרחב הווירטואלי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פינטו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 xml:space="preserve">אפשרויות אלה גוררות עמן אלמנט מסוכן נוסף </w:t>
      </w:r>
      <w:r>
        <w:rPr>
          <w:rtl w:val="true"/>
        </w:rPr>
        <w:t>–</w:t>
      </w:r>
      <w:r>
        <w:rPr>
          <w:rtl w:val="true"/>
        </w:rPr>
        <w:t xml:space="preserve"> תכיפות גבוהה של שימוש אכזרי בסחיטה ואיומים על ידי עברייני מין אשר מטילים אימה על נפגעות העבירה ושוללים מהן הלכה למעשה את חירותן הבסיסית ביותר</w:t>
      </w:r>
      <w:r>
        <w:rPr>
          <w:rtl w:val="true"/>
        </w:rPr>
        <w:t xml:space="preserve">, </w:t>
      </w:r>
      <w:r>
        <w:rPr>
          <w:rtl w:val="true"/>
        </w:rPr>
        <w:t>את פרטיותן ואת כבודן</w:t>
      </w:r>
      <w:r>
        <w:rPr>
          <w:rtl w:val="true"/>
        </w:rPr>
        <w:t xml:space="preserve">. </w:t>
      </w:r>
      <w:r>
        <w:rPr>
          <w:rtl w:val="true"/>
        </w:rPr>
        <w:t>מאפיינים אלה</w:t>
      </w:r>
      <w:r>
        <w:rPr>
          <w:rtl w:val="true"/>
        </w:rPr>
        <w:t xml:space="preserve">, </w:t>
      </w:r>
      <w:r>
        <w:rPr>
          <w:rtl w:val="true"/>
        </w:rPr>
        <w:t>ובפרט הפגיעה בקטינים אשר זהותם האישית והמינית טרם התעצבה</w:t>
      </w:r>
      <w:r>
        <w:rPr>
          <w:rtl w:val="true"/>
        </w:rPr>
        <w:t xml:space="preserve">, </w:t>
      </w:r>
      <w:r>
        <w:rPr>
          <w:rtl w:val="true"/>
        </w:rPr>
        <w:t xml:space="preserve">מדגישים ביתר שאת את הצורך החברתי המהותי בהרתעת היחיד והרבים מביצוע עבירות מין בכלל ועבירות מן הסוג הנדון בפרט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46</w:t>
      </w:r>
      <w:r>
        <w:rPr>
          <w:rtl w:val="true"/>
        </w:rPr>
        <w:t xml:space="preserve"> (</w:t>
      </w:r>
      <w:r>
        <w:rPr/>
        <w:t>20.10.2020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519/19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5.2.2019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24.7.2006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בהקשר זה מסכים אני עם עמדתו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גזרי הדין שנגזרו בעבר על עברייני מין במרחב הווירטואלי הושפעו לעתים לקולא גם מטעמים של </w:t>
      </w:r>
      <w:r>
        <w:rPr>
          <w:rtl w:val="true"/>
        </w:rPr>
        <w:t>"</w:t>
      </w:r>
      <w:r>
        <w:rPr>
          <w:rtl w:val="true"/>
        </w:rPr>
        <w:t>הדרגתיות</w:t>
      </w:r>
      <w:r>
        <w:rPr>
          <w:rtl w:val="true"/>
        </w:rPr>
        <w:t xml:space="preserve">" </w:t>
      </w:r>
      <w:r>
        <w:rPr>
          <w:rtl w:val="true"/>
        </w:rPr>
        <w:t>אשר לנוכח התפשטות התופעה אינם מתאימים עוד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אין לקבל את טענת בא</w:t>
      </w:r>
      <w:r>
        <w:rPr>
          <w:rtl w:val="true"/>
        </w:rPr>
        <w:t>-</w:t>
      </w:r>
      <w:r>
        <w:rPr>
          <w:rtl w:val="true"/>
        </w:rPr>
        <w:t>כוח המערער לפיה חומרת הענישה בגזר הדין חורגת מרף הענישה המקובל בעבירות אלה</w:t>
      </w:r>
      <w:r>
        <w:rPr>
          <w:rtl w:val="true"/>
        </w:rPr>
        <w:t xml:space="preserve">, </w:t>
      </w:r>
      <w:r>
        <w:rPr>
          <w:rtl w:val="true"/>
        </w:rPr>
        <w:t>באופן המצדיק התערבות ערכאת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שורה נוספת של טענות פרשֹ בא</w:t>
      </w:r>
      <w:r>
        <w:rPr>
          <w:rtl w:val="true"/>
        </w:rPr>
        <w:t>-</w:t>
      </w:r>
      <w:r>
        <w:rPr>
          <w:rtl w:val="true"/>
        </w:rPr>
        <w:t>כוח המערער כלפי היעדר המשקל או המשקל הנמוך שניתן בגזר הדין לנסיבות שונות הנוגעות למערער ולהתנהלותו הדיונית</w:t>
      </w:r>
      <w:r>
        <w:rPr>
          <w:rtl w:val="true"/>
        </w:rPr>
        <w:t xml:space="preserve">. </w:t>
      </w:r>
      <w:r>
        <w:rPr>
          <w:rtl w:val="true"/>
        </w:rPr>
        <w:t>אין לקבל טענות אלה</w:t>
      </w:r>
      <w:r>
        <w:rPr>
          <w:rtl w:val="true"/>
        </w:rPr>
        <w:t xml:space="preserve">. </w:t>
      </w:r>
      <w:r>
        <w:rPr>
          <w:rtl w:val="true"/>
        </w:rPr>
        <w:t>גזר הדין מתייחס בפירוט לנסיבות הרבות אשר תאר בא</w:t>
      </w:r>
      <w:r>
        <w:rPr>
          <w:rtl w:val="true"/>
        </w:rPr>
        <w:t>-</w:t>
      </w:r>
      <w:r>
        <w:rPr>
          <w:rtl w:val="true"/>
        </w:rPr>
        <w:t>כוח המערער בפנינו ואף שוקל את רובן המוחלט לקולא בקביעת העונש</w:t>
      </w:r>
      <w:r>
        <w:rPr>
          <w:rtl w:val="true"/>
        </w:rPr>
        <w:t xml:space="preserve">. </w:t>
      </w:r>
      <w:r>
        <w:rPr>
          <w:rtl w:val="true"/>
        </w:rPr>
        <w:t>היעדר הפירוט לגבי מידת השפעתן המדויקת על העונש אינו מלמד על התעלמותו של בית המשפט מהן</w:t>
      </w:r>
      <w:r>
        <w:rPr>
          <w:rtl w:val="true"/>
        </w:rPr>
        <w:t xml:space="preserve">. </w:t>
      </w:r>
      <w:r>
        <w:rPr>
          <w:rtl w:val="true"/>
        </w:rPr>
        <w:t>לא מצאתי גם כל סיבה להתערב בקביעה שלא לתת משקל משמעותי לנסיבות נוספות שפורטו בגזר הדין ובפרט לפגיעה במשפחת הנאשם ולמחלתו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 xml:space="preserve">כלל נקוט הוא כי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בעת גזירת עונשו של נאשם בביצוע עבירות מין בקטינים יש 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בכר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שיקולי גמול והרתעה על פני נסיבותיו האישיות של הנאשם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3.10.2019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5.8.2015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(</w:t>
      </w:r>
      <w:r>
        <w:rPr/>
        <w:t>5.6.2013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לא נפל פגם בקביעתו של בית המשפט לפיה לאחר קביעת מתחמי ענישה נפרדים בגין הקטגוריות השונות של העבירות</w:t>
      </w:r>
      <w:r>
        <w:rPr>
          <w:rtl w:val="true"/>
        </w:rPr>
        <w:t xml:space="preserve">, </w:t>
      </w:r>
      <w:r>
        <w:rPr>
          <w:rtl w:val="true"/>
        </w:rPr>
        <w:t>יש להטיל עליו עונש כולל</w:t>
      </w:r>
      <w:r>
        <w:rPr>
          <w:rtl w:val="true"/>
        </w:rPr>
        <w:t xml:space="preserve">. </w:t>
      </w:r>
      <w:r>
        <w:rPr>
          <w:rtl w:val="true"/>
        </w:rPr>
        <w:t>הדבר נתון באופן חד משמעי לשיקול דעתו של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2010/17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קסימובה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(</w:t>
      </w:r>
      <w:r>
        <w:rPr/>
        <w:t>31.7.2018</w:t>
      </w:r>
      <w:r>
        <w:rPr>
          <w:rtl w:val="true"/>
        </w:rPr>
        <w:t xml:space="preserve">);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19.7.2018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(</w:t>
      </w:r>
      <w:r>
        <w:rPr/>
        <w:t>21.3.2018</w:t>
      </w:r>
      <w:r>
        <w:rPr>
          <w:rtl w:val="true"/>
        </w:rPr>
        <w:t xml:space="preserve">)).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עונש כולל מאפשר להביע עמדה עונשית ביחס למכלול התנהגותו הפלילית של הנאשם תוך מניעת חפיפה בין העונשים השונים</w:t>
      </w:r>
      <w:r>
        <w:rPr>
          <w:rtl w:val="true"/>
        </w:rPr>
        <w:t xml:space="preserve">. </w:t>
      </w:r>
      <w:r>
        <w:rPr>
          <w:rtl w:val="true"/>
        </w:rPr>
        <w:t>זאת בעיקר במצבים בהם מתקיימת שורה של עבירות המצביעה על מסכת אחת של התנהגות עבריינית</w:t>
      </w:r>
      <w:r>
        <w:rPr>
          <w:rtl w:val="true"/>
        </w:rPr>
        <w:t xml:space="preserve">, </w:t>
      </w:r>
      <w:r>
        <w:rPr>
          <w:rtl w:val="true"/>
        </w:rPr>
        <w:t xml:space="preserve">כבענייננו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כד </w:t>
      </w:r>
      <w:r>
        <w:rPr>
          <w:rtl w:val="true"/>
        </w:rPr>
        <w:t>(</w:t>
      </w:r>
      <w:r>
        <w:rPr/>
        <w:t>14.3.2016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אין לקבל את טענתו של בא</w:t>
      </w:r>
      <w:r>
        <w:rPr>
          <w:rtl w:val="true"/>
        </w:rPr>
        <w:t>-</w:t>
      </w:r>
      <w:r>
        <w:rPr>
          <w:rtl w:val="true"/>
        </w:rPr>
        <w:t>כוח המערער לפיה לא ניתן משקל מתאים לעובדה שהודאתו של המערער ניתנה במסגרת הסדר טיעון אשר התבסס בין היתר על ציפייתו להקלה בעונשו</w:t>
      </w:r>
      <w:r>
        <w:rPr>
          <w:rtl w:val="true"/>
        </w:rPr>
        <w:t xml:space="preserve">. </w:t>
      </w:r>
      <w:r>
        <w:rPr>
          <w:rtl w:val="true"/>
        </w:rPr>
        <w:t>כפי שקבע בית משפט זה בעבר</w:t>
      </w:r>
      <w:r>
        <w:rPr>
          <w:rtl w:val="true"/>
        </w:rPr>
        <w:t xml:space="preserve">, </w:t>
      </w:r>
      <w:r>
        <w:rPr>
          <w:rtl w:val="true"/>
        </w:rPr>
        <w:t xml:space="preserve">ציפיותיו של נאשם במסגרת הסדר טיעון יהוו שיקול משפיע במהלך הפעלת שיקול דעתו של בית המשפט אך ישקלו </w:t>
      </w:r>
      <w:r>
        <w:rPr>
          <w:rtl w:val="true"/>
        </w:rPr>
        <w:t>"</w:t>
      </w:r>
      <w:r>
        <w:rPr>
          <w:rtl w:val="true"/>
        </w:rPr>
        <w:t>בשים לב ליתר נתוני התיק שלפניו ובמסגרת שקילת היחס ההולם שבין טובת ההנאה שניתנה לנאשם בנסיבות העניין</w:t>
      </w:r>
      <w:r>
        <w:rPr>
          <w:rtl w:val="true"/>
        </w:rPr>
        <w:t xml:space="preserve">, </w:t>
      </w:r>
      <w:r>
        <w:rPr>
          <w:rtl w:val="true"/>
        </w:rPr>
        <w:t>לבין אינטרס הציבור במובנו הצר והרחב</w:t>
      </w:r>
      <w:r>
        <w:rPr>
          <w:rtl w:val="true"/>
        </w:rPr>
        <w:t>"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/>
        <w:t>609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דברים אלו יפים ביתר שאת בענייננו כאשר הסדר הטיעון לא כלל כל התייחסות לעונש וממילא לא אמור היה להביא לציפיות רבות בהקשר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 xml:space="preserve">אציע </w:t>
      </w:r>
      <w:r>
        <w:rPr>
          <w:rtl w:val="true"/>
        </w:rPr>
        <w:t xml:space="preserve">כאמור </w:t>
      </w:r>
      <w:r>
        <w:rPr>
          <w:rtl w:val="true"/>
        </w:rPr>
        <w:t>לחבריי לדחות את הערעור ולהותיר את העונש שהושת על המערער על ידי בית המשפט המחוז</w:t>
      </w:r>
      <w:r>
        <w:rPr>
          <w:rtl w:val="true"/>
        </w:rPr>
        <w:t>י על כנו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9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19.11.2020</w:t>
      </w:r>
      <w:r>
        <w:rPr>
          <w:rtl w:val="true"/>
        </w:rPr>
        <w:t xml:space="preserve">). </w:t>
      </w:r>
      <w:bookmarkEnd w:id="19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19046290</w:t>
      </w:r>
      <w:r>
        <w:rPr>
          <w:sz w:val="16"/>
          <w:rtl w:val="true"/>
        </w:rPr>
        <w:t>_</w:t>
      </w:r>
      <w:r>
        <w:rPr>
          <w:sz w:val="16"/>
        </w:rPr>
        <w:t>N04.docx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54678313-4629/19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4629/19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36641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jc.b" TargetMode="External"/><Relationship Id="rId5" Type="http://schemas.openxmlformats.org/officeDocument/2006/relationships/hyperlink" Target="http://www.nevo.co.il/case/23366410" TargetMode="External"/><Relationship Id="rId6" Type="http://schemas.openxmlformats.org/officeDocument/2006/relationships/hyperlink" Target="http://www.nevo.co.il/case/26256014" TargetMode="External"/><Relationship Id="rId7" Type="http://schemas.openxmlformats.org/officeDocument/2006/relationships/hyperlink" Target="http://www.nevo.co.il/case/26177206" TargetMode="External"/><Relationship Id="rId8" Type="http://schemas.openxmlformats.org/officeDocument/2006/relationships/hyperlink" Target="http://www.nevo.co.il/case/26280651" TargetMode="External"/><Relationship Id="rId9" Type="http://schemas.openxmlformats.org/officeDocument/2006/relationships/hyperlink" Target="http://www.nevo.co.il/case/25453137" TargetMode="External"/><Relationship Id="rId10" Type="http://schemas.openxmlformats.org/officeDocument/2006/relationships/hyperlink" Target="http://www.nevo.co.il/case/24263089" TargetMode="External"/><Relationship Id="rId11" Type="http://schemas.openxmlformats.org/officeDocument/2006/relationships/hyperlink" Target="http://www.nevo.co.il/case/21479221" TargetMode="External"/><Relationship Id="rId12" Type="http://schemas.openxmlformats.org/officeDocument/2006/relationships/hyperlink" Target="http://www.nevo.co.il/case/10442769" TargetMode="External"/><Relationship Id="rId13" Type="http://schemas.openxmlformats.org/officeDocument/2006/relationships/hyperlink" Target="http://www.nevo.co.il/case/26256014" TargetMode="External"/><Relationship Id="rId14" Type="http://schemas.openxmlformats.org/officeDocument/2006/relationships/hyperlink" Target="http://www.nevo.co.il/case/25349522" TargetMode="External"/><Relationship Id="rId15" Type="http://schemas.openxmlformats.org/officeDocument/2006/relationships/hyperlink" Target="http://www.nevo.co.il/case/25860716" TargetMode="External"/><Relationship Id="rId16" Type="http://schemas.openxmlformats.org/officeDocument/2006/relationships/hyperlink" Target="http://www.nevo.co.il/case/20489990" TargetMode="External"/><Relationship Id="rId17" Type="http://schemas.openxmlformats.org/officeDocument/2006/relationships/hyperlink" Target="http://www.nevo.co.il/case/5583846" TargetMode="External"/><Relationship Id="rId18" Type="http://schemas.openxmlformats.org/officeDocument/2006/relationships/hyperlink" Target="http://www.nevo.co.il/law/70301/40jc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2289810" TargetMode="External"/><Relationship Id="rId21" Type="http://schemas.openxmlformats.org/officeDocument/2006/relationships/hyperlink" Target="http://www.nevo.co.il/case/22303378" TargetMode="External"/><Relationship Id="rId22" Type="http://schemas.openxmlformats.org/officeDocument/2006/relationships/hyperlink" Target="http://www.nevo.co.il/case/20559680" TargetMode="External"/><Relationship Id="rId23" Type="http://schemas.openxmlformats.org/officeDocument/2006/relationships/hyperlink" Target="http://www.nevo.co.il/case/20331617" TargetMode="External"/><Relationship Id="rId24" Type="http://schemas.openxmlformats.org/officeDocument/2006/relationships/hyperlink" Target="http://www.nevo.co.il/case/161892" TargetMode="External"/><Relationship Id="rId25" Type="http://schemas.openxmlformats.org/officeDocument/2006/relationships/hyperlink" Target="http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2020-11-22T14:21:00Z</dcterms:created>
  <dc:creator>h4</dc:creator>
  <dc:description/>
  <cp:keywords/>
  <dc:language>en-IL</dc:language>
  <cp:lastModifiedBy>orly</cp:lastModifiedBy>
  <cp:lastPrinted>2020-11-19T09:08:00Z</cp:lastPrinted>
  <dcterms:modified xsi:type="dcterms:W3CDTF">2020-11-22T14:21:00Z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 ו-16 אח'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23366410:2;26256014:2;26177206;26280651;25453137;24263089;21479221;10442769;25349522;25860716;20489990;5583846;22289810;22303378;20559680;20331617;161892</vt:lpwstr>
  </property>
  <property fmtid="{D5CDD505-2E9C-101B-9397-08002B2CF9AE}" pid="9" name="CITY">
    <vt:lpwstr/>
  </property>
  <property fmtid="{D5CDD505-2E9C-101B-9397-08002B2CF9AE}" pid="10" name="DATE">
    <vt:lpwstr>20201119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ברון;ד' מינץ</vt:lpwstr>
  </property>
  <property fmtid="{D5CDD505-2E9C-101B-9397-08002B2CF9AE}" pid="14" name="LAWLISTTMP1">
    <vt:lpwstr>70301/40jc.b</vt:lpwstr>
  </property>
  <property fmtid="{D5CDD505-2E9C-101B-9397-08002B2CF9AE}" pid="15" name="LAWYER">
    <vt:lpwstr>תמי אולמן;שאדי סרוג'י;מריה ציבלין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שהתבצעו דרך רשת האינטרנט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17069;16970;8995;8982</vt:lpwstr>
  </property>
  <property fmtid="{D5CDD505-2E9C-101B-9397-08002B2CF9AE}" pid="59" name="PADIDATE">
    <vt:lpwstr>20201122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4629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410120201119</vt:lpwstr>
  </property>
  <property fmtid="{D5CDD505-2E9C-101B-9397-08002B2CF9AE}" pid="69" name="TYPE_N_DATE">
    <vt:lpwstr>41020201119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