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4701/16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סבלאן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51145-02-15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3.5.2016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19.10.2017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גיורא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זילברשטיין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באיזון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הרלוונטיים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ולקולה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עונשים מצטברים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עונשים חופפים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הפעלת מאסר על תנאי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נשיאת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סכסוך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שנתגלע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אביו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סביב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גירושיו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ונישואיו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והופעל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לנשיאה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72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התחייבות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פוגלמן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מתקיימות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מיוחדות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דנא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בקהל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הפרטני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מסמרות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גבולות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סווגו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האירועים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שלומם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המעורבים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בסכסוך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עוברי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תמימים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ומרתיעה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הפיזית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שכיוון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אביו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נמנעה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זהירותו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לחיוב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הסולחה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שנערכה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האחרונה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מוגבל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משהאב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נפגע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השמיע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לגביה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המכביד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הטיל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באיזון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הרלוונטיים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ולקולה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הוסיף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ששוחרר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ממושך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כשעונשי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תלויים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ועומדים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מהפעלת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להפעלת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החודשים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להשגותיו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המותנים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במצטבר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הנוכחי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מעוררות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ולחריגה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שיופעל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ירוצה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מיוחדות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במצטבר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מיוחדות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מתקיימות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הפעיל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בחופף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המותנים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תלויים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ועומדים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" w:hAnsi="Times New Roman" w:cs="Times New Roman"/>
          <w:spacing w:val="0"/>
          <w:sz w:val="12"/>
          <w:szCs w:val="16"/>
        </w:rPr>
      </w:pPr>
      <w:r>
        <w:rPr>
          <w:rFonts w:cs="Times New Roman"/>
          <w:spacing w:val="0"/>
          <w:sz w:val="12"/>
          <w:szCs w:val="1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cs="Miriam"/>
          <w:spacing w:val="0"/>
          <w:sz w:val="28"/>
          <w:szCs w:val="24"/>
        </w:rPr>
      </w:pPr>
      <w:bookmarkStart w:id="14" w:name="Writer_Name"/>
      <w:bookmarkEnd w:id="14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לוד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מרשק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מרום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שבגדרו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54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הופעל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72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בתנאים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ותשלום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2,000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התחייבות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תמצית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העובדות</w:t>
      </w:r>
    </w:p>
    <w:p>
      <w:pPr>
        <w:pStyle w:val="Normal"/>
        <w:spacing w:lineRule="auto" w:line="360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המערער הורשע על יסוד הודאתו בעבירות של איומים לפי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 xml:space="preserve">החזקת סכין שלא כדין לפי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נשיאת והובלת נשק 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 לחוק</w:t>
      </w:r>
      <w:r>
        <w:rPr>
          <w:rtl w:val="true"/>
        </w:rPr>
        <w:t xml:space="preserve">; </w:t>
      </w:r>
      <w:r>
        <w:rPr>
          <w:rtl w:val="true"/>
        </w:rPr>
        <w:t xml:space="preserve">וניסיון לחבלה חמורה בנסיבות מחמירות 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, </w:t>
      </w:r>
      <w:hyperlink r:id="rId16"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כעולה מכתב האישום המתוקן</w:t>
      </w:r>
      <w:r>
        <w:rPr>
          <w:rtl w:val="true"/>
        </w:rPr>
        <w:t xml:space="preserve">, </w:t>
      </w:r>
      <w:r>
        <w:rPr>
          <w:rtl w:val="true"/>
        </w:rPr>
        <w:t>בין המערער לבין אביו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</w:t>
      </w:r>
      <w:r>
        <w:rPr>
          <w:rtl w:val="true"/>
        </w:rPr>
        <w:t xml:space="preserve">), </w:t>
      </w:r>
      <w:r>
        <w:rPr>
          <w:rtl w:val="true"/>
        </w:rPr>
        <w:t xml:space="preserve">אשר התגוררו באותו בית בתקופה הרלוונטית לכתב האישום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התגלע סכסוך סביב גירושיו של האב מאמו של המערער ונישואיו לאישה אחרת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שנהגה לבקר בבית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21.1.2015</w:t>
      </w:r>
      <w:r>
        <w:rPr>
          <w:rtl w:val="true"/>
        </w:rPr>
        <w:t xml:space="preserve">, </w:t>
      </w:r>
      <w:r>
        <w:rPr>
          <w:rtl w:val="true"/>
        </w:rPr>
        <w:t>בעת שהגיעה ס</w:t>
      </w:r>
      <w:r>
        <w:rPr>
          <w:rtl w:val="true"/>
        </w:rPr>
        <w:t xml:space="preserve">' </w:t>
      </w:r>
      <w:r>
        <w:rPr>
          <w:rtl w:val="true"/>
        </w:rPr>
        <w:t>לבקר את האב</w:t>
      </w:r>
      <w:r>
        <w:rPr>
          <w:rtl w:val="true"/>
        </w:rPr>
        <w:t xml:space="preserve">, </w:t>
      </w:r>
      <w:r>
        <w:rPr>
          <w:rtl w:val="true"/>
        </w:rPr>
        <w:t>אמר המערער לאביו כי אינו מרשה שס</w:t>
      </w:r>
      <w:r>
        <w:rPr>
          <w:rtl w:val="true"/>
        </w:rPr>
        <w:t xml:space="preserve">' </w:t>
      </w:r>
      <w:r>
        <w:rPr>
          <w:rtl w:val="true"/>
        </w:rPr>
        <w:t>תשהה בבית והאב השיב כי הבית שלו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 xml:space="preserve">אמר המערער לאב </w:t>
      </w:r>
      <w:r>
        <w:rPr>
          <w:rtl w:val="true"/>
        </w:rPr>
        <w:t>"</w:t>
      </w:r>
      <w:r>
        <w:rPr>
          <w:rtl w:val="true"/>
        </w:rPr>
        <w:t>אתה תראה דם</w:t>
      </w:r>
      <w:r>
        <w:rPr>
          <w:rtl w:val="true"/>
        </w:rPr>
        <w:t xml:space="preserve">".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האב וס</w:t>
      </w:r>
      <w:r>
        <w:rPr>
          <w:rtl w:val="true"/>
        </w:rPr>
        <w:t xml:space="preserve">' </w:t>
      </w:r>
      <w:r>
        <w:rPr>
          <w:rtl w:val="true"/>
        </w:rPr>
        <w:t>נכנסו לרכב והחלו לנסוע</w:t>
      </w:r>
      <w:r>
        <w:rPr>
          <w:rtl w:val="true"/>
        </w:rPr>
        <w:t xml:space="preserve">. </w:t>
      </w:r>
      <w:r>
        <w:rPr>
          <w:rtl w:val="true"/>
        </w:rPr>
        <w:t>כשהגיע הרכב לקצה הרחוב</w:t>
      </w:r>
      <w:r>
        <w:rPr>
          <w:rtl w:val="true"/>
        </w:rPr>
        <w:t xml:space="preserve">, </w:t>
      </w:r>
      <w:r>
        <w:rPr>
          <w:rtl w:val="true"/>
        </w:rPr>
        <w:t>הגיע אליהם המערער בריצה</w:t>
      </w:r>
      <w:r>
        <w:rPr>
          <w:rtl w:val="true"/>
        </w:rPr>
        <w:t xml:space="preserve">, </w:t>
      </w:r>
      <w:r>
        <w:rPr>
          <w:rtl w:val="true"/>
        </w:rPr>
        <w:t>כאשר בידו סכין</w:t>
      </w:r>
      <w:r>
        <w:rPr>
          <w:rtl w:val="true"/>
        </w:rPr>
        <w:t xml:space="preserve">. </w:t>
      </w:r>
      <w:r>
        <w:rPr>
          <w:rtl w:val="true"/>
        </w:rPr>
        <w:t>המערער פתח את דלת הרכב הסמוכה לס</w:t>
      </w:r>
      <w:r>
        <w:rPr>
          <w:rtl w:val="true"/>
        </w:rPr>
        <w:t xml:space="preserve">' </w:t>
      </w:r>
      <w:r>
        <w:rPr>
          <w:rtl w:val="true"/>
        </w:rPr>
        <w:t>והניף את הסכין לעברה</w:t>
      </w:r>
      <w:r>
        <w:rPr>
          <w:rtl w:val="true"/>
        </w:rPr>
        <w:t xml:space="preserve">. </w:t>
      </w:r>
      <w:r>
        <w:rPr>
          <w:rtl w:val="true"/>
        </w:rPr>
        <w:t>האב מיהר להימלט מהמקום בנסיעה</w:t>
      </w:r>
      <w:r>
        <w:rPr>
          <w:rtl w:val="true"/>
        </w:rPr>
        <w:t xml:space="preserve">, </w:t>
      </w:r>
      <w:r>
        <w:rPr>
          <w:rtl w:val="true"/>
        </w:rPr>
        <w:t xml:space="preserve">כשהמערער צועק לעברו </w:t>
      </w:r>
      <w:r>
        <w:rPr>
          <w:rtl w:val="true"/>
        </w:rPr>
        <w:t>"</w:t>
      </w:r>
      <w:r>
        <w:rPr>
          <w:rtl w:val="true"/>
        </w:rPr>
        <w:t>תעצור ותראה מה יהיה לה</w:t>
      </w:r>
      <w:r>
        <w:rPr>
          <w:rtl w:val="true"/>
        </w:rPr>
        <w:t xml:space="preserve">". </w:t>
      </w:r>
      <w:r>
        <w:rPr>
          <w:rtl w:val="true"/>
        </w:rPr>
        <w:t>על פי האישום השני</w:t>
      </w:r>
      <w:r>
        <w:rPr>
          <w:rtl w:val="true"/>
        </w:rPr>
        <w:t xml:space="preserve">, </w:t>
      </w:r>
      <w:r>
        <w:rPr>
          <w:rtl w:val="true"/>
        </w:rPr>
        <w:t>לאחר האירוע האמור ובשל חששו מהמערער</w:t>
      </w:r>
      <w:r>
        <w:rPr>
          <w:rtl w:val="true"/>
        </w:rPr>
        <w:t xml:space="preserve">, </w:t>
      </w:r>
      <w:r>
        <w:rPr>
          <w:rtl w:val="true"/>
        </w:rPr>
        <w:t>לא שב האב לבית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25.1.2015</w:t>
      </w:r>
      <w:r>
        <w:rPr>
          <w:rtl w:val="true"/>
        </w:rPr>
        <w:t xml:space="preserve">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 xml:space="preserve">שהה האב בבית אחותו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האחות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בעקבות הסכסוך ועל רקע האירוע שתואר באישום הראשון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הגיע המערער לבית האחות</w:t>
      </w:r>
      <w:r>
        <w:rPr>
          <w:rtl w:val="true"/>
        </w:rPr>
        <w:t xml:space="preserve">, </w:t>
      </w:r>
      <w:r>
        <w:rPr>
          <w:rtl w:val="true"/>
        </w:rPr>
        <w:t>נכנס פנימה כשהוא נושא עמו נשק</w:t>
      </w:r>
      <w:r>
        <w:rPr>
          <w:rtl w:val="true"/>
        </w:rPr>
        <w:t xml:space="preserve">, </w:t>
      </w:r>
      <w:r>
        <w:rPr>
          <w:rtl w:val="true"/>
        </w:rPr>
        <w:t>כיוון אותו אל האב וירה באמצעותו לפחות שני כדורים</w:t>
      </w:r>
      <w:r>
        <w:rPr>
          <w:rtl w:val="true"/>
        </w:rPr>
        <w:t xml:space="preserve">. </w:t>
      </w:r>
      <w:r>
        <w:rPr>
          <w:rtl w:val="true"/>
        </w:rPr>
        <w:t>האב נפל ארצה ולא נפגע</w:t>
      </w:r>
      <w:r>
        <w:rPr>
          <w:rtl w:val="true"/>
        </w:rPr>
        <w:t xml:space="preserve">, </w:t>
      </w:r>
      <w:r>
        <w:rPr>
          <w:rtl w:val="true"/>
        </w:rPr>
        <w:t>וכתוצאה מהירי נגרם נזק לרהיט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23.11.2015</w:t>
      </w:r>
      <w:r>
        <w:rPr>
          <w:rtl w:val="true"/>
        </w:rPr>
        <w:t xml:space="preserve"> </w:t>
      </w:r>
      <w:r>
        <w:rPr>
          <w:rtl w:val="true"/>
        </w:rPr>
        <w:t>הרשיע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מרום</w:t>
      </w:r>
      <w:r>
        <w:rPr>
          <w:rtl w:val="true"/>
        </w:rPr>
        <w:t xml:space="preserve">) </w:t>
      </w:r>
      <w:r>
        <w:rPr>
          <w:rtl w:val="true"/>
        </w:rPr>
        <w:t>את המערער לפי הודאתו במסגרת הסדר טיעון בעבירות שיוחסו לו כאמור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בגזר דין מיום </w:t>
      </w:r>
      <w:r>
        <w:rPr/>
        <w:t>3.5.2016</w:t>
      </w:r>
      <w:r>
        <w:rPr>
          <w:rtl w:val="true"/>
        </w:rPr>
        <w:t xml:space="preserve"> </w:t>
      </w:r>
      <w:r>
        <w:rPr>
          <w:rtl w:val="true"/>
        </w:rPr>
        <w:t>קבע בית המשפט המחוזי כי בביצוע העבירות האמורות פגע המערער בתא המשפחתי</w:t>
      </w:r>
      <w:r>
        <w:rPr>
          <w:rtl w:val="true"/>
        </w:rPr>
        <w:t xml:space="preserve">; </w:t>
      </w:r>
      <w:r>
        <w:rPr>
          <w:rtl w:val="true"/>
        </w:rPr>
        <w:t>ערער את תחושת הביטחון של האב וס</w:t>
      </w:r>
      <w:r>
        <w:rPr>
          <w:rtl w:val="true"/>
        </w:rPr>
        <w:t xml:space="preserve">', </w:t>
      </w:r>
      <w:r>
        <w:rPr>
          <w:rtl w:val="true"/>
        </w:rPr>
        <w:t>אשתו השנייה</w:t>
      </w:r>
      <w:r>
        <w:rPr>
          <w:rtl w:val="true"/>
        </w:rPr>
        <w:t xml:space="preserve">; </w:t>
      </w:r>
      <w:r>
        <w:rPr>
          <w:rtl w:val="true"/>
        </w:rPr>
        <w:t>ופגע בזכותם לשלמות פיזית</w:t>
      </w:r>
      <w:r>
        <w:rPr>
          <w:rtl w:val="true"/>
        </w:rPr>
        <w:t xml:space="preserve">. </w:t>
      </w:r>
      <w:r>
        <w:rPr>
          <w:rtl w:val="true"/>
        </w:rPr>
        <w:t>בית המשפט קבע שלכל אחד מהאירועים דלעיל יוגדר מתחם ענישה נפרד</w:t>
      </w:r>
      <w:r>
        <w:rPr>
          <w:rtl w:val="true"/>
        </w:rPr>
        <w:t xml:space="preserve">, </w:t>
      </w:r>
      <w:r>
        <w:rPr>
          <w:rtl w:val="true"/>
        </w:rPr>
        <w:t>אך נוכח סמיכות האירועים והקשר ביניהם</w:t>
      </w:r>
      <w:r>
        <w:rPr>
          <w:rtl w:val="true"/>
        </w:rPr>
        <w:t xml:space="preserve">, </w:t>
      </w:r>
      <w:r>
        <w:rPr>
          <w:rtl w:val="true"/>
        </w:rPr>
        <w:t>ייגזר בסופו של דבר עונש כולל לשני המעשים יחד</w:t>
      </w:r>
      <w:r>
        <w:rPr>
          <w:rtl w:val="true"/>
        </w:rPr>
        <w:t xml:space="preserve">. </w:t>
      </w:r>
      <w:r>
        <w:rPr>
          <w:rtl w:val="true"/>
        </w:rPr>
        <w:t>בית המשפט עמד על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ובין היתר על כך שהמערער השתמש באיומים מילוליים קשים כלפי אביו</w:t>
      </w:r>
      <w:r>
        <w:rPr>
          <w:rtl w:val="true"/>
        </w:rPr>
        <w:t xml:space="preserve">, </w:t>
      </w:r>
      <w:r>
        <w:rPr>
          <w:rtl w:val="true"/>
        </w:rPr>
        <w:t>אותם מימש לאחר מכן כשאיים על ס</w:t>
      </w:r>
      <w:r>
        <w:rPr>
          <w:rtl w:val="true"/>
        </w:rPr>
        <w:t xml:space="preserve">' </w:t>
      </w:r>
      <w:r>
        <w:rPr>
          <w:rtl w:val="true"/>
        </w:rPr>
        <w:t>באמצעות סכין</w:t>
      </w:r>
      <w:r>
        <w:rPr>
          <w:rtl w:val="true"/>
        </w:rPr>
        <w:t xml:space="preserve">, </w:t>
      </w:r>
      <w:r>
        <w:rPr>
          <w:rtl w:val="true"/>
        </w:rPr>
        <w:t>עד שהשניים נאלצו לנוס על נפשם</w:t>
      </w:r>
      <w:r>
        <w:rPr>
          <w:rtl w:val="true"/>
        </w:rPr>
        <w:t xml:space="preserve">; </w:t>
      </w:r>
      <w:r>
        <w:rPr>
          <w:rtl w:val="true"/>
        </w:rPr>
        <w:t>ועל כך שהמערער לא היסס מלכוון את הנשק כלפי אביו מולידו וירה לעברו שני כדורים לפחות</w:t>
      </w:r>
      <w:r>
        <w:rPr>
          <w:rtl w:val="true"/>
        </w:rPr>
        <w:t xml:space="preserve">. </w:t>
      </w:r>
      <w:r>
        <w:rPr>
          <w:rtl w:val="true"/>
        </w:rPr>
        <w:t>אשר לעובדה שהאב לא נפגע</w:t>
      </w:r>
      <w:r>
        <w:rPr>
          <w:rtl w:val="true"/>
        </w:rPr>
        <w:t xml:space="preserve">, </w:t>
      </w:r>
      <w:r>
        <w:rPr>
          <w:rtl w:val="true"/>
        </w:rPr>
        <w:t xml:space="preserve">צוין כי זו לא נבעה מזהירותו של המערער אלא </w:t>
      </w:r>
      <w:r>
        <w:rPr>
          <w:rtl w:val="true"/>
        </w:rPr>
        <w:t>"</w:t>
      </w:r>
      <w:r>
        <w:rPr>
          <w:rtl w:val="true"/>
        </w:rPr>
        <w:t>מתוך מזל או שמא נס</w:t>
      </w:r>
      <w:r>
        <w:rPr>
          <w:rtl w:val="true"/>
        </w:rPr>
        <w:t xml:space="preserve">". </w:t>
      </w:r>
      <w:r>
        <w:rPr>
          <w:rtl w:val="true"/>
        </w:rPr>
        <w:t>אשר לאירוע נושא האישום הראשון</w:t>
      </w:r>
      <w:r>
        <w:rPr>
          <w:rtl w:val="true"/>
        </w:rPr>
        <w:t xml:space="preserve">, </w:t>
      </w:r>
      <w:r>
        <w:rPr>
          <w:rtl w:val="true"/>
        </w:rPr>
        <w:t>העמיד בית המשפט המחוזי את מתחם העונש ההולם על מספר חודשי מאסר בפועל עד שנת מאסר בפועל</w:t>
      </w:r>
      <w:r>
        <w:rPr>
          <w:rtl w:val="true"/>
        </w:rPr>
        <w:t xml:space="preserve">. </w:t>
      </w:r>
      <w:r>
        <w:rPr>
          <w:rtl w:val="true"/>
        </w:rPr>
        <w:t>בהתייחס לאירוע נושא האישום השני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בשים לב לממדי התופעה של עבירות בתחום הנשק ולפוטנציאל הנזק שבהן</w:t>
      </w:r>
      <w:r>
        <w:rPr>
          <w:rtl w:val="true"/>
        </w:rPr>
        <w:t xml:space="preserve">, </w:t>
      </w:r>
      <w:r>
        <w:rPr>
          <w:rtl w:val="true"/>
        </w:rPr>
        <w:t>כי מתחם העונש ההולם נע בין שלוש לשש שנות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לצורך קביעת העונש בתוך מתחם העונש </w:t>
      </w:r>
      <w:r>
        <w:rPr>
          <w:rtl w:val="true"/>
        </w:rPr>
        <w:t>(</w:t>
      </w:r>
      <w:r>
        <w:rPr>
          <w:rtl w:val="true"/>
        </w:rPr>
        <w:t>אשר נקבע בשלב זה</w:t>
      </w:r>
      <w:r>
        <w:rPr>
          <w:rtl w:val="true"/>
        </w:rPr>
        <w:t xml:space="preserve">, </w:t>
      </w:r>
      <w:r>
        <w:rPr>
          <w:rtl w:val="true"/>
        </w:rPr>
        <w:t>במאוחד לשני האירועים</w:t>
      </w:r>
      <w:r>
        <w:rPr>
          <w:rtl w:val="true"/>
        </w:rPr>
        <w:t xml:space="preserve">) </w:t>
      </w:r>
      <w:r>
        <w:rPr>
          <w:rtl w:val="true"/>
        </w:rPr>
        <w:t xml:space="preserve">שקל בית המשפט – בצד החומרה – את העובדה שהמערער ביצע את העבירות נושא ההליך כשנה לאחר ששוחרר ממאסר ממושך בן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בגין אירוע שנסיבותיו דומות</w:t>
      </w:r>
      <w:r>
        <w:rPr>
          <w:rtl w:val="true"/>
        </w:rPr>
        <w:t xml:space="preserve">, </w:t>
      </w:r>
      <w:r>
        <w:rPr>
          <w:rtl w:val="true"/>
        </w:rPr>
        <w:t>ובעוד עומדים לחובתו מספר מאסרים על תנאי</w:t>
      </w:r>
      <w:r>
        <w:rPr>
          <w:rtl w:val="true"/>
        </w:rPr>
        <w:t xml:space="preserve">. </w:t>
      </w:r>
      <w:r>
        <w:rPr>
          <w:rtl w:val="true"/>
        </w:rPr>
        <w:t>נקבע כי המערער ממשיך ומשתמש באלימות קשה</w:t>
      </w:r>
      <w:r>
        <w:rPr>
          <w:rtl w:val="true"/>
        </w:rPr>
        <w:t xml:space="preserve">, </w:t>
      </w:r>
      <w:r>
        <w:rPr>
          <w:rtl w:val="true"/>
        </w:rPr>
        <w:t>גם תוך שימוש בנשק חם כלפי בני משפחתו – על מנת לפתור סכסוכים</w:t>
      </w:r>
      <w:r>
        <w:rPr>
          <w:rtl w:val="true"/>
        </w:rPr>
        <w:t xml:space="preserve">. </w:t>
      </w:r>
      <w:r>
        <w:rPr>
          <w:rtl w:val="true"/>
        </w:rPr>
        <w:t>בצד הקולה</w:t>
      </w:r>
      <w:r>
        <w:rPr>
          <w:rtl w:val="true"/>
        </w:rPr>
        <w:t xml:space="preserve">, </w:t>
      </w:r>
      <w:r>
        <w:rPr>
          <w:rtl w:val="true"/>
        </w:rPr>
        <w:t>התחשב בית המשפט בהודאת המערער</w:t>
      </w:r>
      <w:r>
        <w:rPr>
          <w:rtl w:val="true"/>
        </w:rPr>
        <w:t xml:space="preserve">; </w:t>
      </w:r>
      <w:r>
        <w:rPr>
          <w:rtl w:val="true"/>
        </w:rPr>
        <w:t>ובסולחה שנערכה בין המערער לבין האב</w:t>
      </w:r>
      <w:r>
        <w:rPr>
          <w:rtl w:val="true"/>
        </w:rPr>
        <w:t xml:space="preserve">, </w:t>
      </w:r>
      <w:r>
        <w:rPr>
          <w:rtl w:val="true"/>
        </w:rPr>
        <w:t>אם כי לזו ניתן משקל מוגבל</w:t>
      </w:r>
      <w:r>
        <w:rPr>
          <w:rtl w:val="true"/>
        </w:rPr>
        <w:t xml:space="preserve">, </w:t>
      </w:r>
      <w:r>
        <w:rPr>
          <w:rtl w:val="true"/>
        </w:rPr>
        <w:t>משעמדתו של האב</w:t>
      </w:r>
      <w:r>
        <w:rPr>
          <w:rtl w:val="true"/>
        </w:rPr>
        <w:t xml:space="preserve">, </w:t>
      </w:r>
      <w:r>
        <w:rPr>
          <w:rtl w:val="true"/>
        </w:rPr>
        <w:t>נפגע העבירות</w:t>
      </w:r>
      <w:r>
        <w:rPr>
          <w:rtl w:val="true"/>
        </w:rPr>
        <w:t xml:space="preserve">, </w:t>
      </w:r>
      <w:r>
        <w:rPr>
          <w:rtl w:val="true"/>
        </w:rPr>
        <w:t>לא הובהרה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רקע האמור גזר בית המשפט על המערער עונש של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באמצע המתחמים שנקבעו על ידו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 המשפט הורה על הפעלתם של שלושה מאסרים מותנים שהוטלו על המערער בהליכים קודמים</w:t>
      </w:r>
      <w:r>
        <w:rPr>
          <w:rtl w:val="true"/>
        </w:rPr>
        <w:t xml:space="preserve">, </w:t>
      </w:r>
      <w:r>
        <w:rPr>
          <w:rtl w:val="true"/>
        </w:rPr>
        <w:t>בחפיפה ביניהם</w:t>
      </w:r>
      <w:r>
        <w:rPr>
          <w:rtl w:val="true"/>
        </w:rPr>
        <w:t xml:space="preserve">, </w:t>
      </w:r>
      <w:r>
        <w:rPr>
          <w:rtl w:val="true"/>
        </w:rPr>
        <w:t xml:space="preserve">כך שבגינם הושת על המערער 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עונש זה מצטבר לעונש שהושת בגין ההרשעה נושא הליך זה</w:t>
      </w:r>
      <w:r>
        <w:rPr>
          <w:rtl w:val="true"/>
        </w:rPr>
        <w:t xml:space="preserve">, </w:t>
      </w:r>
      <w:r>
        <w:rPr>
          <w:rtl w:val="true"/>
        </w:rPr>
        <w:t xml:space="preserve">כך שבסך הכל על המערער לשאת בעונש של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 מאסר בפועל ועונשים נוספים כאמור מעלה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בערעורו מלין המערער על חומרת עונש המאסר בפועל</w:t>
      </w:r>
      <w:r>
        <w:rPr>
          <w:rtl w:val="true"/>
        </w:rPr>
        <w:t xml:space="preserve">. </w:t>
      </w:r>
      <w:r>
        <w:rPr>
          <w:rtl w:val="true"/>
        </w:rPr>
        <w:t>לטענת המערער בית המשפט המחוזי לא נתן משקל מספיק לכך שלא היו נפגעים בפועל כתוצאה מהאירועים נושא כתב האישום המתוקן</w:t>
      </w:r>
      <w:r>
        <w:rPr>
          <w:rtl w:val="true"/>
        </w:rPr>
        <w:t xml:space="preserve">; </w:t>
      </w:r>
      <w:r>
        <w:rPr>
          <w:rtl w:val="true"/>
        </w:rPr>
        <w:t>לסולחה שנערכה בינו לבין אביו ולעדי האופי שהעידו על אופי היחסים במשפחה</w:t>
      </w:r>
      <w:r>
        <w:rPr>
          <w:rtl w:val="true"/>
        </w:rPr>
        <w:t xml:space="preserve">; </w:t>
      </w:r>
      <w:r>
        <w:rPr>
          <w:rtl w:val="true"/>
        </w:rPr>
        <w:t>וכן להודאת המערער ולחרטה שהביע על מעשיו</w:t>
      </w:r>
      <w:r>
        <w:rPr>
          <w:rtl w:val="true"/>
        </w:rPr>
        <w:t xml:space="preserve">. </w:t>
      </w:r>
      <w:r>
        <w:rPr>
          <w:rtl w:val="true"/>
        </w:rPr>
        <w:t>המערער מוסיף כי יש להתחשב בהליך הטיפולי שהוא עובר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בין כתלי בית הסוהר ובהתנהגותו החיובית במאסר</w:t>
      </w:r>
      <w:r>
        <w:rPr>
          <w:rtl w:val="true"/>
        </w:rPr>
        <w:t xml:space="preserve">. </w:t>
      </w:r>
      <w:r>
        <w:rPr>
          <w:rtl w:val="true"/>
        </w:rPr>
        <w:t xml:space="preserve">עוד קובל המערער על כך שבית המשפט המחוזי הפעיל את עונש המאסר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החודשים באופן מצטבר לעונש המאסר בפועל שהושת עליו בהליך הנוכחי</w:t>
      </w:r>
      <w:r>
        <w:rPr>
          <w:rtl w:val="true"/>
        </w:rPr>
        <w:t xml:space="preserve">, </w:t>
      </w:r>
      <w:r>
        <w:rPr>
          <w:rtl w:val="true"/>
        </w:rPr>
        <w:t>בשים לב להפקת הלקחים מצדו ורגישות הנושא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התנאי שנקבע בגזר הדין של בית 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כספי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25.9.2011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2011</w:t>
      </w:r>
      <w:r>
        <w:rPr>
          <w:rtl w:val="true"/>
        </w:rPr>
        <w:t xml:space="preserve">), </w:t>
      </w:r>
      <w:r>
        <w:rPr>
          <w:rtl w:val="true"/>
        </w:rPr>
        <w:t>להפעלת המאסר המותנה הארוך ביותר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 xml:space="preserve">לתקופה בת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הורה כי המאסר יחול במידה שיעבור </w:t>
      </w:r>
      <w:r>
        <w:rPr>
          <w:rtl w:val="true"/>
        </w:rPr>
        <w:t>"</w:t>
      </w:r>
      <w:r>
        <w:rPr>
          <w:rtl w:val="true"/>
        </w:rPr>
        <w:t xml:space="preserve">עבירה </w:t>
      </w:r>
      <w:r>
        <w:rPr>
          <w:rtl w:val="true"/>
        </w:rPr>
        <w:t xml:space="preserve">[...] </w:t>
      </w:r>
      <w:r>
        <w:rPr>
          <w:rtl w:val="true"/>
        </w:rPr>
        <w:t>שיש בה יסוד של אלימות</w:t>
      </w:r>
      <w:r>
        <w:rPr>
          <w:rtl w:val="true"/>
        </w:rPr>
        <w:t xml:space="preserve">" </w:t>
      </w:r>
      <w:r>
        <w:rPr>
          <w:rtl w:val="true"/>
        </w:rPr>
        <w:t>ולכן תחולתו רחבה מדי ואינה מידתית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בדיון שלפנינו טענה המשיבה כי העונש שנגזר על המערער הולם את חומרת מעשיו ומתחשב כראוי בעברו 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מספר הרשעות בגין עבירות אלימות כלפי בני משפחתו</w:t>
      </w:r>
      <w:r>
        <w:rPr>
          <w:rtl w:val="true"/>
        </w:rPr>
        <w:t xml:space="preserve">, </w:t>
      </w:r>
      <w:r>
        <w:rPr>
          <w:rtl w:val="true"/>
        </w:rPr>
        <w:t>אשר חומרתן גברה באירועים נושא ההליך הנוכחי</w:t>
      </w:r>
      <w:r>
        <w:rPr>
          <w:rtl w:val="true"/>
        </w:rPr>
        <w:t xml:space="preserve">. </w:t>
      </w:r>
      <w:r>
        <w:rPr>
          <w:rtl w:val="true"/>
        </w:rPr>
        <w:t>אשר לעונש המאסר בפועל כתוצאה מהפעלת המאסרים המותנים נטען כי בית משפט קמא הלך כברת דרך לקראת המערער בהוראתו להפעיל את תקופות המאסר על תנאי בחופף</w:t>
      </w:r>
      <w:r>
        <w:rPr>
          <w:rtl w:val="true"/>
        </w:rPr>
        <w:t xml:space="preserve">, </w:t>
      </w:r>
      <w:r>
        <w:rPr>
          <w:rtl w:val="true"/>
        </w:rPr>
        <w:t xml:space="preserve">כך שבמקום לגזור על המערער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כתוצאה מהפעלה מצטברת של המאסרים המותנים</w:t>
      </w:r>
      <w:r>
        <w:rPr>
          <w:rtl w:val="true"/>
        </w:rPr>
        <w:t xml:space="preserve">), </w:t>
      </w:r>
      <w:r>
        <w:rPr>
          <w:rtl w:val="true"/>
        </w:rPr>
        <w:t xml:space="preserve">הוטלו עליו אך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ברכיב זה</w:t>
      </w:r>
      <w:r>
        <w:rPr>
          <w:rtl w:val="true"/>
        </w:rPr>
        <w:t xml:space="preserve">. </w:t>
      </w:r>
      <w:r>
        <w:rPr>
          <w:rtl w:val="true"/>
        </w:rPr>
        <w:t>כן צוין כי המערער הוא אדם מבוגר המבין את משמעות מעשיו</w:t>
      </w:r>
      <w:r>
        <w:rPr>
          <w:rtl w:val="true"/>
        </w:rPr>
        <w:t xml:space="preserve">, </w:t>
      </w:r>
      <w:r>
        <w:rPr>
          <w:rtl w:val="true"/>
        </w:rPr>
        <w:t>ובכל זאת בוחר ללכת פעם אחר פעם בדרך האלימות</w:t>
      </w:r>
      <w:r>
        <w:rPr>
          <w:rtl w:val="true"/>
        </w:rPr>
        <w:t xml:space="preserve">. </w:t>
      </w:r>
      <w:r>
        <w:rPr>
          <w:rtl w:val="true"/>
        </w:rPr>
        <w:t>נוכח כל האמור</w:t>
      </w:r>
      <w:r>
        <w:rPr>
          <w:rtl w:val="true"/>
        </w:rPr>
        <w:t xml:space="preserve">, </w:t>
      </w:r>
      <w:r>
        <w:rPr>
          <w:rtl w:val="true"/>
        </w:rPr>
        <w:t>סבורה המשיבה כי אין להתערב בעונש שגזר בית המשפט 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שעיינו בערעור ובצרופותיו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שקלנו את נימוקיו והאזנו לטיעוני הצדדים בדיון שהתקיים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הגענו למסקנה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 היא כי לא בנקל תתערב ערכאת הערעור בחומרת עונש שהוטל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</w:t>
      </w:r>
      <w:r>
        <w:rPr>
          <w:rtl w:val="true"/>
        </w:rPr>
        <w:t xml:space="preserve">, </w:t>
      </w:r>
      <w:r>
        <w:rPr>
          <w:rtl w:val="true"/>
        </w:rPr>
        <w:t xml:space="preserve">שבהם ניכרת סטייה ברורה ממדיניות הענישה הראויה או אם מתקיימות נסיבות מיוחדות המצדיקות זאת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6522/15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חאג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25.5.2016</w:t>
      </w:r>
      <w:r>
        <w:rPr>
          <w:rtl w:val="true"/>
        </w:rPr>
        <w:t>)</w:t>
      </w:r>
      <w:bookmarkStart w:id="17" w:name="Text1"/>
      <w:r>
        <w:rPr>
          <w:rtl w:val="true"/>
        </w:rPr>
        <w:t>;</w:t>
      </w:r>
      <w:bookmarkEnd w:id="17"/>
      <w:r>
        <w:rPr>
          <w:color w:val="000000"/>
          <w:sz w:val="28"/>
          <w:rtl w:val="true"/>
        </w:rPr>
        <w:t xml:space="preserve"> </w:t>
      </w:r>
      <w:hyperlink r:id="rId1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7716/14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סעיפאן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27.4.2015</w:t>
      </w:r>
      <w:r>
        <w:rPr>
          <w:rtl w:val="true"/>
        </w:rPr>
        <w:t xml:space="preserve">)). </w:t>
      </w:r>
      <w:r>
        <w:rPr>
          <w:rtl w:val="true"/>
        </w:rPr>
        <w:t>איננו סבורים כי הערעור דנא בא בקהלם של המקרים האמורים</w:t>
      </w:r>
      <w:r>
        <w:rPr>
          <w:rtl w:val="true"/>
        </w:rPr>
        <w:t xml:space="preserve">, </w:t>
      </w:r>
      <w:r>
        <w:rPr>
          <w:rtl w:val="true"/>
        </w:rPr>
        <w:t>משלא מצאנו עילה להתערב בעונש הפרטני שהוטל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וזאת מבלי לטעת מסמרות בעניין גבולות מתחמי הענישה שנקבעו בגזר הדין והאופן בו סווגו האירועים לצורך כך </w:t>
      </w:r>
      <w:r>
        <w:rPr>
          <w:rtl w:val="true"/>
        </w:rPr>
        <w:t>(</w:t>
      </w:r>
      <w:r>
        <w:rPr>
          <w:rtl w:val="true"/>
        </w:rPr>
        <w:t xml:space="preserve">בהתאם להוראות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>כבר עמדנו בפסיקתנו על החומרה הנודעת לשימוש בנשק חם באזור מגורים</w:t>
      </w:r>
      <w:r>
        <w:rPr>
          <w:rtl w:val="true"/>
        </w:rPr>
        <w:t xml:space="preserve">, </w:t>
      </w:r>
      <w:r>
        <w:rPr>
          <w:rtl w:val="true"/>
        </w:rPr>
        <w:t>תוך סיכון שלומם לא רק של המעורבים בסכסוך</w:t>
      </w:r>
      <w:r>
        <w:rPr>
          <w:rtl w:val="true"/>
        </w:rPr>
        <w:t xml:space="preserve">, </w:t>
      </w:r>
      <w:r>
        <w:rPr>
          <w:rtl w:val="true"/>
        </w:rPr>
        <w:t>אלא גם של עוברי אורח תמימים</w:t>
      </w:r>
      <w:r>
        <w:rPr>
          <w:rtl w:val="true"/>
        </w:rPr>
        <w:t xml:space="preserve">, </w:t>
      </w:r>
      <w:r>
        <w:rPr>
          <w:rtl w:val="true"/>
        </w:rPr>
        <w:t xml:space="preserve">ועל הצורך בענישה ממשית ומרתיעה בגין עבירות אלו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1880/14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עמאש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19.11.2014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tl w:val="true"/>
        </w:rPr>
        <w:t xml:space="preserve">)). </w:t>
      </w:r>
      <w:r>
        <w:rPr>
          <w:rtl w:val="true"/>
        </w:rPr>
        <w:t>בית המשפט המחוזי נתן דעתו לחומרת העבירות שבהן הורשע המערער</w:t>
      </w:r>
      <w:r>
        <w:rPr>
          <w:rtl w:val="true"/>
        </w:rPr>
        <w:t xml:space="preserve">, </w:t>
      </w:r>
      <w:r>
        <w:rPr>
          <w:rtl w:val="true"/>
        </w:rPr>
        <w:t>ולכך שהפגיעה הפיזית כתוצאה ממעשיו החמורים</w:t>
      </w:r>
      <w:r>
        <w:rPr>
          <w:rtl w:val="true"/>
        </w:rPr>
        <w:t xml:space="preserve">, </w:t>
      </w:r>
      <w:r>
        <w:rPr>
          <w:rtl w:val="true"/>
        </w:rPr>
        <w:t>לאחר שכיוון וירה בנשק לעבר אביו</w:t>
      </w:r>
      <w:r>
        <w:rPr>
          <w:rtl w:val="true"/>
        </w:rPr>
        <w:t xml:space="preserve">, </w:t>
      </w:r>
      <w:r>
        <w:rPr>
          <w:rtl w:val="true"/>
        </w:rPr>
        <w:t>נמנעה באורח נס</w:t>
      </w:r>
      <w:r>
        <w:rPr>
          <w:rtl w:val="true"/>
        </w:rPr>
        <w:t xml:space="preserve">, </w:t>
      </w:r>
      <w:r>
        <w:rPr>
          <w:rtl w:val="true"/>
        </w:rPr>
        <w:t xml:space="preserve">ולא מחמת זהירותו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6340/12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סנעאללה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12.5.2013</w:t>
      </w:r>
      <w:r>
        <w:rPr>
          <w:rtl w:val="true"/>
        </w:rPr>
        <w:t xml:space="preserve">)). </w:t>
      </w:r>
      <w:r>
        <w:rPr>
          <w:rtl w:val="true"/>
        </w:rPr>
        <w:t>בצד האמור</w:t>
      </w:r>
      <w:r>
        <w:rPr>
          <w:rtl w:val="true"/>
        </w:rPr>
        <w:t xml:space="preserve">, </w:t>
      </w:r>
      <w:r>
        <w:rPr>
          <w:rtl w:val="true"/>
        </w:rPr>
        <w:t>בית המשפט ציין</w:t>
      </w:r>
      <w:r>
        <w:rPr>
          <w:rtl w:val="true"/>
        </w:rPr>
        <w:t xml:space="preserve">, </w:t>
      </w:r>
      <w:r>
        <w:rPr>
          <w:rtl w:val="true"/>
        </w:rPr>
        <w:t>לחיוב</w:t>
      </w:r>
      <w:r>
        <w:rPr>
          <w:rtl w:val="true"/>
        </w:rPr>
        <w:t xml:space="preserve">, </w:t>
      </w:r>
      <w:r>
        <w:rPr>
          <w:rtl w:val="true"/>
        </w:rPr>
        <w:t>את הודאתו של המערער</w:t>
      </w:r>
      <w:r>
        <w:rPr>
          <w:rtl w:val="true"/>
        </w:rPr>
        <w:t xml:space="preserve">, </w:t>
      </w:r>
      <w:r>
        <w:rPr>
          <w:rtl w:val="true"/>
        </w:rPr>
        <w:t>ואת הסולחה שנערכה בעניינו</w:t>
      </w:r>
      <w:r>
        <w:rPr>
          <w:rtl w:val="true"/>
        </w:rPr>
        <w:t xml:space="preserve">, </w:t>
      </w:r>
      <w:r>
        <w:rPr>
          <w:rtl w:val="true"/>
        </w:rPr>
        <w:t>הגם שלזו האחרונה ניתן משקל מוגבל בנסיבות שלפנינו</w:t>
      </w:r>
      <w:r>
        <w:rPr>
          <w:rtl w:val="true"/>
        </w:rPr>
        <w:t xml:space="preserve">, </w:t>
      </w:r>
      <w:r>
        <w:rPr>
          <w:rtl w:val="true"/>
        </w:rPr>
        <w:t>משהאב</w:t>
      </w:r>
      <w:r>
        <w:rPr>
          <w:rtl w:val="true"/>
        </w:rPr>
        <w:t xml:space="preserve">, </w:t>
      </w:r>
      <w:r>
        <w:rPr>
          <w:rtl w:val="true"/>
        </w:rPr>
        <w:t>נפגע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לא השמיע עמדתו לגביה בפני בית המשפט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5883/15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אבו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ציאם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24.11.2016</w:t>
      </w:r>
      <w:r>
        <w:rPr>
          <w:rtl w:val="true"/>
        </w:rPr>
        <w:t>)</w:t>
      </w:r>
      <w:r>
        <w:rPr>
          <w:color w:val="000000"/>
          <w:sz w:val="28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נוכח דברים אלה ובשים לב לעברו הפלילי המכביד של המערער בעבירות אלימות בנסיבות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הטיל בית המשפט על המערער עונש של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באיזון זה שערך בית המשפט בין השיקולים הרלוונטיים – לחומרה ולקולה – לא ראינו להתערב</w:t>
      </w:r>
      <w:r>
        <w:rPr>
          <w:rtl w:val="true"/>
        </w:rPr>
        <w:t xml:space="preserve">, </w:t>
      </w:r>
      <w:r>
        <w:rPr>
          <w:rtl w:val="true"/>
        </w:rPr>
        <w:t xml:space="preserve">וזאת גם בראי מדיניות הענישה הנוהגת בעבירות שבהן הורשע המערער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6520/14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בוקאעי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30.4.2015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ובשים לב לכך שהמערער הוסיף לבצע עבירות אלו לאחר ששוחרר ממאסר ממושך בגין עבירות בעלות אופי דומה</w:t>
      </w:r>
      <w:r>
        <w:rPr>
          <w:rtl w:val="true"/>
        </w:rPr>
        <w:t xml:space="preserve">, </w:t>
      </w:r>
      <w:r>
        <w:rPr>
          <w:rtl w:val="true"/>
        </w:rPr>
        <w:t>כשעונשי מאסר על תנאי תלויים ועומדים נגדו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לבסוף יש לדחות גם את טענות המערער בקשר לעונש המאסר בפועל שהוטל עליו כתוצאה מהפעלת עונשי מאסר על תנאי שנגזרו עליו בהליכים אחרים</w:t>
      </w:r>
      <w:r>
        <w:rPr>
          <w:rtl w:val="true"/>
        </w:rPr>
        <w:t xml:space="preserve">. </w:t>
      </w:r>
      <w:r>
        <w:rPr>
          <w:rtl w:val="true"/>
        </w:rPr>
        <w:t xml:space="preserve">התנאי להפעלת המאסר המותנה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החודשים שנקבע בגזר הדין משנת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 xml:space="preserve">הפך לחלוט וניתן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ועל כן איננו רואים להידרש להשגותיו לגבי תנאי זה בהליך כאן לראשונה </w:t>
      </w:r>
      <w:r>
        <w:rPr>
          <w:rtl w:val="true"/>
        </w:rPr>
        <w:t>(</w:t>
      </w:r>
      <w:hyperlink r:id="rId25"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b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b/>
            <w:b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sz w:val="28"/>
            <w:u w:val="single"/>
          </w:rPr>
          <w:t>57/12</w:t>
        </w:r>
      </w:hyperlink>
      <w:r>
        <w:rPr>
          <w:b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אוקשי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b/>
          <w:b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b/>
          <w:color w:val="000000"/>
          <w:sz w:val="28"/>
          <w:rtl w:val="true"/>
        </w:rPr>
        <w:t>(</w:t>
      </w:r>
      <w:r>
        <w:rPr>
          <w:b/>
          <w:color w:val="000000"/>
          <w:sz w:val="28"/>
        </w:rPr>
        <w:t>5.1.2012</w:t>
      </w:r>
      <w:r>
        <w:rPr>
          <w:b/>
          <w:color w:val="000000"/>
          <w:sz w:val="28"/>
          <w:rtl w:val="true"/>
        </w:rPr>
        <w:t>);</w:t>
      </w:r>
      <w:r>
        <w:rPr>
          <w:rtl w:val="true"/>
        </w:rPr>
        <w:t xml:space="preserve"> </w:t>
      </w:r>
      <w:r>
        <w:rPr>
          <w:rtl w:val="true"/>
        </w:rPr>
        <w:t xml:space="preserve">אהרן אנקר </w:t>
      </w:r>
      <w:r>
        <w:rPr>
          <w:rFonts w:cs="Miriam"/>
          <w:b/>
          <w:b/>
          <w:spacing w:val="0"/>
          <w:szCs w:val="24"/>
          <w:rtl w:val="true"/>
        </w:rPr>
        <w:t>מאסר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תנאי</w:t>
      </w:r>
      <w:r>
        <w:rPr>
          <w:rtl w:val="true"/>
        </w:rPr>
        <w:t xml:space="preserve"> </w:t>
      </w:r>
      <w:r>
        <w:rPr/>
        <w:t>129-128</w:t>
      </w:r>
      <w:r>
        <w:rPr>
          <w:rtl w:val="true"/>
        </w:rPr>
        <w:t xml:space="preserve"> (</w:t>
      </w:r>
      <w:r>
        <w:rPr/>
        <w:t>1981</w:t>
      </w:r>
      <w:r>
        <w:rPr>
          <w:rtl w:val="true"/>
        </w:rPr>
        <w:t xml:space="preserve">)). </w:t>
      </w:r>
      <w:r>
        <w:rPr>
          <w:rtl w:val="true"/>
        </w:rPr>
        <w:t>גם טענותיו של המערער לעניין הפעלת המאסרים המותנים במצטבר לעונש בהליך הנוכחי אינן מעוררות עילה להתערבות בגזר הדין ולחריגה מן הכלל כי עונש מאסר מותנה שיופעל</w:t>
      </w:r>
      <w:r>
        <w:rPr>
          <w:rtl w:val="true"/>
        </w:rPr>
        <w:t xml:space="preserve">, </w:t>
      </w:r>
      <w:r>
        <w:rPr>
          <w:rtl w:val="true"/>
        </w:rPr>
        <w:t>ירוצה ככלל ובהעדר נסיבות מיוחדות</w:t>
      </w:r>
      <w:r>
        <w:rPr>
          <w:rtl w:val="true"/>
        </w:rPr>
        <w:t xml:space="preserve">, </w:t>
      </w:r>
      <w:r>
        <w:rPr>
          <w:rtl w:val="true"/>
        </w:rPr>
        <w:t xml:space="preserve">במצטבר ולא בחופף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2774/12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אבשלומוב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(</w:t>
      </w:r>
      <w:r>
        <w:rPr/>
        <w:t>19.3.2013</w:t>
      </w:r>
      <w:r>
        <w:rPr>
          <w:rtl w:val="true"/>
        </w:rPr>
        <w:t xml:space="preserve">)). </w:t>
      </w:r>
      <w:r>
        <w:rPr>
          <w:rtl w:val="true"/>
        </w:rPr>
        <w:t>איננו סבורים כי נסיבות מיוחדות כאמור מתקיימות 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מה גם שבית המשפט הפעיל בחופף את המאסרים המותנים שהיו תלויים ועומדים </w:t>
      </w:r>
      <w:r>
        <w:rPr>
          <w:rtl w:val="true"/>
        </w:rPr>
        <w:t>(</w:t>
      </w:r>
      <w:r>
        <w:rPr>
          <w:rtl w:val="true"/>
        </w:rPr>
        <w:t xml:space="preserve">ואילו היו מופעלים במצטבר היו מגיעים לכדי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25.10.2017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r>
        <w:rPr>
          <w:sz w:val="16"/>
        </w:rPr>
        <w:t>16047010</w:t>
      </w:r>
      <w:r>
        <w:rPr>
          <w:sz w:val="16"/>
          <w:rtl w:val="true"/>
        </w:rPr>
        <w:t>_</w:t>
      </w:r>
      <w:r>
        <w:rPr>
          <w:sz w:val="16"/>
        </w:rPr>
        <w:t>M01.doc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54678313-4701/16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4701/16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חסן אבו סבלאן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Style14">
    <w:name w:val="טקסט בלונים תו"/>
    <w:qFormat/>
    <w:rPr>
      <w:rFonts w:ascii="Tahoma" w:hAnsi="Tahoma" w:cs="Tahoma"/>
      <w:sz w:val="16"/>
      <w:szCs w:val="16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10077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40jc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86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70301/335.a.1" TargetMode="External"/><Relationship Id="rId18" Type="http://schemas.openxmlformats.org/officeDocument/2006/relationships/hyperlink" Target="http://www.nevo.co.il/case/20618836" TargetMode="External"/><Relationship Id="rId19" Type="http://schemas.openxmlformats.org/officeDocument/2006/relationships/hyperlink" Target="http://www.nevo.co.il/case/18654015" TargetMode="External"/><Relationship Id="rId20" Type="http://schemas.openxmlformats.org/officeDocument/2006/relationships/hyperlink" Target="http://www.nevo.co.il/law/70301/40jc" TargetMode="External"/><Relationship Id="rId21" Type="http://schemas.openxmlformats.org/officeDocument/2006/relationships/hyperlink" Target="http://www.nevo.co.il/case/18653904" TargetMode="External"/><Relationship Id="rId22" Type="http://schemas.openxmlformats.org/officeDocument/2006/relationships/hyperlink" Target="http://www.nevo.co.il/case/5594270" TargetMode="External"/><Relationship Id="rId23" Type="http://schemas.openxmlformats.org/officeDocument/2006/relationships/hyperlink" Target="http://www.nevo.co.il/case/21472953" TargetMode="External"/><Relationship Id="rId24" Type="http://schemas.openxmlformats.org/officeDocument/2006/relationships/hyperlink" Target="http://www.nevo.co.il/case/18059032" TargetMode="External"/><Relationship Id="rId25" Type="http://schemas.openxmlformats.org/officeDocument/2006/relationships/hyperlink" Target="http://www.nevo.co.il/case/5570855" TargetMode="External"/><Relationship Id="rId26" Type="http://schemas.openxmlformats.org/officeDocument/2006/relationships/hyperlink" Target="http://www.nevo.co.il/case/5581237" TargetMode="External"/><Relationship Id="rId27" Type="http://schemas.openxmlformats.org/officeDocument/2006/relationships/hyperlink" Target="http://www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16047010.M01.doc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2017-11-06T07:16:00Z</dcterms:created>
  <dc:creator> </dc:creator>
  <dc:description/>
  <cp:keywords/>
  <dc:language>en-IL</dc:language>
  <cp:lastModifiedBy>orly</cp:lastModifiedBy>
  <cp:lastPrinted>2017-10-25T11:36:00Z</cp:lastPrinted>
  <dcterms:modified xsi:type="dcterms:W3CDTF">2017-11-06T07:16:00Z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חסן אבו סבלאן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20100771;20618836;18654015;18653904;5594270;21472953;18059032;5570855;5581237</vt:lpwstr>
  </property>
  <property fmtid="{D5CDD505-2E9C-101B-9397-08002B2CF9AE}" pid="9" name="CITY">
    <vt:lpwstr/>
  </property>
  <property fmtid="{D5CDD505-2E9C-101B-9397-08002B2CF9AE}" pid="10" name="DATE">
    <vt:lpwstr>20171025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פוגלמן;ד' ברק ארז;ד' מינץ</vt:lpwstr>
  </property>
  <property fmtid="{D5CDD505-2E9C-101B-9397-08002B2CF9AE}" pid="14" name="LAWLISTTMP1">
    <vt:lpwstr>70301/192;186;144.b;025;333;335.a.1;40jc</vt:lpwstr>
  </property>
  <property fmtid="{D5CDD505-2E9C-101B-9397-08002B2CF9AE}" pid="15" name="LAWYER">
    <vt:lpwstr>קרן רוט;גיורא זילברשטיין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ענישה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1446;1446;1446;1446;1446;1446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</vt:lpwstr>
  </property>
  <property fmtid="{D5CDD505-2E9C-101B-9397-08002B2CF9AE}" pid="52" name="NOSE34">
    <vt:lpwstr>דרכי ענישה: עונשים מצטברים</vt:lpwstr>
  </property>
  <property fmtid="{D5CDD505-2E9C-101B-9397-08002B2CF9AE}" pid="53" name="NOSE35">
    <vt:lpwstr>דרכי ענישה: עונשים חופפים</vt:lpwstr>
  </property>
  <property fmtid="{D5CDD505-2E9C-101B-9397-08002B2CF9AE}" pid="54" name="NOSE36">
    <vt:lpwstr>הפעלת מאסר על תנאי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8984;8982;8994;8966;8965;8977</vt:lpwstr>
  </property>
  <property fmtid="{D5CDD505-2E9C-101B-9397-08002B2CF9AE}" pid="59" name="PADIDATE">
    <vt:lpwstr>20171106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4701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410120171025</vt:lpwstr>
  </property>
  <property fmtid="{D5CDD505-2E9C-101B-9397-08002B2CF9AE}" pid="69" name="TYPE_N_DATE">
    <vt:lpwstr>41020171025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