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4707/20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5.3.2020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10.6.2020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33639-12-18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מנחם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פינקלשטיין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ליאורה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ברודי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רמי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אמיר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4564"/>
        <w:gridCol w:w="569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56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20.12.</w:t>
            </w:r>
            <w:r>
              <w:rPr>
                <w:sz w:val="24"/>
                <w:szCs w:val="24"/>
              </w:rPr>
              <w:t>2021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56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2"/>
        <w:gridCol w:w="2"/>
        <w:gridCol w:w="5149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זהבי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וויזל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כרמלי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2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קולומבוס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54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 ערעור על הרשעת המערער בביצוע עבירות מין במתלוננת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בתה הקטינה של בת זוגו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אין בטענותיו כדי להצדיק התערבות בממצאי עובדה ומהימנות שקבע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המבססים היטב את הרשעתו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כן נדחה הערעור על עונש בן </w:t>
      </w:r>
      <w:r>
        <w:rPr>
          <w:rFonts w:cs="Times New Roman" w:ascii="Times New Roman" w:hAnsi="Times New Roman"/>
          <w:spacing w:val="0"/>
          <w:szCs w:val="26"/>
        </w:rPr>
        <w:t>16.5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 בהיותו הולם את מעשיו החמורים ואת נסיבות ביצועם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שאינו חורג באופן קיצוני ממדיניות הענישה הנוהגת או הראויה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>*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הרשעה – ערעור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בממצאים עובדתיים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במידת העונש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בקטינים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במשפחה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מהימנות – בחינתה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ערכאת הערעור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הכרעת דינו וגזר דינו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אשר הרשיע את המערער בביצוע עבירות מין רבות במתלוננת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בתה הקטינה כבת העשר בעת ביצוע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בת זוגו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והשית עליו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16.5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לצד מאסרים מותנים ופיצוי למתלוננת בסך של </w:t>
      </w:r>
      <w:r>
        <w:rPr>
          <w:rFonts w:cs="Times New Roman" w:ascii="Times New Roman" w:hAnsi="Times New Roman"/>
          <w:spacing w:val="0"/>
          <w:sz w:val="24"/>
          <w:szCs w:val="26"/>
        </w:rPr>
        <w:t>200,000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קרא ובהסכמת השופטים עמית ומינץ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לערעור על 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ענייננו אינו בא בגדר מקרים חריגים בהם על ערכאת הערעור להתערב בממצאי עובדה ומהימנות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פסק הדין ניתן בעיקר על בסיס התרשמות ממושכת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מקיפה ובלתי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אמצעית מהעדויות שהובאו לפני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ואשר כלל מענה הולם לכל אחת מטענות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ובתוך כך גם לקשיים עליהם ביקש להצביע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ההחלטה להרשיע את המערער ניתנה בשים לב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בעיקר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לעדות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אותה מצא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כמהימנה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עקבית ואותנטית ודי היה בכך כדי להרשיע את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נוכח הכלל הקבוע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54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לפקודת הראיות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מצא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להשעין את הכרעתו גם על עדויות שונות שנמצאו כמהימנות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מצא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קשיים בעדות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למעלה מן הצורך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טענות המערער נדחו גם לגופן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כנקודת מוצא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טוען המערער לחוסר פירוט והתחמקות מצד המתלוננת ולקיומם של מחדלים בחקירתה במשטרה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לגישתו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אותם מחדלים אף לא קיבלו מענה לפני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המשליך על הוכחת אשמתו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שאין לקבל טענות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 עמדה על ליבת האירועים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שניסתה לדייק בדבריה ככל הניתן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חוסרים נטענים או סתירות נטענות בעדותה זכו למענה מספק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ממילא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 כאלה אין הכרח לדקדק בפרטי עדות המתלוננת וניתן להסתפק בגרעין האמת המצוי בגרסתה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בניגוד לטענת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נראה שהמתלוננת נשאלה במסגרת הודעותיה במשטרה שאלות רגישות 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שנועדו לעמוד על גרסתה ולהגיע לחקר האמת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בקיומם של המחדלים הנטענים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כשלעצמם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להביא למסקנה מזכה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משאשמת המערער הוכחה מעל לכל 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בסיס מכלול הראיות שהונחו לפני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ומשהגנתו לא קופחה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גם אם יש שאלות מחוץ לגרעין האמת שלא נתבררו לעומקן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בסוגיות שיכול היה בא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כוח המערער ללבן בחקירה הנגדית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שנעשה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עמד על ליבון גרעין האירועים וסתירות אפשריות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מתוך ניסיון להגיע לחקר האמת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מענה לטענות המערער בא לביטוי בהכרעת דינו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ואין בטענות המערער כדי להצדיק התערבות בממצאי עובדה ומהימנות שקבע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ומשאלה מבססים היטב את הרשעתו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על הכרעת הדין נדחה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אשר לערעור על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הלכה היא כי ערכאת הערעור לא תתערב בעונש שהטילה הערכאה הדיונית אלא במקרים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בהם נפלה בגזר הדין טעות מהותית או שהעונש חורג באופן קיצוני ממדיניות הענישה הנוהגת או הראויה בנסיבות דומות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מקרה זה לא בא בגדר מקרים חריגים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כבר נפסק אודות החומרה הרבה הגלומה בביצוע עבירות מין בקטינים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במיוחד כשאלו מבוצעות בתוך התא המשפחתי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ניצול יחסי האמון והקרבה בין הפוגע לנפגע וכי במקרים אלה יש לתת את הבכורה לשיקולי גמול והרתעה על פני נסיבותיו האישיות של הפוגע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 של המערער אינו קל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בעונש ההולם את מעשיו החמורים ואת נסיבות ביצועם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במשך קרוב לשנה פגע המערער פגיעה קשה בגופה ובנפשה של המתלוננת – נערה צעירה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ראתה בו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אב שני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פגיעתו הקשה של המערער במתלוננת ממשיכה עדיין ללוותה בהיבטים רבים של חייה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 של המערער לא חורג באופן קיצוני ממדיניות הענישה הנוהגת או הראויה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4"/>
          <w:szCs w:val="24"/>
          <w:u w:val="single"/>
        </w:rPr>
      </w:pPr>
      <w:r>
        <w:rPr>
          <w:rFonts w:cs="Century" w:ascii="Century" w:hAnsi="Century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פינקלשטיין</w:t>
      </w:r>
      <w:r>
        <w:rPr>
          <w:rtl w:val="true"/>
        </w:rPr>
        <w:t xml:space="preserve">, </w:t>
      </w:r>
      <w:r>
        <w:rPr>
          <w:rtl w:val="true"/>
        </w:rPr>
        <w:t>סגנית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אמיר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33639-12-18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5.3.2020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eastAsia="Arial TUR;Arial" w:cs="Arial TUR;Arial"/>
          <w:rtl w:val="true"/>
        </w:rPr>
        <w:t xml:space="preserve"> </w:t>
      </w:r>
      <w:r>
        <w:rPr/>
        <w:t>10.6.2020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נגד המערער הוגש כתב אישום שייחס לו ביצוע עבירות מין רבות במתלוננת </w:t>
      </w:r>
      <w:r>
        <w:rPr>
          <w:rtl w:val="true"/>
        </w:rPr>
        <w:t>–</w:t>
      </w:r>
      <w:r>
        <w:rPr>
          <w:rtl w:val="true"/>
        </w:rPr>
        <w:t xml:space="preserve"> בתה של בת זוגו</w:t>
      </w:r>
      <w:r>
        <w:rPr>
          <w:rtl w:val="true"/>
        </w:rPr>
        <w:t xml:space="preserve">, </w:t>
      </w:r>
      <w:r>
        <w:rPr>
          <w:rtl w:val="true"/>
        </w:rPr>
        <w:t>שכללו מעשים חוזרים של החדרת אצבעותיו לאיבר מינה</w:t>
      </w:r>
      <w:r>
        <w:rPr>
          <w:rtl w:val="true"/>
        </w:rPr>
        <w:t xml:space="preserve">; </w:t>
      </w:r>
      <w:r>
        <w:rPr>
          <w:rtl w:val="true"/>
        </w:rPr>
        <w:t>החדרת איבר מינו לאיבר מינה</w:t>
      </w:r>
      <w:r>
        <w:rPr>
          <w:rtl w:val="true"/>
        </w:rPr>
        <w:t xml:space="preserve">; </w:t>
      </w:r>
      <w:r>
        <w:rPr>
          <w:rtl w:val="true"/>
        </w:rPr>
        <w:t>ליקוק איבר מינה</w:t>
      </w:r>
      <w:r>
        <w:rPr>
          <w:rtl w:val="true"/>
        </w:rPr>
        <w:t xml:space="preserve">; </w:t>
      </w:r>
      <w:r>
        <w:rPr>
          <w:rtl w:val="true"/>
        </w:rPr>
        <w:t>דחיפת ראשה אל עבר איבר מינו החשוף</w:t>
      </w:r>
      <w:r>
        <w:rPr>
          <w:rtl w:val="true"/>
        </w:rPr>
        <w:t xml:space="preserve">; </w:t>
      </w:r>
      <w:r>
        <w:rPr>
          <w:rtl w:val="true"/>
        </w:rPr>
        <w:t>ודרישה כי תשפשף את איבר מינו</w:t>
      </w:r>
      <w:r>
        <w:rPr>
          <w:rtl w:val="true"/>
        </w:rPr>
        <w:t xml:space="preserve">. </w:t>
      </w:r>
      <w:r>
        <w:rPr>
          <w:rtl w:val="true"/>
        </w:rPr>
        <w:t>בגין האמור יוחסו למערער עבירות רבות של אינוס קטינה בת משפחה שטרם מלאו לה ארבע עשרה שנים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2"/>
          <w:sz w:val="22"/>
          <w:szCs w:val="24"/>
          <w:rtl w:val="true"/>
        </w:rPr>
        <w:t>חוק העונשין</w:t>
      </w:r>
      <w:r>
        <w:rPr>
          <w:rtl w:val="true"/>
        </w:rPr>
        <w:t xml:space="preserve"> או </w:t>
      </w:r>
      <w:r>
        <w:rPr>
          <w:rFonts w:ascii="Miriam" w:hAnsi="Miriam" w:cs="Miriam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אינוס קטינה בת משפחה שלא בהסכמתה החופשית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עבירות רבות של ניסיון למעשה סדום בקטינה בת משפחה שטרם מלאו לה ארבע עשרה שנים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21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2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3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עבירות רבות של מעשה מגונה בקטינה בת משפחה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25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6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7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ועבירות רבות של ניסיון מעשה מגונה בקטינה בת משפחה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סעיפים </w:t>
      </w:r>
      <w:hyperlink r:id="rId29"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30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31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2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>המערער היה בן זוגה של מ</w:t>
      </w:r>
      <w:r>
        <w:rPr>
          <w:rtl w:val="true"/>
        </w:rPr>
        <w:t xml:space="preserve">' </w:t>
      </w:r>
      <w:r>
        <w:rPr>
          <w:rtl w:val="true"/>
        </w:rPr>
        <w:t xml:space="preserve">החל משנת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 xml:space="preserve">והחל משנת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הם התגוררו יחדיו</w:t>
      </w:r>
      <w:r>
        <w:rPr>
          <w:rtl w:val="true"/>
        </w:rPr>
        <w:t xml:space="preserve">. </w:t>
      </w:r>
      <w:r>
        <w:rPr>
          <w:rtl w:val="true"/>
        </w:rPr>
        <w:t>למ</w:t>
      </w:r>
      <w:r>
        <w:rPr>
          <w:rtl w:val="true"/>
        </w:rPr>
        <w:t xml:space="preserve">' </w:t>
      </w:r>
      <w:r>
        <w:rPr>
          <w:rtl w:val="true"/>
        </w:rPr>
        <w:t xml:space="preserve">שני ילדים קטינים </w:t>
      </w:r>
      <w:r>
        <w:rPr>
          <w:rtl w:val="true"/>
        </w:rPr>
        <w:t>–</w:t>
      </w:r>
      <w:r>
        <w:rPr>
          <w:rtl w:val="true"/>
        </w:rPr>
        <w:t xml:space="preserve">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ילידת </w:t>
      </w:r>
      <w:r>
        <w:rPr/>
        <w:t>17.10.2004</w:t>
      </w:r>
      <w:r>
        <w:rPr>
          <w:rtl w:val="true"/>
        </w:rPr>
        <w:t xml:space="preserve">, </w:t>
      </w:r>
      <w:r>
        <w:rPr>
          <w:rtl w:val="true"/>
        </w:rPr>
        <w:t>ושו</w:t>
      </w:r>
      <w:r>
        <w:rPr>
          <w:rtl w:val="true"/>
        </w:rPr>
        <w:t xml:space="preserve">', </w:t>
      </w:r>
      <w:r>
        <w:rPr>
          <w:rtl w:val="true"/>
        </w:rPr>
        <w:t xml:space="preserve">יליד שנת </w:t>
      </w:r>
      <w:r>
        <w:rPr/>
        <w:t>2010</w:t>
      </w:r>
      <w:r>
        <w:rPr>
          <w:rtl w:val="true"/>
        </w:rPr>
        <w:t xml:space="preserve">. </w:t>
      </w:r>
      <w:r>
        <w:rPr>
          <w:rtl w:val="true"/>
        </w:rPr>
        <w:t xml:space="preserve">למערער ילדה קטינה מנישואיו הקודמים </w:t>
      </w:r>
      <w:r>
        <w:rPr>
          <w:rtl w:val="true"/>
        </w:rPr>
        <w:t>–</w:t>
      </w:r>
      <w:r>
        <w:rPr>
          <w:rtl w:val="true"/>
        </w:rPr>
        <w:t xml:space="preserve"> ל</w:t>
      </w:r>
      <w:r>
        <w:rPr>
          <w:rtl w:val="true"/>
        </w:rPr>
        <w:t xml:space="preserve">', </w:t>
      </w:r>
      <w:r>
        <w:rPr>
          <w:rtl w:val="true"/>
        </w:rPr>
        <w:t xml:space="preserve">ילידת שנת </w:t>
      </w:r>
      <w:r>
        <w:rPr/>
        <w:t>2011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2"/>
          <w:sz w:val="22"/>
          <w:szCs w:val="24"/>
          <w:rtl w:val="true"/>
        </w:rPr>
        <w:t>הילדים</w:t>
      </w:r>
      <w:r>
        <w:rPr>
          <w:rtl w:val="true"/>
        </w:rPr>
        <w:t xml:space="preserve">). </w:t>
      </w:r>
      <w:r>
        <w:rPr>
          <w:rtl w:val="true"/>
        </w:rPr>
        <w:t xml:space="preserve">החל משנת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התגוררו המערער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 xml:space="preserve">והילדים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2"/>
          <w:sz w:val="22"/>
          <w:szCs w:val="24"/>
          <w:rtl w:val="true"/>
        </w:rPr>
        <w:t>בני המשפחה</w:t>
      </w:r>
      <w:r>
        <w:rPr>
          <w:rtl w:val="true"/>
        </w:rPr>
        <w:t xml:space="preserve">) </w:t>
      </w:r>
      <w:r>
        <w:rPr>
          <w:rtl w:val="true"/>
        </w:rPr>
        <w:t>בדירה משותפת</w:t>
      </w:r>
      <w:r>
        <w:rPr>
          <w:rtl w:val="true"/>
        </w:rPr>
        <w:t xml:space="preserve">, </w:t>
      </w:r>
      <w:r>
        <w:rPr>
          <w:rtl w:val="true"/>
        </w:rPr>
        <w:t xml:space="preserve">בה בוצעו המעשים מושא כתב האישום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2"/>
          <w:sz w:val="22"/>
          <w:szCs w:val="24"/>
          <w:rtl w:val="true"/>
        </w:rPr>
        <w:t>הבית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דצמבר</w:t>
      </w:r>
      <w:r>
        <w:rPr>
          <w:rFonts w:eastAsia="Arial TUR;Arial" w:cs="Arial TUR;Arial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בטלוויזיה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בחדרם</w:t>
      </w:r>
      <w:r>
        <w:rPr>
          <w:rtl w:val="true"/>
        </w:rPr>
        <w:t xml:space="preserve">,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לתחתוניו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לשפשף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מתחתוניו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לשפשפו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דצמבר</w:t>
      </w:r>
      <w:r>
        <w:rPr>
          <w:rFonts w:eastAsia="Arial TUR;Arial" w:cs="Arial TUR;Arial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eastAsia="Arial TUR;Arial" w:cs="Arial TUR;Arial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לרוב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בתדירות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לשבועיים</w:t>
      </w:r>
      <w:r>
        <w:rPr>
          <w:rtl w:val="true"/>
        </w:rPr>
        <w:t xml:space="preserve">.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ותחתוניה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וניסיונותיה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;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תמצצי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והזיזה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ראשה</w:t>
      </w:r>
      <w:r>
        <w:rPr>
          <w:rtl w:val="true"/>
        </w:rPr>
        <w:t xml:space="preserve">; </w:t>
      </w:r>
      <w:r>
        <w:rPr>
          <w:rtl w:val="true"/>
        </w:rPr>
        <w:t>ובמספר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לשפשף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גונח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eastAsia="Arial TUR;Arial" w:cs="Arial TUR;Arial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בטלוויזיה</w:t>
      </w:r>
      <w:r>
        <w:rPr>
          <w:rtl w:val="true"/>
        </w:rPr>
        <w:t xml:space="preserve">,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להפסיק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די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tl w:val="true"/>
        </w:rPr>
        <w:t xml:space="preserve">" </w:t>
      </w:r>
      <w:r>
        <w:rPr>
          <w:rtl w:val="true"/>
        </w:rPr>
        <w:t>וניסתה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שפשף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5.3.2020</w:t>
      </w:r>
      <w:r>
        <w:rPr>
          <w:rtl w:val="true"/>
        </w:rPr>
        <w:t xml:space="preserve"> </w:t>
      </w:r>
      <w:r>
        <w:rPr>
          <w:rtl w:val="true"/>
        </w:rPr>
        <w:t>הורשע המערער בכל העבירות המיוחסות לו</w:t>
      </w:r>
      <w:r>
        <w:rPr>
          <w:rtl w:val="true"/>
        </w:rPr>
        <w:t xml:space="preserve">, </w:t>
      </w:r>
      <w:r>
        <w:rPr>
          <w:rtl w:val="true"/>
        </w:rPr>
        <w:t xml:space="preserve">למעט בעבירות ניסיון מעשה מגונה בקטינה בת משפחה </w:t>
      </w:r>
      <w:r>
        <w:rPr>
          <w:rtl w:val="true"/>
        </w:rPr>
        <w:t>(</w:t>
      </w:r>
      <w:r>
        <w:rPr>
          <w:rtl w:val="true"/>
        </w:rPr>
        <w:t>בקשר עם האישום השני</w:t>
      </w:r>
      <w:r>
        <w:rPr>
          <w:rtl w:val="true"/>
        </w:rPr>
        <w:t xml:space="preserve">). </w:t>
      </w:r>
      <w:r>
        <w:rPr>
          <w:rtl w:val="true"/>
        </w:rPr>
        <w:t>זיכויו של המערער מעבירות אלו נקבע על רקע עדותה של המתלוננת בבית המשפט</w:t>
      </w:r>
      <w:r>
        <w:rPr>
          <w:rtl w:val="true"/>
        </w:rPr>
        <w:t xml:space="preserve">, </w:t>
      </w:r>
      <w:r>
        <w:rPr>
          <w:rtl w:val="true"/>
        </w:rPr>
        <w:t>בה דובר על שפשוף איבר מינו של המערער ולא על עבירות הניסיון להביאה לעשות כן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את הכרעת דינו המפורטת ביסס בית משפט קמא</w:t>
      </w:r>
      <w:r>
        <w:rPr>
          <w:rtl w:val="true"/>
        </w:rPr>
        <w:t xml:space="preserve">, </w:t>
      </w:r>
      <w:r>
        <w:rPr>
          <w:rtl w:val="true"/>
        </w:rPr>
        <w:t>בעיקרה</w:t>
      </w:r>
      <w:r>
        <w:rPr>
          <w:rtl w:val="true"/>
        </w:rPr>
        <w:t xml:space="preserve">, </w:t>
      </w:r>
      <w:r>
        <w:rPr>
          <w:rtl w:val="true"/>
        </w:rPr>
        <w:t>על עדות המתלוננת</w:t>
      </w:r>
      <w:r>
        <w:rPr>
          <w:rtl w:val="true"/>
        </w:rPr>
        <w:t xml:space="preserve">, </w:t>
      </w:r>
      <w:r>
        <w:rPr>
          <w:rtl w:val="true"/>
        </w:rPr>
        <w:t>אותה הוא מצא כמהימנה</w:t>
      </w:r>
      <w:r>
        <w:rPr>
          <w:rtl w:val="true"/>
        </w:rPr>
        <w:t xml:space="preserve">, </w:t>
      </w:r>
      <w:r>
        <w:rPr>
          <w:rtl w:val="true"/>
        </w:rPr>
        <w:t>עקבית ואותנטית</w:t>
      </w:r>
      <w:r>
        <w:rPr>
          <w:rtl w:val="true"/>
        </w:rPr>
        <w:t xml:space="preserve">. </w:t>
      </w:r>
      <w:r>
        <w:rPr>
          <w:rtl w:val="true"/>
        </w:rPr>
        <w:t>את התרשמותו מהמתלוננת השתית בית המשפט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על בקשתה לדייק בדבריה והימנעותה מהגזמה או מהשחרת המערער</w:t>
      </w:r>
      <w:r>
        <w:rPr>
          <w:rtl w:val="true"/>
        </w:rPr>
        <w:t xml:space="preserve">, </w:t>
      </w:r>
      <w:r>
        <w:rPr>
          <w:rtl w:val="true"/>
        </w:rPr>
        <w:t>בו ראתה כ</w:t>
      </w:r>
      <w:r>
        <w:rPr>
          <w:rtl w:val="true"/>
        </w:rPr>
        <w:t>"</w:t>
      </w:r>
      <w:r>
        <w:rPr>
          <w:rtl w:val="true"/>
        </w:rPr>
        <w:t>אב שני</w:t>
      </w:r>
      <w:r>
        <w:rPr>
          <w:rtl w:val="true"/>
        </w:rPr>
        <w:t xml:space="preserve">"; </w:t>
      </w:r>
      <w:r>
        <w:rPr>
          <w:rtl w:val="true"/>
        </w:rPr>
        <w:t>התייחסותה לקשר הבעייתי שלה עם מ</w:t>
      </w:r>
      <w:r>
        <w:rPr>
          <w:rtl w:val="true"/>
        </w:rPr>
        <w:t xml:space="preserve">' </w:t>
      </w:r>
      <w:r>
        <w:rPr>
          <w:rtl w:val="true"/>
        </w:rPr>
        <w:t>ולקנאתה בל</w:t>
      </w:r>
      <w:r>
        <w:rPr>
          <w:rtl w:val="true"/>
        </w:rPr>
        <w:t xml:space="preserve">'; </w:t>
      </w:r>
      <w:r>
        <w:rPr>
          <w:rtl w:val="true"/>
        </w:rPr>
        <w:t>האופן בו היא התמודדה עם החקירה הנגדית הממושכת</w:t>
      </w:r>
      <w:r>
        <w:rPr>
          <w:rtl w:val="true"/>
        </w:rPr>
        <w:t xml:space="preserve">; </w:t>
      </w:r>
      <w:r>
        <w:rPr>
          <w:rtl w:val="true"/>
        </w:rPr>
        <w:t>והחלטתה לחשוף את המעשים</w:t>
      </w:r>
      <w:r>
        <w:rPr>
          <w:rtl w:val="true"/>
        </w:rPr>
        <w:t xml:space="preserve">, </w:t>
      </w:r>
      <w:r>
        <w:rPr>
          <w:rtl w:val="true"/>
        </w:rPr>
        <w:t>חרף המחירים הכרוכים בכך</w:t>
      </w:r>
      <w:r>
        <w:rPr>
          <w:rtl w:val="true"/>
        </w:rPr>
        <w:t xml:space="preserve">. </w:t>
      </w:r>
      <w:r>
        <w:rPr>
          <w:rtl w:val="true"/>
        </w:rPr>
        <w:t>בית המשפט מצא חיזוקים לעדותה של המתלוננת</w:t>
      </w:r>
      <w:r>
        <w:rPr>
          <w:rtl w:val="true"/>
        </w:rPr>
        <w:t xml:space="preserve">, </w:t>
      </w:r>
      <w:r>
        <w:rPr>
          <w:rtl w:val="true"/>
        </w:rPr>
        <w:t>ואף כאלה משמעותיים</w:t>
      </w:r>
      <w:r>
        <w:rPr>
          <w:rtl w:val="true"/>
        </w:rPr>
        <w:t xml:space="preserve">, </w:t>
      </w:r>
      <w:r>
        <w:rPr>
          <w:rtl w:val="true"/>
        </w:rPr>
        <w:t>בשיח שקיימה בעניין המעשים שביצע בה המערער עם בת זוגו של אביה</w:t>
      </w:r>
      <w:r>
        <w:rPr>
          <w:rtl w:val="true"/>
        </w:rPr>
        <w:t xml:space="preserve">, </w:t>
      </w:r>
      <w:r>
        <w:rPr>
          <w:rtl w:val="true"/>
        </w:rPr>
        <w:t>עם חברתה א</w:t>
      </w:r>
      <w:r>
        <w:rPr>
          <w:rtl w:val="true"/>
        </w:rPr>
        <w:t xml:space="preserve">', </w:t>
      </w:r>
      <w:r>
        <w:rPr>
          <w:rtl w:val="true"/>
        </w:rPr>
        <w:t>ועם אביה</w:t>
      </w:r>
      <w:r>
        <w:rPr>
          <w:rtl w:val="true"/>
        </w:rPr>
        <w:t xml:space="preserve">, </w:t>
      </w:r>
      <w:r>
        <w:rPr>
          <w:rtl w:val="true"/>
        </w:rPr>
        <w:t>עובר להגשת התלונה במשטרה</w:t>
      </w:r>
      <w:r>
        <w:rPr>
          <w:rtl w:val="true"/>
        </w:rPr>
        <w:t xml:space="preserve">, </w:t>
      </w:r>
      <w:r>
        <w:rPr>
          <w:rtl w:val="true"/>
        </w:rPr>
        <w:t>ובעדותם לפני בית המשפט בנושא</w:t>
      </w:r>
      <w:r>
        <w:rPr>
          <w:rtl w:val="true"/>
        </w:rPr>
        <w:t xml:space="preserve">, </w:t>
      </w:r>
      <w:r>
        <w:rPr>
          <w:rtl w:val="true"/>
        </w:rPr>
        <w:t>שנמצאה כמהימנה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דחה בית משפט קמא את טענות ההגנה ביחס למהימנות המתלוננת</w:t>
      </w:r>
      <w:r>
        <w:rPr>
          <w:rtl w:val="true"/>
        </w:rPr>
        <w:t xml:space="preserve">, </w:t>
      </w:r>
      <w:r>
        <w:rPr>
          <w:rtl w:val="true"/>
        </w:rPr>
        <w:t>וקבע כי הגם שעלו סתירות מסוימות בין הודעותיה במשטרה</w:t>
      </w:r>
      <w:r>
        <w:rPr>
          <w:rtl w:val="true"/>
        </w:rPr>
        <w:t xml:space="preserve">, </w:t>
      </w:r>
      <w:r>
        <w:rPr>
          <w:rtl w:val="true"/>
        </w:rPr>
        <w:t>וכן בינן לבין עדותה לפניו</w:t>
      </w:r>
      <w:r>
        <w:rPr>
          <w:rtl w:val="true"/>
        </w:rPr>
        <w:t xml:space="preserve">, </w:t>
      </w:r>
      <w:r>
        <w:rPr>
          <w:rtl w:val="true"/>
        </w:rPr>
        <w:t>הרי שמדובר בסתירות לא משמעותיות שאין בהן כדי לפגום במהימנותה</w:t>
      </w:r>
      <w:r>
        <w:rPr>
          <w:rtl w:val="true"/>
        </w:rPr>
        <w:t xml:space="preserve">. </w:t>
      </w:r>
      <w:r>
        <w:rPr>
          <w:rtl w:val="true"/>
        </w:rPr>
        <w:t>בהקשר זה הדגיש בית המשפט</w:t>
      </w:r>
      <w:r>
        <w:rPr>
          <w:rtl w:val="true"/>
        </w:rPr>
        <w:t xml:space="preserve">, </w:t>
      </w:r>
      <w:r>
        <w:rPr>
          <w:rtl w:val="true"/>
        </w:rPr>
        <w:t>כי ממילא המתלוננת לא נחקרה בחקירה נגדית לגבי חלק נכבד מאותן סתירות נטענות</w:t>
      </w:r>
      <w:r>
        <w:rPr>
          <w:rtl w:val="true"/>
        </w:rPr>
        <w:t xml:space="preserve">, </w:t>
      </w:r>
      <w:r>
        <w:rPr>
          <w:rtl w:val="true"/>
        </w:rPr>
        <w:t>וכי ביחס לסתירות שהיא כן נחקרה לגביהן</w:t>
      </w:r>
      <w:r>
        <w:rPr>
          <w:rtl w:val="true"/>
        </w:rPr>
        <w:t xml:space="preserve">, </w:t>
      </w:r>
      <w:r>
        <w:rPr>
          <w:rtl w:val="true"/>
        </w:rPr>
        <w:t>סיכומי ההגנה לא כללו התייחסות לתשובות שמסרה המתלוננת בעדותה בעניין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ביחס לעדות המערער קבע בית משפט קמא כי זו הייתה</w:t>
      </w:r>
      <w:r>
        <w:rPr>
          <w:rtl w:val="true"/>
        </w:rPr>
        <w:t xml:space="preserve">, </w:t>
      </w:r>
      <w:r>
        <w:rPr>
          <w:rtl w:val="true"/>
        </w:rPr>
        <w:t>באופן כללי</w:t>
      </w:r>
      <w:r>
        <w:rPr>
          <w:rtl w:val="true"/>
        </w:rPr>
        <w:t xml:space="preserve">, </w:t>
      </w:r>
      <w:r>
        <w:rPr>
          <w:rtl w:val="true"/>
        </w:rPr>
        <w:t>עקבית</w:t>
      </w:r>
      <w:r>
        <w:rPr>
          <w:rtl w:val="true"/>
        </w:rPr>
        <w:t xml:space="preserve">, </w:t>
      </w:r>
      <w:r>
        <w:rPr>
          <w:rtl w:val="true"/>
        </w:rPr>
        <w:t>וכי לא נמצאו בדבריו סתירות של ממש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מצא בית המשפט בעדותו קשיים</w:t>
      </w:r>
      <w:r>
        <w:rPr>
          <w:rtl w:val="true"/>
        </w:rPr>
        <w:t xml:space="preserve">, </w:t>
      </w:r>
      <w:r>
        <w:rPr>
          <w:rtl w:val="true"/>
        </w:rPr>
        <w:t>בהינתן שלמערער לא היו תשובות לשאלות משמעותיות שהועלו בפניו בחקירתו הנגדית</w:t>
      </w:r>
      <w:r>
        <w:rPr>
          <w:rtl w:val="true"/>
        </w:rPr>
        <w:t xml:space="preserve">. </w:t>
      </w:r>
      <w:r>
        <w:rPr>
          <w:rtl w:val="true"/>
        </w:rPr>
        <w:t>כן מצא בית המשפט חוסר כנות בפער שבין עדותו המאופקת בעיקרה במשטרה ולפניו</w:t>
      </w:r>
      <w:r>
        <w:rPr>
          <w:rtl w:val="true"/>
        </w:rPr>
        <w:t xml:space="preserve">, </w:t>
      </w:r>
      <w:r>
        <w:rPr>
          <w:rtl w:val="true"/>
        </w:rPr>
        <w:t>לבין התבטאויותיו הבוטות כלפי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אותה כינה </w:t>
      </w:r>
      <w:r>
        <w:rPr>
          <w:rtl w:val="true"/>
        </w:rPr>
        <w:t>"</w:t>
      </w:r>
      <w:r>
        <w:rPr>
          <w:rtl w:val="true"/>
        </w:rPr>
        <w:t>ילדה מסריחה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כמו שטן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אשר ליתר עדי ההגנה</w:t>
      </w:r>
      <w:r>
        <w:rPr>
          <w:rtl w:val="true"/>
        </w:rPr>
        <w:t xml:space="preserve">, </w:t>
      </w:r>
      <w:r>
        <w:rPr>
          <w:rtl w:val="true"/>
        </w:rPr>
        <w:t>מצא בית המשפט את מ</w:t>
      </w:r>
      <w:r>
        <w:rPr>
          <w:rtl w:val="true"/>
        </w:rPr>
        <w:t xml:space="preserve">' </w:t>
      </w:r>
      <w:r>
        <w:rPr>
          <w:rtl w:val="true"/>
        </w:rPr>
        <w:t>כעדה בלתי מהימנה</w:t>
      </w:r>
      <w:r>
        <w:rPr>
          <w:rtl w:val="true"/>
        </w:rPr>
        <w:t xml:space="preserve">. </w:t>
      </w:r>
      <w:r>
        <w:rPr>
          <w:rtl w:val="true"/>
        </w:rPr>
        <w:t>ביחס לעדותה קבע בית המשפט כי מ</w:t>
      </w:r>
      <w:r>
        <w:rPr>
          <w:rtl w:val="true"/>
        </w:rPr>
        <w:t xml:space="preserve">' </w:t>
      </w:r>
      <w:r>
        <w:rPr>
          <w:rtl w:val="true"/>
        </w:rPr>
        <w:t>ניסתה</w:t>
      </w:r>
      <w:r>
        <w:rPr>
          <w:rtl w:val="true"/>
        </w:rPr>
        <w:t xml:space="preserve">, </w:t>
      </w:r>
      <w:r>
        <w:rPr>
          <w:rtl w:val="true"/>
        </w:rPr>
        <w:t>באופן ברור ומגמתי</w:t>
      </w:r>
      <w:r>
        <w:rPr>
          <w:rtl w:val="true"/>
        </w:rPr>
        <w:t xml:space="preserve">, </w:t>
      </w:r>
      <w:r>
        <w:rPr>
          <w:rtl w:val="true"/>
        </w:rPr>
        <w:t>להציג את המתלוננת כבלתי אמינה</w:t>
      </w:r>
      <w:r>
        <w:rPr>
          <w:rtl w:val="true"/>
        </w:rPr>
        <w:t xml:space="preserve">, </w:t>
      </w:r>
      <w:r>
        <w:rPr>
          <w:rtl w:val="true"/>
        </w:rPr>
        <w:t>על אף הימנעותה מבירור העובדות ומשמיעת פרטי המקרה מפיה</w:t>
      </w:r>
      <w:r>
        <w:rPr>
          <w:rtl w:val="true"/>
        </w:rPr>
        <w:t xml:space="preserve">. </w:t>
      </w:r>
      <w:r>
        <w:rPr>
          <w:rtl w:val="true"/>
        </w:rPr>
        <w:t>עוד ציין בית המשפט</w:t>
      </w:r>
      <w:r>
        <w:rPr>
          <w:rtl w:val="true"/>
        </w:rPr>
        <w:t xml:space="preserve">, </w:t>
      </w:r>
      <w:r>
        <w:rPr>
          <w:rtl w:val="true"/>
        </w:rPr>
        <w:t>כי מ</w:t>
      </w:r>
      <w:r>
        <w:rPr>
          <w:rtl w:val="true"/>
        </w:rPr>
        <w:t xml:space="preserve">' </w:t>
      </w:r>
      <w:r>
        <w:rPr>
          <w:rtl w:val="true"/>
        </w:rPr>
        <w:t xml:space="preserve">לא סיפקה תשובה לשאלה האם המתלוננת כה זדונית עד כדי המצאת סיפור כה </w:t>
      </w:r>
      <w:r>
        <w:rPr>
          <w:rtl w:val="true"/>
        </w:rPr>
        <w:t>"</w:t>
      </w:r>
      <w:r>
        <w:rPr>
          <w:rtl w:val="true"/>
        </w:rPr>
        <w:t>מפלצתי</w:t>
      </w:r>
      <w:r>
        <w:rPr>
          <w:rtl w:val="true"/>
        </w:rPr>
        <w:t xml:space="preserve">". </w:t>
      </w:r>
      <w:r>
        <w:rPr>
          <w:rtl w:val="true"/>
        </w:rPr>
        <w:t>לבסוף קבע בית המשפט כי עדותה של מ</w:t>
      </w:r>
      <w:r>
        <w:rPr>
          <w:rtl w:val="true"/>
        </w:rPr>
        <w:t xml:space="preserve">' </w:t>
      </w:r>
      <w:r>
        <w:rPr>
          <w:rtl w:val="true"/>
        </w:rPr>
        <w:t>מראה עד כמה צדקה המתלוננת בחששה מהיעדר תמיכה של אמה</w:t>
      </w:r>
      <w:r>
        <w:rPr>
          <w:rtl w:val="true"/>
        </w:rPr>
        <w:t xml:space="preserve">, </w:t>
      </w:r>
      <w:r>
        <w:rPr>
          <w:rtl w:val="true"/>
        </w:rPr>
        <w:t>באופן המלמד על אומץ ליבה בחשיפת האירועים ומחזק את עדותה של המתלוננת דווקא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 התייחס בית המשפט לחוות דעתו של ד</w:t>
      </w:r>
      <w:r>
        <w:rPr>
          <w:rtl w:val="true"/>
        </w:rPr>
        <w:t>"</w:t>
      </w:r>
      <w:r>
        <w:rPr>
          <w:rtl w:val="true"/>
        </w:rPr>
        <w:t xml:space="preserve">ר אבי זלן </w:t>
      </w:r>
      <w:r>
        <w:rPr>
          <w:rtl w:val="true"/>
        </w:rPr>
        <w:t>–</w:t>
      </w:r>
      <w:r>
        <w:rPr>
          <w:rtl w:val="true"/>
        </w:rPr>
        <w:t xml:space="preserve"> רופא משפטי במרכז הלאומי לרפואה משפטית</w:t>
      </w:r>
      <w:r>
        <w:rPr>
          <w:rtl w:val="true"/>
        </w:rPr>
        <w:t xml:space="preserve">, </w:t>
      </w:r>
      <w:r>
        <w:rPr>
          <w:rtl w:val="true"/>
        </w:rPr>
        <w:t xml:space="preserve">אשר הוגשה מטעם ההגנה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2"/>
          <w:sz w:val="22"/>
          <w:szCs w:val="24"/>
          <w:rtl w:val="true"/>
        </w:rPr>
        <w:t>חוות הדעת</w:t>
      </w:r>
      <w:r>
        <w:rPr>
          <w:rtl w:val="true"/>
        </w:rPr>
        <w:t xml:space="preserve">). </w:t>
      </w:r>
      <w:r>
        <w:rPr>
          <w:rtl w:val="true"/>
        </w:rPr>
        <w:t>מחוות הדעת עלה</w:t>
      </w:r>
      <w:r>
        <w:rPr>
          <w:rtl w:val="true"/>
        </w:rPr>
        <w:t xml:space="preserve">, </w:t>
      </w:r>
      <w:r>
        <w:rPr>
          <w:rtl w:val="true"/>
        </w:rPr>
        <w:t>כי בהיעדר ממצאים חבלתיים</w:t>
      </w:r>
      <w:r>
        <w:rPr>
          <w:rtl w:val="true"/>
        </w:rPr>
        <w:t xml:space="preserve">, </w:t>
      </w:r>
      <w:r>
        <w:rPr>
          <w:rtl w:val="true"/>
        </w:rPr>
        <w:t>כמו גם מהישארותו של קרום הבתולים שלם</w:t>
      </w:r>
      <w:r>
        <w:rPr>
          <w:rtl w:val="true"/>
        </w:rPr>
        <w:t xml:space="preserve">, </w:t>
      </w:r>
      <w:r>
        <w:rPr>
          <w:rtl w:val="true"/>
        </w:rPr>
        <w:t>לא ניתן לאשר או לשלול את גרסת המתלוננת</w:t>
      </w:r>
      <w:r>
        <w:rPr>
          <w:rtl w:val="true"/>
        </w:rPr>
        <w:t xml:space="preserve">. </w:t>
      </w:r>
      <w:r>
        <w:rPr>
          <w:rtl w:val="true"/>
        </w:rPr>
        <w:t>בהקשר זה ציין בית המשפט</w:t>
      </w:r>
      <w:r>
        <w:rPr>
          <w:rtl w:val="true"/>
        </w:rPr>
        <w:t xml:space="preserve">, </w:t>
      </w:r>
      <w:r>
        <w:rPr>
          <w:rtl w:val="true"/>
        </w:rPr>
        <w:t>כי על פי הפסיקה בנושא היעדר ממצא פורנזי ממילא אינו מהווה ראיה מזכה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מצא בית המשפט מענה בחוות הדעת גם לטענות נוספות אותן העלתה ההגנה</w:t>
      </w:r>
      <w:r>
        <w:rPr>
          <w:rtl w:val="true"/>
        </w:rPr>
        <w:t xml:space="preserve">, </w:t>
      </w:r>
      <w:r>
        <w:rPr>
          <w:rtl w:val="true"/>
        </w:rPr>
        <w:t>בהן ביחס לרגישות שחשה המתלוננת בעת ביצוע הבדיקה הרפואית לעומת דיווחה כי לא חשה כאב בעת מעשיו של המערער</w:t>
      </w:r>
      <w:r>
        <w:rPr>
          <w:rtl w:val="true"/>
        </w:rPr>
        <w:t xml:space="preserve">. </w:t>
      </w:r>
      <w:r>
        <w:rPr>
          <w:rtl w:val="true"/>
        </w:rPr>
        <w:t>לבסוף התייחס בית המשפט לטענת ההגנה בדבר קיומם של מחדלי חקירה באופן ביצוע הבדיקה בידי ד</w:t>
      </w:r>
      <w:r>
        <w:rPr>
          <w:rtl w:val="true"/>
        </w:rPr>
        <w:t>"</w:t>
      </w:r>
      <w:r>
        <w:rPr>
          <w:rtl w:val="true"/>
        </w:rPr>
        <w:t>ר זלן</w:t>
      </w:r>
      <w:r>
        <w:rPr>
          <w:rtl w:val="true"/>
        </w:rPr>
        <w:t xml:space="preserve">, </w:t>
      </w:r>
      <w:r>
        <w:rPr>
          <w:rtl w:val="true"/>
        </w:rPr>
        <w:t>וקבע כי הרלוונטיות של המידע שלא נאסף מוטלת בספק רציני</w:t>
      </w:r>
      <w:r>
        <w:rPr>
          <w:rtl w:val="true"/>
        </w:rPr>
        <w:t xml:space="preserve">. </w:t>
      </w:r>
      <w:r>
        <w:rPr>
          <w:rtl w:val="true"/>
        </w:rPr>
        <w:t>בהקשר זה הוסיף בית המשפט כי גם אם היה נקבע שמדובר במחדל</w:t>
      </w:r>
      <w:r>
        <w:rPr>
          <w:rtl w:val="true"/>
        </w:rPr>
        <w:t xml:space="preserve">, </w:t>
      </w:r>
      <w:r>
        <w:rPr>
          <w:rtl w:val="true"/>
        </w:rPr>
        <w:t>הרי שממילא אין במחדלי חקירה</w:t>
      </w:r>
      <w:r>
        <w:rPr>
          <w:rtl w:val="true"/>
        </w:rPr>
        <w:t xml:space="preserve">, </w:t>
      </w:r>
      <w:r>
        <w:rPr>
          <w:rtl w:val="true"/>
        </w:rPr>
        <w:t>כשלעצמם</w:t>
      </w:r>
      <w:r>
        <w:rPr>
          <w:rtl w:val="true"/>
        </w:rPr>
        <w:t xml:space="preserve">, </w:t>
      </w:r>
      <w:r>
        <w:rPr>
          <w:rtl w:val="true"/>
        </w:rPr>
        <w:t>כדי להביא לזיכויו של המערער</w:t>
      </w:r>
      <w:r>
        <w:rPr>
          <w:rtl w:val="true"/>
        </w:rPr>
        <w:t xml:space="preserve">, </w:t>
      </w:r>
      <w:r>
        <w:rPr>
          <w:rtl w:val="true"/>
        </w:rPr>
        <w:t>בהינתן שהונחה תשתית ראייתית מספקת להוכחת אשמתו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התייחס בית משפט קמא לטענת העלילה שהעלתה ההגנה</w:t>
      </w:r>
      <w:r>
        <w:rPr>
          <w:rtl w:val="true"/>
        </w:rPr>
        <w:t xml:space="preserve">, </w:t>
      </w:r>
      <w:r>
        <w:rPr>
          <w:rtl w:val="true"/>
        </w:rPr>
        <w:t>לפיה המתלוננת טפלה על המערער עלילת שווא לצורך העברתה למשמורת אביה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לשיטת ההגנה</w:t>
      </w:r>
      <w:r>
        <w:rPr>
          <w:rtl w:val="true"/>
        </w:rPr>
        <w:t xml:space="preserve">, </w:t>
      </w:r>
      <w:r>
        <w:rPr>
          <w:rtl w:val="true"/>
        </w:rPr>
        <w:t>גם אם לא מדובר בתכנית סדורה אלא במעשה ספונטני</w:t>
      </w:r>
      <w:r>
        <w:rPr>
          <w:rtl w:val="true"/>
        </w:rPr>
        <w:t xml:space="preserve">, </w:t>
      </w:r>
      <w:r>
        <w:rPr>
          <w:rtl w:val="true"/>
        </w:rPr>
        <w:t>משהוגשה התלונה דבקה המתלוננת בגרסתה</w:t>
      </w:r>
      <w:r>
        <w:rPr>
          <w:rtl w:val="true"/>
        </w:rPr>
        <w:t xml:space="preserve">, </w:t>
      </w:r>
      <w:r>
        <w:rPr>
          <w:rtl w:val="true"/>
        </w:rPr>
        <w:t>וזו אף אישרה כי אם הייתה ממציאה סיפור שקרי היא הייתה נצמדת אליו</w:t>
      </w:r>
      <w:r>
        <w:rPr>
          <w:rtl w:val="true"/>
        </w:rPr>
        <w:t xml:space="preserve">. </w:t>
      </w:r>
      <w:r>
        <w:rPr>
          <w:rtl w:val="true"/>
        </w:rPr>
        <w:t>בהקשר זה קבע בית המשפט</w:t>
      </w:r>
      <w:r>
        <w:rPr>
          <w:rtl w:val="true"/>
        </w:rPr>
        <w:t xml:space="preserve">, </w:t>
      </w:r>
      <w:r>
        <w:rPr>
          <w:rtl w:val="true"/>
        </w:rPr>
        <w:t>כי אין בטענת העלילה כדי לעורר את הספק הסביר הנדרש לשם זיכויו של המערער</w:t>
      </w:r>
      <w:r>
        <w:rPr>
          <w:rtl w:val="true"/>
        </w:rPr>
        <w:t xml:space="preserve">. </w:t>
      </w:r>
      <w:r>
        <w:rPr>
          <w:rtl w:val="true"/>
        </w:rPr>
        <w:t>כן נקבע כי טענה זו הופרכה נוכח התרשמותו החיובית של בית המשפט מהמתלוננת ומהראיות שהונחו לפניו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שיחתה של המתלוננת עם א</w:t>
      </w:r>
      <w:r>
        <w:rPr>
          <w:rtl w:val="true"/>
        </w:rPr>
        <w:t xml:space="preserve">' </w:t>
      </w:r>
      <w:r>
        <w:rPr>
          <w:rtl w:val="true"/>
        </w:rPr>
        <w:t>כחודש וחצי לפני הגשת התלונה במשטרה</w:t>
      </w:r>
      <w:r>
        <w:rPr>
          <w:rtl w:val="true"/>
        </w:rPr>
        <w:t xml:space="preserve">, </w:t>
      </w:r>
      <w:r>
        <w:rPr>
          <w:rtl w:val="true"/>
        </w:rPr>
        <w:t>בה סיפרה לה המתלוננת</w:t>
      </w:r>
      <w:r>
        <w:rPr>
          <w:rtl w:val="true"/>
        </w:rPr>
        <w:t xml:space="preserve">, </w:t>
      </w:r>
      <w:r>
        <w:rPr>
          <w:rtl w:val="true"/>
        </w:rPr>
        <w:t>בקווים כלליים</w:t>
      </w:r>
      <w:r>
        <w:rPr>
          <w:rtl w:val="true"/>
        </w:rPr>
        <w:t xml:space="preserve">, </w:t>
      </w:r>
      <w:r>
        <w:rPr>
          <w:rtl w:val="true"/>
        </w:rPr>
        <w:t>על מעשי המערער</w:t>
      </w:r>
      <w:r>
        <w:rPr>
          <w:rtl w:val="true"/>
        </w:rPr>
        <w:t xml:space="preserve">. </w:t>
      </w:r>
      <w:r>
        <w:rPr>
          <w:rtl w:val="true"/>
        </w:rPr>
        <w:t>בתוך כך הדגיש בית המשפט כי לא היה ברצונה של המתלוננת לעבור מהבית</w:t>
      </w:r>
      <w:r>
        <w:rPr>
          <w:rtl w:val="true"/>
        </w:rPr>
        <w:t xml:space="preserve">, </w:t>
      </w:r>
      <w:r>
        <w:rPr>
          <w:rtl w:val="true"/>
        </w:rPr>
        <w:t>בקנאתה בל</w:t>
      </w:r>
      <w:r>
        <w:rPr>
          <w:rtl w:val="true"/>
        </w:rPr>
        <w:t xml:space="preserve">' </w:t>
      </w:r>
      <w:r>
        <w:rPr>
          <w:rtl w:val="true"/>
        </w:rPr>
        <w:t>ובטיב יחסיה עם מ</w:t>
      </w:r>
      <w:r>
        <w:rPr>
          <w:rtl w:val="true"/>
        </w:rPr>
        <w:t xml:space="preserve">', </w:t>
      </w:r>
      <w:r>
        <w:rPr>
          <w:rtl w:val="true"/>
        </w:rPr>
        <w:t>היבטים אותם לא הכחישה</w:t>
      </w:r>
      <w:r>
        <w:rPr>
          <w:rtl w:val="true"/>
        </w:rPr>
        <w:t xml:space="preserve">, </w:t>
      </w:r>
      <w:r>
        <w:rPr>
          <w:rtl w:val="true"/>
        </w:rPr>
        <w:t>כדי לגרום לה לפעול כנטען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למערער ולמ</w:t>
      </w:r>
      <w:r>
        <w:rPr>
          <w:rtl w:val="true"/>
        </w:rPr>
        <w:t xml:space="preserve">' </w:t>
      </w:r>
      <w:r>
        <w:rPr>
          <w:rtl w:val="true"/>
        </w:rPr>
        <w:t>אף לא הייתה תשובה לשאלה האם המתלוננת כה זדונית עד כדי כך שתעשה כן</w:t>
      </w:r>
      <w:r>
        <w:rPr>
          <w:rtl w:val="true"/>
        </w:rPr>
        <w:t xml:space="preserve">. </w:t>
      </w:r>
      <w:r>
        <w:rPr>
          <w:rtl w:val="true"/>
        </w:rPr>
        <w:t>עוד הוסיף בית המשפט כי התרשמותו מהמתלוננת היא כי מדובר באדם מצפוני</w:t>
      </w:r>
      <w:r>
        <w:rPr>
          <w:rtl w:val="true"/>
        </w:rPr>
        <w:t xml:space="preserve">, </w:t>
      </w:r>
      <w:r>
        <w:rPr>
          <w:rtl w:val="true"/>
        </w:rPr>
        <w:t>וכי ממילא אין הוא סבור שהיא מסוגלת לרקום עלילת שווא כה מפורטת ומניפולטיבית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tl w:val="true"/>
        </w:rPr>
        <w:t xml:space="preserve">. </w:t>
      </w:r>
      <w:r>
        <w:rPr>
          <w:rtl w:val="true"/>
        </w:rPr>
        <w:t>לבסוף קבע בית המשפט כי המתלוננת עמדה על דבריה משום שמדובר בדברי אמת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10.6.2021</w:t>
      </w:r>
      <w:r>
        <w:rPr>
          <w:rtl w:val="true"/>
        </w:rPr>
        <w:t xml:space="preserve"> </w:t>
      </w:r>
      <w:r>
        <w:rPr>
          <w:rtl w:val="true"/>
        </w:rPr>
        <w:t>גזר בית משפט קמא את דינו של המערער</w:t>
      </w:r>
      <w:r>
        <w:rPr>
          <w:rtl w:val="true"/>
        </w:rPr>
        <w:t xml:space="preserve">. </w:t>
      </w:r>
      <w:r>
        <w:rPr>
          <w:rtl w:val="true"/>
        </w:rPr>
        <w:t>בגזר דינו עמד בית המשפט על הערכים המוגנים שנפגעו כתוצאה ממעשי המערער</w:t>
      </w:r>
      <w:r>
        <w:rPr>
          <w:rtl w:val="true"/>
        </w:rPr>
        <w:t xml:space="preserve">; </w:t>
      </w:r>
      <w:r>
        <w:rPr>
          <w:rtl w:val="true"/>
        </w:rPr>
        <w:t>נסיבות ביצוע העבירות וחומרתן הרבה</w:t>
      </w:r>
      <w:r>
        <w:rPr>
          <w:rtl w:val="true"/>
        </w:rPr>
        <w:t xml:space="preserve">; </w:t>
      </w:r>
      <w:r>
        <w:rPr>
          <w:rtl w:val="true"/>
        </w:rPr>
        <w:t>הנזקים הקשים שנגרמו למתלוננת</w:t>
      </w:r>
      <w:r>
        <w:rPr>
          <w:rtl w:val="true"/>
        </w:rPr>
        <w:t xml:space="preserve">, </w:t>
      </w:r>
      <w:r>
        <w:rPr>
          <w:rtl w:val="true"/>
        </w:rPr>
        <w:t>כעולה מתסקיר נפגעת העבירה</w:t>
      </w:r>
      <w:r>
        <w:rPr>
          <w:rtl w:val="true"/>
        </w:rPr>
        <w:t xml:space="preserve">; </w:t>
      </w:r>
      <w:r>
        <w:rPr>
          <w:rtl w:val="true"/>
        </w:rPr>
        <w:t>ומדיניות הענישה הנוהגת במקרים דומים</w:t>
      </w:r>
      <w:r>
        <w:rPr>
          <w:rtl w:val="true"/>
        </w:rPr>
        <w:t xml:space="preserve">. </w:t>
      </w: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>קבע בית המשפט מתחם ענישה אחד לכל המעשים</w:t>
      </w:r>
      <w:r>
        <w:rPr>
          <w:rtl w:val="true"/>
        </w:rPr>
        <w:t xml:space="preserve">, </w:t>
      </w:r>
      <w:r>
        <w:rPr>
          <w:rtl w:val="true"/>
        </w:rPr>
        <w:t xml:space="preserve">אותו העמיד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/>
        <w:t>19-12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בקביעת עונשו של המערער בתוך המתחם לקח בית המשפט בחשבון את עברו הנקי</w:t>
      </w:r>
      <w:r>
        <w:rPr>
          <w:rtl w:val="true"/>
        </w:rPr>
        <w:t xml:space="preserve">; </w:t>
      </w:r>
      <w:r>
        <w:rPr>
          <w:rtl w:val="true"/>
        </w:rPr>
        <w:t>נסיבותיו האישיות</w:t>
      </w:r>
      <w:r>
        <w:rPr>
          <w:rtl w:val="true"/>
        </w:rPr>
        <w:t xml:space="preserve">, </w:t>
      </w:r>
      <w:r>
        <w:rPr>
          <w:rtl w:val="true"/>
        </w:rPr>
        <w:t>שאינן קלות</w:t>
      </w:r>
      <w:r>
        <w:rPr>
          <w:rtl w:val="true"/>
        </w:rPr>
        <w:t xml:space="preserve">; </w:t>
      </w:r>
      <w:r>
        <w:rPr>
          <w:rtl w:val="true"/>
        </w:rPr>
        <w:t>ואת תקופת מעצרו</w:t>
      </w:r>
      <w:r>
        <w:rPr>
          <w:rtl w:val="true"/>
        </w:rPr>
        <w:t xml:space="preserve">. </w:t>
      </w:r>
      <w:r>
        <w:rPr>
          <w:rtl w:val="true"/>
        </w:rPr>
        <w:t>אחר שקלול מכלול נסיבות העניין</w:t>
      </w:r>
      <w:r>
        <w:rPr>
          <w:rtl w:val="true"/>
        </w:rPr>
        <w:t xml:space="preserve">, </w:t>
      </w:r>
      <w:r>
        <w:rPr>
          <w:rtl w:val="true"/>
        </w:rPr>
        <w:t>החליט בית המשפט למקם את עונשו של המערער במחצית העליונה של מתחם הענישה</w:t>
      </w:r>
      <w:r>
        <w:rPr>
          <w:rtl w:val="true"/>
        </w:rPr>
        <w:t xml:space="preserve">, </w:t>
      </w:r>
      <w:r>
        <w:rPr>
          <w:rtl w:val="true"/>
        </w:rPr>
        <w:t>אך קרוב לאמצעו</w:t>
      </w:r>
      <w:r>
        <w:rPr>
          <w:rtl w:val="true"/>
        </w:rPr>
        <w:t xml:space="preserve">, </w:t>
      </w:r>
      <w:r>
        <w:rPr>
          <w:rtl w:val="true"/>
        </w:rPr>
        <w:t xml:space="preserve">ולהשית עליו עונש של </w:t>
      </w:r>
      <w:r>
        <w:rPr/>
        <w:t>16.5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לצד מאסרים מותנים ופיצוי למתלוננת בסך של </w:t>
      </w:r>
      <w:r>
        <w:rPr/>
        <w:t>200,000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בערעורו טוען המערער כי מעבר להתחמקותה השיטתית של המתלוננת ממענה לשאלות קשות</w:t>
      </w:r>
      <w:r>
        <w:rPr>
          <w:rtl w:val="true"/>
        </w:rPr>
        <w:t xml:space="preserve">, </w:t>
      </w:r>
      <w:r>
        <w:rPr>
          <w:rtl w:val="true"/>
        </w:rPr>
        <w:t>לא נבדקו לעומק מספר סוגיות</w:t>
      </w:r>
      <w:r>
        <w:rPr>
          <w:rtl w:val="true"/>
        </w:rPr>
        <w:t xml:space="preserve">, </w:t>
      </w:r>
      <w:r>
        <w:rPr>
          <w:rtl w:val="true"/>
        </w:rPr>
        <w:t>הן בעדותה במשטרה והן לפני בית המשפט</w:t>
      </w:r>
      <w:r>
        <w:rPr>
          <w:rtl w:val="true"/>
        </w:rPr>
        <w:t xml:space="preserve">, </w:t>
      </w:r>
      <w:r>
        <w:rPr>
          <w:rtl w:val="true"/>
        </w:rPr>
        <w:t>באופן שהיה בו כדי להשליך על הוכחת אשמתו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כנקודת מוצא נטען</w:t>
      </w:r>
      <w:r>
        <w:rPr>
          <w:rtl w:val="true"/>
        </w:rPr>
        <w:t xml:space="preserve">, </w:t>
      </w:r>
      <w:r>
        <w:rPr>
          <w:rtl w:val="true"/>
        </w:rPr>
        <w:t>כי לא ניתנה הדעת לתיאור הדל שסיפקה המתלוננת למעשים המיוחסים למערער</w:t>
      </w:r>
      <w:r>
        <w:rPr>
          <w:rtl w:val="true"/>
        </w:rPr>
        <w:t xml:space="preserve">, </w:t>
      </w:r>
      <w:r>
        <w:rPr>
          <w:rtl w:val="true"/>
        </w:rPr>
        <w:t>כמו גם לחוסר העקביות בעדותה</w:t>
      </w:r>
      <w:r>
        <w:rPr>
          <w:rtl w:val="true"/>
        </w:rPr>
        <w:t xml:space="preserve">, </w:t>
      </w:r>
      <w:r>
        <w:rPr>
          <w:rtl w:val="true"/>
        </w:rPr>
        <w:t>אשר היה בהם</w:t>
      </w:r>
      <w:r>
        <w:rPr>
          <w:rtl w:val="true"/>
        </w:rPr>
        <w:t xml:space="preserve">,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אף כדי להטיל ספק רב במהימנותה</w:t>
      </w:r>
      <w:r>
        <w:rPr>
          <w:rtl w:val="true"/>
        </w:rPr>
        <w:t xml:space="preserve">. </w:t>
      </w:r>
      <w:r>
        <w:rPr>
          <w:rtl w:val="true"/>
        </w:rPr>
        <w:t>עוד טוען המערער כי לא נבדקה היתכנות ביצועם של המעשים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גרסת המתלוננת</w:t>
      </w:r>
      <w:r>
        <w:rPr>
          <w:rtl w:val="true"/>
        </w:rPr>
        <w:t xml:space="preserve">, </w:t>
      </w:r>
      <w:r>
        <w:rPr>
          <w:rtl w:val="true"/>
        </w:rPr>
        <w:t>הן ביחס למועד ולמקום בהם בוצעו המעשים והן ביחס לאופן ביצועם הפיזי</w:t>
      </w:r>
      <w:r>
        <w:rPr>
          <w:rtl w:val="true"/>
        </w:rPr>
        <w:t xml:space="preserve">, </w:t>
      </w:r>
      <w:r>
        <w:rPr>
          <w:rtl w:val="true"/>
        </w:rPr>
        <w:t>כלל אינה הגיונית</w:t>
      </w:r>
      <w:r>
        <w:rPr>
          <w:rtl w:val="true"/>
        </w:rPr>
        <w:t xml:space="preserve">. </w:t>
      </w:r>
      <w:r>
        <w:rPr>
          <w:rtl w:val="true"/>
        </w:rPr>
        <w:t>בהקשר זה הוסיף המערער כי הוא אף סובל מבעיית אין</w:t>
      </w:r>
      <w:r>
        <w:rPr>
          <w:rtl w:val="true"/>
        </w:rPr>
        <w:t>-</w:t>
      </w:r>
      <w:r>
        <w:rPr>
          <w:rtl w:val="true"/>
        </w:rPr>
        <w:t>אונות</w:t>
      </w:r>
      <w:r>
        <w:rPr>
          <w:rtl w:val="true"/>
        </w:rPr>
        <w:t xml:space="preserve">. </w:t>
      </w:r>
      <w:r>
        <w:rPr>
          <w:rtl w:val="true"/>
        </w:rPr>
        <w:t>לצד זאת טוען המערער כי המתלוננת השתמשה בתיאוריה במושגים שאינם תואמים את גילה</w:t>
      </w:r>
      <w:r>
        <w:rPr>
          <w:rtl w:val="true"/>
        </w:rPr>
        <w:t xml:space="preserve">, </w:t>
      </w:r>
      <w:r>
        <w:rPr>
          <w:rtl w:val="true"/>
        </w:rPr>
        <w:t>אשר לא הוברר מהיכן הכירה אותם</w:t>
      </w:r>
      <w:r>
        <w:rPr>
          <w:rtl w:val="true"/>
        </w:rPr>
        <w:t xml:space="preserve">. </w:t>
      </w:r>
      <w:r>
        <w:rPr>
          <w:rtl w:val="true"/>
        </w:rPr>
        <w:t>עוד טוען המערער</w:t>
      </w:r>
      <w:r>
        <w:rPr>
          <w:rtl w:val="true"/>
        </w:rPr>
        <w:t xml:space="preserve">, </w:t>
      </w:r>
      <w:r>
        <w:rPr>
          <w:rtl w:val="true"/>
        </w:rPr>
        <w:t>כי לא ניתן משקל לכך שהמתלוננת ידעה על היותה בתולה עוד בטרם בדיקתה הרפואית</w:t>
      </w:r>
      <w:r>
        <w:rPr>
          <w:rtl w:val="true"/>
        </w:rPr>
        <w:t xml:space="preserve">, </w:t>
      </w:r>
      <w:r>
        <w:rPr>
          <w:rtl w:val="true"/>
        </w:rPr>
        <w:t xml:space="preserve">לכך שהיא לא ידעה לספק </w:t>
      </w:r>
      <w:r>
        <w:rPr>
          <w:rtl w:val="true"/>
        </w:rPr>
        <w:t>"</w:t>
      </w:r>
      <w:r>
        <w:rPr>
          <w:rtl w:val="true"/>
        </w:rPr>
        <w:t>פרטים מוכמנים</w:t>
      </w:r>
      <w:r>
        <w:rPr>
          <w:rtl w:val="true"/>
        </w:rPr>
        <w:t xml:space="preserve">" </w:t>
      </w:r>
      <w:r>
        <w:rPr>
          <w:rtl w:val="true"/>
        </w:rPr>
        <w:t>על אודות איבר מינו</w:t>
      </w:r>
      <w:r>
        <w:rPr>
          <w:rtl w:val="true"/>
        </w:rPr>
        <w:t xml:space="preserve">, </w:t>
      </w:r>
      <w:r>
        <w:rPr>
          <w:rtl w:val="true"/>
        </w:rPr>
        <w:t>ולשרבוטים שהיא ערכה על דף במהלך הודעתה השנייה במשטרה</w:t>
      </w:r>
      <w:r>
        <w:rPr>
          <w:rtl w:val="true"/>
        </w:rPr>
        <w:t xml:space="preserve">. </w:t>
      </w:r>
      <w:r>
        <w:rPr>
          <w:rtl w:val="true"/>
        </w:rPr>
        <w:t>לבסוף טוען המערער כי טענת המניע</w:t>
      </w:r>
      <w:r>
        <w:rPr>
          <w:rtl w:val="true"/>
        </w:rPr>
        <w:t xml:space="preserve">, </w:t>
      </w:r>
      <w:r>
        <w:rPr>
          <w:rtl w:val="true"/>
        </w:rPr>
        <w:t>לפיה המתלוננת פעלה כפי שפעלה נוכח רצונה לקבל תשומת לב ולעבור למשמורתו של אביה</w:t>
      </w:r>
      <w:r>
        <w:rPr>
          <w:rtl w:val="true"/>
        </w:rPr>
        <w:t xml:space="preserve">, </w:t>
      </w:r>
      <w:r>
        <w:rPr>
          <w:rtl w:val="true"/>
        </w:rPr>
        <w:t>נדחתה במחי יד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נוכח האמור טוען המערער</w:t>
      </w:r>
      <w:r>
        <w:rPr>
          <w:rtl w:val="true"/>
        </w:rPr>
        <w:t xml:space="preserve">, </w:t>
      </w:r>
      <w:r>
        <w:rPr>
          <w:rtl w:val="true"/>
        </w:rPr>
        <w:t>כי מדובר באחד מאותם מקרים שבהם על ערכאת הערעור להתערב בממצאי מהימנות</w:t>
      </w:r>
      <w:r>
        <w:rPr>
          <w:rtl w:val="true"/>
        </w:rPr>
        <w:t xml:space="preserve">. </w:t>
      </w:r>
      <w:r>
        <w:rPr>
          <w:rtl w:val="true"/>
        </w:rPr>
        <w:t>כן נטען</w:t>
      </w:r>
      <w:r>
        <w:rPr>
          <w:rtl w:val="true"/>
        </w:rPr>
        <w:t xml:space="preserve">, </w:t>
      </w:r>
      <w:r>
        <w:rPr>
          <w:rtl w:val="true"/>
        </w:rPr>
        <w:t>כי מכלול הראיות מביא למסקנה אחת</w:t>
      </w:r>
      <w:r>
        <w:rPr>
          <w:rtl w:val="true"/>
        </w:rPr>
        <w:t xml:space="preserve">, </w:t>
      </w:r>
      <w:r>
        <w:rPr>
          <w:rtl w:val="true"/>
        </w:rPr>
        <w:t>והיא כי יש להורות על זיכויו של המערער</w:t>
      </w:r>
      <w:r>
        <w:rPr>
          <w:rtl w:val="true"/>
        </w:rPr>
        <w:t xml:space="preserve">, </w:t>
      </w:r>
      <w:r>
        <w:rPr>
          <w:rtl w:val="true"/>
        </w:rPr>
        <w:t>בהינתן שאשמתו לא הוכחה מעבר לספק סביר ולמצער נוכח הצגתו של ספק סביר</w:t>
      </w:r>
      <w:r>
        <w:rPr>
          <w:rtl w:val="true"/>
        </w:rPr>
        <w:t xml:space="preserve">. </w:t>
      </w:r>
      <w:r>
        <w:rPr>
          <w:rtl w:val="true"/>
        </w:rPr>
        <w:t>אגב כך כינו באי</w:t>
      </w:r>
      <w:r>
        <w:rPr>
          <w:rtl w:val="true"/>
        </w:rPr>
        <w:t>-</w:t>
      </w:r>
      <w:r>
        <w:rPr>
          <w:rtl w:val="true"/>
        </w:rPr>
        <w:t>כוח המערער את המתלוננת כמי ש</w:t>
      </w:r>
      <w:r>
        <w:rPr>
          <w:rtl w:val="true"/>
        </w:rPr>
        <w:t>"</w:t>
      </w:r>
      <w:r>
        <w:rPr>
          <w:rtl w:val="true"/>
        </w:rPr>
        <w:t>יזמה ובדתה עלילת דם גסה ומכוערת הנוגדת כל מוסר אנושי אלמנטרי</w:t>
      </w:r>
      <w:r>
        <w:rPr>
          <w:rtl w:val="true"/>
        </w:rPr>
        <w:t xml:space="preserve">" </w:t>
      </w:r>
      <w:r>
        <w:rPr>
          <w:rtl w:val="true"/>
        </w:rPr>
        <w:t xml:space="preserve">וביקשו כי </w:t>
      </w:r>
      <w:r>
        <w:rPr>
          <w:rtl w:val="true"/>
        </w:rPr>
        <w:t>"</w:t>
      </w:r>
      <w:r>
        <w:rPr>
          <w:rtl w:val="true"/>
        </w:rPr>
        <w:t>לא יגבר קולו של רשע על קולו של חף מפשע</w:t>
      </w:r>
      <w:r>
        <w:rPr>
          <w:rtl w:val="true"/>
        </w:rPr>
        <w:t xml:space="preserve">!".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מבקש המערער כי נתערב בגזר הדין ונקל את עונשו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בית משפט קמא שגה בקביעת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משלא ציין את מידת הפגיעה בערכים החברתיים</w:t>
      </w:r>
      <w:r>
        <w:rPr>
          <w:rtl w:val="true"/>
        </w:rPr>
        <w:t xml:space="preserve">, </w:t>
      </w:r>
      <w:r>
        <w:rPr>
          <w:rtl w:val="true"/>
        </w:rPr>
        <w:t>לא נתן משקל מתאים למדיניות הענישה הנוהגת ונתן דגש לנסיבות מחמירות בלבד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היה מקום לקבוע מתחם ענישה שתחתיתו נמוכה יותר</w:t>
      </w:r>
      <w:r>
        <w:rPr>
          <w:rtl w:val="true"/>
        </w:rPr>
        <w:t xml:space="preserve">. </w:t>
      </w:r>
      <w:r>
        <w:rPr>
          <w:rtl w:val="true"/>
        </w:rPr>
        <w:t>עוד טוען המערער כי שגה בית המשפט בגזירת עונשו בתוך המתחם שנקבע</w:t>
      </w:r>
      <w:r>
        <w:rPr>
          <w:rtl w:val="true"/>
        </w:rPr>
        <w:t xml:space="preserve">, </w:t>
      </w:r>
      <w:r>
        <w:rPr>
          <w:rtl w:val="true"/>
        </w:rPr>
        <w:t>בשל חריגתו ממדיניות הענישה הנוהגת במקרים דומים</w:t>
      </w:r>
      <w:r>
        <w:rPr>
          <w:rtl w:val="true"/>
        </w:rPr>
        <w:t xml:space="preserve">. </w:t>
      </w:r>
      <w:r>
        <w:rPr>
          <w:rtl w:val="true"/>
        </w:rPr>
        <w:t xml:space="preserve">בדיון שנערך לפנינו ביום </w:t>
      </w:r>
      <w:r>
        <w:rPr/>
        <w:t>20.12.2021</w:t>
      </w:r>
      <w:r>
        <w:rPr>
          <w:rtl w:val="true"/>
        </w:rPr>
        <w:t xml:space="preserve"> </w:t>
      </w:r>
      <w:r>
        <w:rPr>
          <w:rtl w:val="true"/>
        </w:rPr>
        <w:t>חזר בא</w:t>
      </w:r>
      <w:r>
        <w:rPr>
          <w:rtl w:val="true"/>
        </w:rPr>
        <w:t>-</w:t>
      </w:r>
      <w:r>
        <w:rPr>
          <w:rtl w:val="true"/>
        </w:rPr>
        <w:t>כוח המערער על נימוקי הערעור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המשיבה מצידה סבורה כי יש לדחות את הערעור במלואו</w:t>
      </w:r>
      <w:r>
        <w:rPr>
          <w:rtl w:val="true"/>
        </w:rPr>
        <w:t xml:space="preserve">. </w:t>
      </w:r>
      <w:r>
        <w:rPr>
          <w:rtl w:val="true"/>
        </w:rPr>
        <w:t>אשר לערעור על הכרעת הדין</w:t>
      </w:r>
      <w:r>
        <w:rPr>
          <w:rtl w:val="true"/>
        </w:rPr>
        <w:t xml:space="preserve">, </w:t>
      </w:r>
      <w:r>
        <w:rPr>
          <w:rtl w:val="true"/>
        </w:rPr>
        <w:t>נטען כי הכרעתו המנומקת של בית משפט קמא מבוססת על קביעות מהימנות ועובדה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ערכאת הערעור תטה שלא להתערב</w:t>
      </w:r>
      <w:r>
        <w:rPr>
          <w:rtl w:val="true"/>
        </w:rPr>
        <w:t xml:space="preserve">, </w:t>
      </w:r>
      <w:r>
        <w:rPr>
          <w:rtl w:val="true"/>
        </w:rPr>
        <w:t>בוודאי כשמדובר בתיקי עבירות מין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tl w:val="true"/>
        </w:rPr>
        <w:t xml:space="preserve">. </w:t>
      </w:r>
      <w:r>
        <w:rPr>
          <w:rtl w:val="true"/>
        </w:rPr>
        <w:t>לגופו של עניין טוענת המשיבה</w:t>
      </w:r>
      <w:r>
        <w:rPr>
          <w:rtl w:val="true"/>
        </w:rPr>
        <w:t xml:space="preserve">, </w:t>
      </w:r>
      <w:r>
        <w:rPr>
          <w:rtl w:val="true"/>
        </w:rPr>
        <w:t>בניגוד לטענת המערער</w:t>
      </w:r>
      <w:r>
        <w:rPr>
          <w:rtl w:val="true"/>
        </w:rPr>
        <w:t xml:space="preserve">, </w:t>
      </w:r>
      <w:r>
        <w:rPr>
          <w:rtl w:val="true"/>
        </w:rPr>
        <w:t>כי המתלוננת מסרה גרסה מפורטת של המעשים</w:t>
      </w:r>
      <w:r>
        <w:rPr>
          <w:rtl w:val="true"/>
        </w:rPr>
        <w:t xml:space="preserve">, </w:t>
      </w:r>
      <w:r>
        <w:rPr>
          <w:rtl w:val="true"/>
        </w:rPr>
        <w:t>הן בהודעותיה במשטרה והן בעדותה לפני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וכי אותם חוסרים נטענים כלל אינם מהווים </w:t>
      </w:r>
      <w:r>
        <w:rPr>
          <w:rtl w:val="true"/>
        </w:rPr>
        <w:t>"</w:t>
      </w:r>
      <w:r>
        <w:rPr>
          <w:rtl w:val="true"/>
        </w:rPr>
        <w:t>מחדלי חקירה</w:t>
      </w:r>
      <w:r>
        <w:rPr>
          <w:rtl w:val="true"/>
        </w:rPr>
        <w:t xml:space="preserve">", </w:t>
      </w:r>
      <w:r>
        <w:rPr>
          <w:rtl w:val="true"/>
        </w:rPr>
        <w:t>אלא פרטים שאותם היה על בא</w:t>
      </w:r>
      <w:r>
        <w:rPr>
          <w:rtl w:val="true"/>
        </w:rPr>
        <w:t>-</w:t>
      </w:r>
      <w:r>
        <w:rPr>
          <w:rtl w:val="true"/>
        </w:rPr>
        <w:t>כוח המערער להשלים בחקירה נגדית</w:t>
      </w:r>
      <w:r>
        <w:rPr>
          <w:rtl w:val="true"/>
        </w:rPr>
        <w:t xml:space="preserve">, </w:t>
      </w:r>
      <w:r>
        <w:rPr>
          <w:rtl w:val="true"/>
        </w:rPr>
        <w:t>כפי שנעשה בפועל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ממילא אין לצפות מהמתלוננת</w:t>
      </w:r>
      <w:r>
        <w:rPr>
          <w:rtl w:val="true"/>
        </w:rPr>
        <w:t xml:space="preserve">, </w:t>
      </w:r>
      <w:r>
        <w:rPr>
          <w:rtl w:val="true"/>
        </w:rPr>
        <w:t>שאף ציינה שזכרונה אינו חזק</w:t>
      </w:r>
      <w:r>
        <w:rPr>
          <w:rtl w:val="true"/>
        </w:rPr>
        <w:t xml:space="preserve">, </w:t>
      </w:r>
      <w:r>
        <w:rPr>
          <w:rtl w:val="true"/>
        </w:rPr>
        <w:t>כי תזכור כל פרט ופרט</w:t>
      </w:r>
      <w:r>
        <w:rPr>
          <w:rtl w:val="true"/>
        </w:rPr>
        <w:t xml:space="preserve">, </w:t>
      </w:r>
      <w:r>
        <w:rPr>
          <w:rtl w:val="true"/>
        </w:rPr>
        <w:t>וכי העמימות המסוימת בדבריה מוסברת במבוכה הרבה שחשה</w:t>
      </w:r>
      <w:r>
        <w:rPr>
          <w:rtl w:val="true"/>
        </w:rPr>
        <w:t xml:space="preserve">. </w:t>
      </w:r>
      <w:r>
        <w:rPr>
          <w:rtl w:val="true"/>
        </w:rPr>
        <w:t>כן נטען</w:t>
      </w:r>
      <w:r>
        <w:rPr>
          <w:rtl w:val="true"/>
        </w:rPr>
        <w:t xml:space="preserve">, </w:t>
      </w:r>
      <w:r>
        <w:rPr>
          <w:rtl w:val="true"/>
        </w:rPr>
        <w:t>כקביעת בית המשפט</w:t>
      </w:r>
      <w:r>
        <w:rPr>
          <w:rtl w:val="true"/>
        </w:rPr>
        <w:t xml:space="preserve">, </w:t>
      </w:r>
      <w:r>
        <w:rPr>
          <w:rtl w:val="true"/>
        </w:rPr>
        <w:t>כי הסתירה עליה מצביע המערער בעדותה של המתלוננת כלל לא מהווה סתירה</w:t>
      </w:r>
      <w:r>
        <w:rPr>
          <w:rtl w:val="true"/>
        </w:rPr>
        <w:t xml:space="preserve">. </w:t>
      </w:r>
      <w:r>
        <w:rPr>
          <w:rtl w:val="true"/>
        </w:rPr>
        <w:t>אשר לטענות המערער בדבר היתכנות ביצוע המעשים</w:t>
      </w:r>
      <w:r>
        <w:rPr>
          <w:rtl w:val="true"/>
        </w:rPr>
        <w:t xml:space="preserve">, </w:t>
      </w:r>
      <w:r>
        <w:rPr>
          <w:rtl w:val="true"/>
        </w:rPr>
        <w:t>סבורה המשיבה כי צדק בית המשפט עת דחה את טענותיו בעניין סבירות גרסת המתלוננת</w:t>
      </w:r>
      <w:r>
        <w:rPr>
          <w:rtl w:val="true"/>
        </w:rPr>
        <w:t xml:space="preserve">. </w:t>
      </w:r>
      <w:r>
        <w:rPr>
          <w:rtl w:val="true"/>
        </w:rPr>
        <w:t>ביחס לשימוש הנטען במושגים שאינם תואמים את גילה של המתלוננת</w:t>
      </w:r>
      <w:r>
        <w:rPr>
          <w:rtl w:val="true"/>
        </w:rPr>
        <w:t xml:space="preserve">, </w:t>
      </w:r>
      <w:r>
        <w:rPr>
          <w:rtl w:val="true"/>
        </w:rPr>
        <w:t>סבורה המשיבה כי מדובר במושגים מוכרים שהשימוש בהם הוא טריוויאלי ואין בו כדי להשליך על מהימנותה</w:t>
      </w:r>
      <w:r>
        <w:rPr>
          <w:rtl w:val="true"/>
        </w:rPr>
        <w:t xml:space="preserve">. </w:t>
      </w:r>
      <w:r>
        <w:rPr>
          <w:rtl w:val="true"/>
        </w:rPr>
        <w:t>כן טוענת המשיבה כי אין בסיס לטענה לפיה המתלוננת ידעה שהיא בתולה עובר לבדיקה שנערכה לה</w:t>
      </w:r>
      <w:r>
        <w:rPr>
          <w:rtl w:val="true"/>
        </w:rPr>
        <w:t xml:space="preserve">. </w:t>
      </w:r>
      <w:r>
        <w:rPr>
          <w:rtl w:val="true"/>
        </w:rPr>
        <w:t>אשר לטענת העלילה</w:t>
      </w:r>
      <w:r>
        <w:rPr>
          <w:rtl w:val="true"/>
        </w:rPr>
        <w:t xml:space="preserve">, </w:t>
      </w:r>
      <w:r>
        <w:rPr>
          <w:rtl w:val="true"/>
        </w:rPr>
        <w:t xml:space="preserve">סבורה המשיבה כי זו לא נדחתה </w:t>
      </w:r>
      <w:r>
        <w:rPr>
          <w:rtl w:val="true"/>
        </w:rPr>
        <w:t>"</w:t>
      </w:r>
      <w:r>
        <w:rPr>
          <w:rtl w:val="true"/>
        </w:rPr>
        <w:t>במחי יד</w:t>
      </w:r>
      <w:r>
        <w:rPr>
          <w:rtl w:val="true"/>
        </w:rPr>
        <w:t xml:space="preserve">", </w:t>
      </w:r>
      <w:r>
        <w:rPr>
          <w:rtl w:val="true"/>
        </w:rPr>
        <w:t>כנטען</w:t>
      </w:r>
      <w:r>
        <w:rPr>
          <w:rtl w:val="true"/>
        </w:rPr>
        <w:t xml:space="preserve">, </w:t>
      </w:r>
      <w:r>
        <w:rPr>
          <w:rtl w:val="true"/>
        </w:rPr>
        <w:t>אלא לאחר בחינה מפורטת</w:t>
      </w:r>
      <w:r>
        <w:rPr>
          <w:rtl w:val="true"/>
        </w:rPr>
        <w:t xml:space="preserve">, </w:t>
      </w:r>
      <w:r>
        <w:rPr>
          <w:rtl w:val="true"/>
        </w:rPr>
        <w:t>וכי בצדק קבע בית המשפט שזו הופרכה לנוכח הראיות שהונחו לפניו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אחר האמור</w:t>
      </w:r>
      <w:r>
        <w:rPr>
          <w:rtl w:val="true"/>
        </w:rPr>
        <w:t xml:space="preserve">, </w:t>
      </w:r>
      <w:r>
        <w:rPr>
          <w:rtl w:val="true"/>
        </w:rPr>
        <w:t>טוענת המשיבה כי יש לדחות את טענות המערער גם ביחס לגזר הדין</w:t>
      </w:r>
      <w:r>
        <w:rPr>
          <w:rtl w:val="true"/>
        </w:rPr>
        <w:t xml:space="preserve">. </w:t>
      </w:r>
      <w:r>
        <w:rPr>
          <w:rtl w:val="true"/>
        </w:rPr>
        <w:t>לשיטת המשיבה</w:t>
      </w:r>
      <w:r>
        <w:rPr>
          <w:rtl w:val="true"/>
        </w:rPr>
        <w:t xml:space="preserve">, </w:t>
      </w:r>
      <w:r>
        <w:rPr>
          <w:rtl w:val="true"/>
        </w:rPr>
        <w:t>עונשו של המערער הולם את מעשיו</w:t>
      </w:r>
      <w:r>
        <w:rPr>
          <w:rtl w:val="true"/>
        </w:rPr>
        <w:t xml:space="preserve">, </w:t>
      </w:r>
      <w:r>
        <w:rPr>
          <w:rtl w:val="true"/>
        </w:rPr>
        <w:t>בשים לב לנסיבות ביצועם</w:t>
      </w:r>
      <w:r>
        <w:rPr>
          <w:rtl w:val="true"/>
        </w:rPr>
        <w:t xml:space="preserve">; </w:t>
      </w:r>
      <w:r>
        <w:rPr>
          <w:rtl w:val="true"/>
        </w:rPr>
        <w:t>ריבוים</w:t>
      </w:r>
      <w:r>
        <w:rPr>
          <w:rtl w:val="true"/>
        </w:rPr>
        <w:t xml:space="preserve">; </w:t>
      </w:r>
      <w:r>
        <w:rPr>
          <w:rtl w:val="true"/>
        </w:rPr>
        <w:t>חומרתם</w:t>
      </w:r>
      <w:r>
        <w:rPr>
          <w:rtl w:val="true"/>
        </w:rPr>
        <w:t xml:space="preserve">; </w:t>
      </w:r>
      <w:r>
        <w:rPr>
          <w:rtl w:val="true"/>
        </w:rPr>
        <w:t>הנזקים שנגרמו למתלוננת</w:t>
      </w:r>
      <w:r>
        <w:rPr>
          <w:rtl w:val="true"/>
        </w:rPr>
        <w:t xml:space="preserve">, </w:t>
      </w:r>
      <w:r>
        <w:rPr>
          <w:rtl w:val="true"/>
        </w:rPr>
        <w:t>כעולה מתסקיר נפגעת העבירה</w:t>
      </w:r>
      <w:r>
        <w:rPr>
          <w:rtl w:val="true"/>
        </w:rPr>
        <w:t xml:space="preserve">; </w:t>
      </w:r>
      <w:r>
        <w:rPr>
          <w:rtl w:val="true"/>
        </w:rPr>
        <w:t>ומדיניות הענישה המחמירה במקרים דומים</w:t>
      </w:r>
      <w:r>
        <w:rPr>
          <w:rtl w:val="true"/>
        </w:rPr>
        <w:t xml:space="preserve">. </w:t>
      </w:r>
      <w:r>
        <w:rPr>
          <w:rtl w:val="true"/>
        </w:rPr>
        <w:t>בדיון שנערך לפנינו חזרה באת</w:t>
      </w:r>
      <w:r>
        <w:rPr>
          <w:rtl w:val="true"/>
        </w:rPr>
        <w:t>-</w:t>
      </w:r>
      <w:r>
        <w:rPr>
          <w:rtl w:val="true"/>
        </w:rPr>
        <w:t>כוח המשיבה על האמור בעיקרי הטיעון מטעמה</w:t>
      </w:r>
      <w:r>
        <w:rPr>
          <w:rtl w:val="true"/>
        </w:rPr>
        <w:t xml:space="preserve">.     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לאחר עיון בערעור ונספחיו ושמיעת טענות הצדדים</w:t>
      </w:r>
      <w:r>
        <w:rPr>
          <w:rtl w:val="true"/>
        </w:rPr>
        <w:t xml:space="preserve">, </w:t>
      </w:r>
      <w:r>
        <w:rPr>
          <w:rtl w:val="true"/>
        </w:rPr>
        <w:t>באתי לכלל מסקנה כי דינו להידחות במלואו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הלכה היא כי ערכאת הערעור תטה שלא להתערב בממצאי עובדה ומהימנות שנקבעו בידי הערכאה הדיונית</w:t>
      </w:r>
      <w:r>
        <w:rPr>
          <w:rtl w:val="true"/>
        </w:rPr>
        <w:t xml:space="preserve">, </w:t>
      </w:r>
      <w:r>
        <w:rPr>
          <w:rtl w:val="true"/>
        </w:rPr>
        <w:t>נוכח התרשמותה הישירה של האחרונה מהעדויות ומהשתלבותן במארג הראייתי</w:t>
      </w:r>
      <w:r>
        <w:rPr>
          <w:rtl w:val="true"/>
        </w:rPr>
        <w:t xml:space="preserve">. </w:t>
      </w:r>
      <w:r>
        <w:rPr>
          <w:rtl w:val="true"/>
        </w:rPr>
        <w:t>למותר לציין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לא ניתן להשוות בין שופט הערכאה הדיונית בפניו מתייצבים העדים</w:t>
      </w:r>
      <w:r>
        <w:rPr>
          <w:rtl w:val="true"/>
        </w:rPr>
        <w:t xml:space="preserve">, </w:t>
      </w:r>
      <w:r>
        <w:rPr>
          <w:rtl w:val="true"/>
        </w:rPr>
        <w:t>הוא רואה את עווית פניהם בשלבים שונים של העדות ושומע את נימת הדברים ואת רעידת הקול</w:t>
      </w:r>
      <w:r>
        <w:rPr>
          <w:rtl w:val="true"/>
        </w:rPr>
        <w:t xml:space="preserve">, </w:t>
      </w:r>
      <w:r>
        <w:rPr>
          <w:rtl w:val="true"/>
        </w:rPr>
        <w:t>לשופט בית משפט שלערעור</w:t>
      </w:r>
      <w:r>
        <w:rPr>
          <w:rtl w:val="true"/>
        </w:rPr>
        <w:t xml:space="preserve">, </w:t>
      </w:r>
      <w:r>
        <w:rPr>
          <w:rtl w:val="true"/>
        </w:rPr>
        <w:t>הניזון מן הפרוטוקול בלבד</w:t>
      </w:r>
      <w:r>
        <w:rPr>
          <w:rtl w:val="true"/>
        </w:rPr>
        <w:t xml:space="preserve">, </w:t>
      </w:r>
      <w:r>
        <w:rPr>
          <w:rtl w:val="true"/>
        </w:rPr>
        <w:t>מן הדף שאין לו קול ואין לו פנים</w:t>
      </w:r>
      <w:r>
        <w:rPr>
          <w:rtl w:val="true"/>
        </w:rPr>
        <w:t>" 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1442/06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4"/>
          <w:rtl w:val="true"/>
        </w:rPr>
        <w:t>מדינת ישראל נ</w:t>
      </w:r>
      <w:r>
        <w:rPr>
          <w:rFonts w:cs="Miriam" w:ascii="Miriam" w:hAnsi="Miriam"/>
          <w:sz w:val="22"/>
          <w:szCs w:val="24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1.9.2008</w:t>
      </w:r>
      <w:r>
        <w:rPr>
          <w:rtl w:val="true"/>
        </w:rPr>
        <w:t xml:space="preserve">)). </w:t>
      </w:r>
      <w:r>
        <w:rPr>
          <w:rtl w:val="true"/>
        </w:rPr>
        <w:t>כלל זה אף תקף ביתר שאת עת עסקינן בעבירות מין</w:t>
      </w:r>
      <w:r>
        <w:rPr>
          <w:rtl w:val="true"/>
        </w:rPr>
        <w:t xml:space="preserve">, </w:t>
      </w:r>
      <w:r>
        <w:rPr>
          <w:rtl w:val="true"/>
        </w:rPr>
        <w:t>שההרשעה בביצוען מבוססת</w:t>
      </w:r>
      <w:r>
        <w:rPr>
          <w:rtl w:val="true"/>
        </w:rPr>
        <w:t xml:space="preserve">, </w:t>
      </w:r>
      <w:r>
        <w:rPr>
          <w:rtl w:val="true"/>
        </w:rPr>
        <w:t>במקרים רבים</w:t>
      </w:r>
      <w:r>
        <w:rPr>
          <w:rtl w:val="true"/>
        </w:rPr>
        <w:t xml:space="preserve">, </w:t>
      </w:r>
      <w:r>
        <w:rPr>
          <w:rtl w:val="true"/>
        </w:rPr>
        <w:t xml:space="preserve">על עדויות הנפגע והפוגע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1126/19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פלוני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 xml:space="preserve">מדינת ישראל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23.11.2021</w:t>
      </w:r>
      <w:r>
        <w:rPr>
          <w:rtl w:val="true"/>
        </w:rPr>
        <w:t xml:space="preserve">)). </w:t>
      </w:r>
      <w:r>
        <w:rPr>
          <w:rtl w:val="true"/>
        </w:rPr>
        <w:t>בניגוד לטענת המערער</w:t>
      </w:r>
      <w:r>
        <w:rPr>
          <w:rtl w:val="true"/>
        </w:rPr>
        <w:t xml:space="preserve">, </w:t>
      </w:r>
      <w:r>
        <w:rPr>
          <w:rtl w:val="true"/>
        </w:rPr>
        <w:t>איני סבור כי עניינו בא בגדר אותם מקרים חריגים בהם על ערכאת הערעור להתערב בממצאי עובדה ומהימנות</w:t>
      </w:r>
      <w:r>
        <w:rPr>
          <w:rtl w:val="true"/>
        </w:rPr>
        <w:t xml:space="preserve">. </w:t>
      </w:r>
      <w:r>
        <w:rPr>
          <w:rtl w:val="true"/>
        </w:rPr>
        <w:t>קביעותיו של בית משפט קמא התקבלו במסגרת פסק דין מנומק ומפורט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tl w:val="true"/>
        </w:rPr>
        <w:t xml:space="preserve">, </w:t>
      </w:r>
      <w:r>
        <w:rPr>
          <w:rtl w:val="true"/>
        </w:rPr>
        <w:t>בעיקרו</w:t>
      </w:r>
      <w:r>
        <w:rPr>
          <w:rtl w:val="true"/>
        </w:rPr>
        <w:t xml:space="preserve">, </w:t>
      </w:r>
      <w:r>
        <w:rPr>
          <w:rtl w:val="true"/>
        </w:rPr>
        <w:t>על בסיס התרשמותו הממושכת</w:t>
      </w:r>
      <w:r>
        <w:rPr>
          <w:rtl w:val="true"/>
        </w:rPr>
        <w:t xml:space="preserve">, </w:t>
      </w:r>
      <w:r>
        <w:rPr>
          <w:rtl w:val="true"/>
        </w:rPr>
        <w:t>המקיפה והבלתי</w:t>
      </w:r>
      <w:r>
        <w:rPr>
          <w:rtl w:val="true"/>
        </w:rPr>
        <w:t>-</w:t>
      </w:r>
      <w:r>
        <w:rPr>
          <w:rtl w:val="true"/>
        </w:rPr>
        <w:t>אמצעית מהעדויות שהובאו לפניו</w:t>
      </w:r>
      <w:r>
        <w:rPr>
          <w:rtl w:val="true"/>
        </w:rPr>
        <w:t xml:space="preserve">, </w:t>
      </w:r>
      <w:r>
        <w:rPr>
          <w:rtl w:val="true"/>
        </w:rPr>
        <w:t>ואשר כלל מענה הולם לכל אחת מטענותיו של המערער</w:t>
      </w:r>
      <w:r>
        <w:rPr>
          <w:rtl w:val="true"/>
        </w:rPr>
        <w:t xml:space="preserve">, </w:t>
      </w:r>
      <w:r>
        <w:rPr>
          <w:rtl w:val="true"/>
        </w:rPr>
        <w:t>ובתוך כך גם לקשיים עליהם ביקש להצביע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ההחלטה להרשיע את המערער ניתנה בשים לב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לעדותה של המתלוננת</w:t>
      </w:r>
      <w:r>
        <w:rPr>
          <w:rtl w:val="true"/>
        </w:rPr>
        <w:t xml:space="preserve">, </w:t>
      </w:r>
      <w:r>
        <w:rPr>
          <w:rtl w:val="true"/>
        </w:rPr>
        <w:t>אותה מצא בית משפט קמא כמהימנה</w:t>
      </w:r>
      <w:r>
        <w:rPr>
          <w:rtl w:val="true"/>
        </w:rPr>
        <w:t xml:space="preserve">, </w:t>
      </w:r>
      <w:r>
        <w:rPr>
          <w:rtl w:val="true"/>
        </w:rPr>
        <w:t>עקבית ואותנטית</w:t>
      </w:r>
      <w:r>
        <w:rPr>
          <w:rtl w:val="true"/>
        </w:rPr>
        <w:t xml:space="preserve">. </w:t>
      </w:r>
      <w:r>
        <w:rPr>
          <w:rtl w:val="true"/>
        </w:rPr>
        <w:t>כפי שנקבע</w:t>
      </w:r>
      <w:r>
        <w:rPr>
          <w:rtl w:val="true"/>
        </w:rPr>
        <w:t xml:space="preserve">, </w:t>
      </w:r>
      <w:r>
        <w:rPr>
          <w:rtl w:val="true"/>
        </w:rPr>
        <w:t>במהלך עדותה התגברה המתלוננת על הקושי הכרוך בהיחשפותה ופירטה על מעשיו החמורים של המערער</w:t>
      </w:r>
      <w:r>
        <w:rPr>
          <w:rtl w:val="true"/>
        </w:rPr>
        <w:t xml:space="preserve">, </w:t>
      </w:r>
      <w:r>
        <w:rPr>
          <w:rtl w:val="true"/>
        </w:rPr>
        <w:t>תוך שעמדה</w:t>
      </w:r>
      <w:r>
        <w:rPr>
          <w:rtl w:val="true"/>
        </w:rPr>
        <w:t xml:space="preserve">, </w:t>
      </w:r>
      <w:r>
        <w:rPr>
          <w:rtl w:val="true"/>
        </w:rPr>
        <w:t>באופן מרשים</w:t>
      </w:r>
      <w:r>
        <w:rPr>
          <w:rtl w:val="true"/>
        </w:rPr>
        <w:t xml:space="preserve">, </w:t>
      </w:r>
      <w:r>
        <w:rPr>
          <w:rtl w:val="true"/>
        </w:rPr>
        <w:t>בחקירה נגדית ממושכת ומאתגרת</w:t>
      </w:r>
      <w:r>
        <w:rPr>
          <w:rtl w:val="true"/>
        </w:rPr>
        <w:t xml:space="preserve">. </w:t>
      </w:r>
      <w:r>
        <w:rPr>
          <w:rtl w:val="true"/>
        </w:rPr>
        <w:t>אגב כך</w:t>
      </w:r>
      <w:r>
        <w:rPr>
          <w:rtl w:val="true"/>
        </w:rPr>
        <w:t xml:space="preserve">, </w:t>
      </w:r>
      <w:r>
        <w:rPr>
          <w:rtl w:val="true"/>
        </w:rPr>
        <w:t>נמנעה המתלוננת מלהשחיר את המערער</w:t>
      </w:r>
      <w:r>
        <w:rPr>
          <w:rtl w:val="true"/>
        </w:rPr>
        <w:t xml:space="preserve">, </w:t>
      </w:r>
      <w:r>
        <w:rPr>
          <w:rtl w:val="true"/>
        </w:rPr>
        <w:t>הציגה את הדברים באופן מאופק וניסתה לדייק בהם ככל הניתן</w:t>
      </w:r>
      <w:r>
        <w:rPr>
          <w:rtl w:val="true"/>
        </w:rPr>
        <w:t xml:space="preserve">. </w:t>
      </w:r>
      <w:r>
        <w:rPr>
          <w:rtl w:val="true"/>
        </w:rPr>
        <w:t>ברי כי בנסיבות העניין די היה באמור</w:t>
      </w:r>
      <w:r>
        <w:rPr>
          <w:rtl w:val="true"/>
        </w:rPr>
        <w:t xml:space="preserve">, </w:t>
      </w:r>
      <w:r>
        <w:rPr>
          <w:rtl w:val="true"/>
        </w:rPr>
        <w:t>מן הבחינה העקרונית</w:t>
      </w:r>
      <w:r>
        <w:rPr>
          <w:rtl w:val="true"/>
        </w:rPr>
        <w:t xml:space="preserve">, </w:t>
      </w:r>
      <w:r>
        <w:rPr>
          <w:rtl w:val="true"/>
        </w:rPr>
        <w:t>כדי להרשיע את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נוכח הכלל הקבוע </w:t>
      </w:r>
      <w:hyperlink r:id="rId35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2040/20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4"/>
          <w:rtl w:val="true"/>
        </w:rPr>
        <w:t>פלוני נ</w:t>
      </w:r>
      <w:r>
        <w:rPr>
          <w:rFonts w:cs="Miriam" w:ascii="Miriam" w:hAnsi="Miriam"/>
          <w:sz w:val="22"/>
          <w:szCs w:val="24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21.12.2021</w:t>
      </w:r>
      <w:r>
        <w:rPr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מצא בית משפט קמא להשעין את הכרעתו גם על ממצאים נוספים</w:t>
      </w:r>
      <w:r>
        <w:rPr>
          <w:rtl w:val="true"/>
        </w:rPr>
        <w:t xml:space="preserve">. </w:t>
      </w:r>
      <w:r>
        <w:rPr>
          <w:rtl w:val="true"/>
        </w:rPr>
        <w:t>בתוך כך בחן בית המשפט לעומק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את עדויותיהן של בת הזוג של אביה ושל א</w:t>
      </w:r>
      <w:r>
        <w:rPr>
          <w:rtl w:val="true"/>
        </w:rPr>
        <w:t xml:space="preserve">', </w:t>
      </w:r>
      <w:r>
        <w:rPr>
          <w:rtl w:val="true"/>
        </w:rPr>
        <w:t>חברתה של המתלוננת</w:t>
      </w:r>
      <w:r>
        <w:rPr>
          <w:rtl w:val="true"/>
        </w:rPr>
        <w:t xml:space="preserve">, </w:t>
      </w:r>
      <w:r>
        <w:rPr>
          <w:rtl w:val="true"/>
        </w:rPr>
        <w:t>שנמצאו כמהימנות</w:t>
      </w:r>
      <w:r>
        <w:rPr>
          <w:rtl w:val="true"/>
        </w:rPr>
        <w:t xml:space="preserve">, </w:t>
      </w:r>
      <w:r>
        <w:rPr>
          <w:rtl w:val="true"/>
        </w:rPr>
        <w:t xml:space="preserve">וראה באמור בהן בגדר חיזוק </w:t>
      </w:r>
      <w:r>
        <w:rPr>
          <w:rFonts w:ascii="Miriam" w:hAnsi="Miriam" w:cs="Miriam"/>
          <w:sz w:val="22"/>
          <w:sz w:val="22"/>
          <w:szCs w:val="24"/>
          <w:rtl w:val="true"/>
        </w:rPr>
        <w:t>משמעותי</w:t>
      </w:r>
      <w:r>
        <w:rPr>
          <w:rtl w:val="true"/>
        </w:rPr>
        <w:t xml:space="preserve"> ו</w:t>
      </w:r>
      <w:r>
        <w:rPr>
          <w:rFonts w:ascii="Miriam" w:hAnsi="Miriam" w:cs="Miriam"/>
          <w:sz w:val="22"/>
          <w:sz w:val="22"/>
          <w:szCs w:val="24"/>
          <w:rtl w:val="true"/>
        </w:rPr>
        <w:t>מוחץ</w:t>
      </w:r>
      <w:r>
        <w:rPr>
          <w:rtl w:val="true"/>
        </w:rPr>
        <w:t xml:space="preserve"> לאותנטיות החשיפה</w:t>
      </w:r>
      <w:r>
        <w:rPr>
          <w:rtl w:val="true"/>
        </w:rPr>
        <w:t xml:space="preserve">, </w:t>
      </w:r>
      <w:r>
        <w:rPr>
          <w:rtl w:val="true"/>
        </w:rPr>
        <w:t>לקשיים שנכרכו בה ולמהימנותה של המתלוננת</w:t>
      </w:r>
      <w:r>
        <w:rPr>
          <w:rtl w:val="true"/>
        </w:rPr>
        <w:t xml:space="preserve">. </w:t>
      </w:r>
      <w:r>
        <w:rPr>
          <w:rtl w:val="true"/>
        </w:rPr>
        <w:t>כן מצא בית המשפט חיזוק למהימנותה של המתלוננת גם בדבריו של ש</w:t>
      </w:r>
      <w:r>
        <w:rPr>
          <w:rtl w:val="true"/>
        </w:rPr>
        <w:t xml:space="preserve">', </w:t>
      </w:r>
      <w:r>
        <w:rPr>
          <w:rtl w:val="true"/>
        </w:rPr>
        <w:t>אביה</w:t>
      </w:r>
      <w:r>
        <w:rPr>
          <w:rtl w:val="true"/>
        </w:rPr>
        <w:t xml:space="preserve">, </w:t>
      </w:r>
      <w:r>
        <w:rPr>
          <w:rtl w:val="true"/>
        </w:rPr>
        <w:t>אשר סיפק עדות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ביחס למצבה הרגשי עם חשיפת המעשים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מצא בית המשפט קשיים וחוסר כנות בעדותו של המערער</w:t>
      </w:r>
      <w:r>
        <w:rPr>
          <w:rtl w:val="true"/>
        </w:rPr>
        <w:t xml:space="preserve">. </w:t>
      </w:r>
      <w:r>
        <w:rPr>
          <w:rtl w:val="true"/>
        </w:rPr>
        <w:t>כן מצא בית המשפט את עדותה של מ</w:t>
      </w:r>
      <w:r>
        <w:rPr>
          <w:rtl w:val="true"/>
        </w:rPr>
        <w:t xml:space="preserve">' </w:t>
      </w:r>
      <w:r>
        <w:rPr>
          <w:rtl w:val="true"/>
        </w:rPr>
        <w:t>כבלתי מהימנה</w:t>
      </w:r>
      <w:r>
        <w:rPr>
          <w:rtl w:val="true"/>
        </w:rPr>
        <w:t xml:space="preserve">, </w:t>
      </w:r>
      <w:r>
        <w:rPr>
          <w:rtl w:val="true"/>
        </w:rPr>
        <w:t>ואף ראה בכך כחיזוק למהימנותה של המתלוננת</w:t>
      </w:r>
      <w:r>
        <w:rPr>
          <w:rtl w:val="true"/>
        </w:rPr>
        <w:t xml:space="preserve">.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למעלה מן הצורך</w:t>
      </w:r>
      <w:r>
        <w:rPr>
          <w:rtl w:val="true"/>
        </w:rPr>
        <w:t xml:space="preserve">, </w:t>
      </w:r>
      <w:r>
        <w:rPr>
          <w:rtl w:val="true"/>
        </w:rPr>
        <w:t>מצאתי לדחות את טענות המערער גם לגופן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כנקודת מוצא</w:t>
      </w:r>
      <w:r>
        <w:rPr>
          <w:rtl w:val="true"/>
        </w:rPr>
        <w:t xml:space="preserve">, </w:t>
      </w:r>
      <w:r>
        <w:rPr>
          <w:rtl w:val="true"/>
        </w:rPr>
        <w:t>טוען המערער לחוסר פירוט והתחמקות מצדה של המתלוננת ולקיומם של מחדלים בחקירתה במשטרה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אותם מחדלים אף לא קיבלו מענה לפני בית משפט קמא</w:t>
      </w:r>
      <w:r>
        <w:rPr>
          <w:rtl w:val="true"/>
        </w:rPr>
        <w:t xml:space="preserve">, </w:t>
      </w:r>
      <w:r>
        <w:rPr>
          <w:rtl w:val="true"/>
        </w:rPr>
        <w:t>באופן המשליך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על הוכחת אשמתו</w:t>
      </w:r>
      <w:r>
        <w:rPr>
          <w:rtl w:val="true"/>
        </w:rPr>
        <w:t xml:space="preserve">. </w:t>
      </w:r>
      <w:r>
        <w:rPr>
          <w:rtl w:val="true"/>
        </w:rPr>
        <w:t>אין בידי לקבל טענות אלו</w:t>
      </w:r>
      <w:r>
        <w:rPr>
          <w:rtl w:val="true"/>
        </w:rPr>
        <w:t xml:space="preserve">. </w:t>
      </w:r>
      <w:r>
        <w:rPr>
          <w:rtl w:val="true"/>
        </w:rPr>
        <w:t>מעיון בהודעותיה של המתלוננת במשטרה</w:t>
      </w:r>
      <w:r>
        <w:rPr>
          <w:rtl w:val="true"/>
        </w:rPr>
        <w:t xml:space="preserve">, </w:t>
      </w:r>
      <w:r>
        <w:rPr>
          <w:rtl w:val="true"/>
        </w:rPr>
        <w:t>בפרוטוקולי הדיונים שנערכו לפני בית המשפט ובהכרעת דינו המפורטת</w:t>
      </w:r>
      <w:r>
        <w:rPr>
          <w:rtl w:val="true"/>
        </w:rPr>
        <w:t xml:space="preserve">, </w:t>
      </w:r>
      <w:r>
        <w:rPr>
          <w:rtl w:val="true"/>
        </w:rPr>
        <w:t>ניתן לראות כי המתלוננת עמדה על ליבת האירועים</w:t>
      </w:r>
      <w:r>
        <w:rPr>
          <w:rtl w:val="true"/>
        </w:rPr>
        <w:t xml:space="preserve">, </w:t>
      </w:r>
      <w:r>
        <w:rPr>
          <w:rtl w:val="true"/>
        </w:rPr>
        <w:t>תוך שניסתה לדייק בדבריה ככל הניתן</w:t>
      </w:r>
      <w:r>
        <w:rPr>
          <w:rtl w:val="true"/>
        </w:rPr>
        <w:t xml:space="preserve">. </w:t>
      </w:r>
      <w:r>
        <w:rPr>
          <w:rtl w:val="true"/>
        </w:rPr>
        <w:t>כן ניתן להבחין בנקל כי אותם חוסרים נטענים או סתירות נטענות בעדותה אף זכו למענה מספק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 xml:space="preserve">כלל נקוט הוא כי במקרים כגון דא אין הכרח לדקדק בפרטי עדות המתלוננת וניתן להסתפק בגרעין האמת המצוי בגרסתה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3308/15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4"/>
          <w:rtl w:val="true"/>
        </w:rPr>
        <w:t>שמיאן נ</w:t>
      </w:r>
      <w:r>
        <w:rPr>
          <w:rFonts w:cs="Miriam" w:ascii="Miriam" w:hAnsi="Miriam"/>
          <w:sz w:val="22"/>
          <w:szCs w:val="24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17.5.2018</w:t>
      </w:r>
      <w:r>
        <w:rPr>
          <w:rtl w:val="true"/>
        </w:rPr>
        <w:t xml:space="preserve">)). </w:t>
      </w:r>
      <w:r>
        <w:rPr>
          <w:rtl w:val="true"/>
        </w:rPr>
        <w:t xml:space="preserve">לא ניתן לדרוש ממנה לספק גרסה </w:t>
      </w:r>
      <w:r>
        <w:rPr>
          <w:rtl w:val="true"/>
        </w:rPr>
        <w:t>"</w:t>
      </w:r>
      <w:r>
        <w:rPr>
          <w:rtl w:val="true"/>
        </w:rPr>
        <w:t>מסודרת כרונולוגית</w:t>
      </w:r>
      <w:r>
        <w:rPr>
          <w:rtl w:val="true"/>
        </w:rPr>
        <w:t xml:space="preserve">, </w:t>
      </w:r>
      <w:r>
        <w:rPr>
          <w:rtl w:val="true"/>
        </w:rPr>
        <w:t>מתועדת</w:t>
      </w:r>
      <w:r>
        <w:rPr>
          <w:rtl w:val="true"/>
        </w:rPr>
        <w:t xml:space="preserve">, </w:t>
      </w:r>
      <w:r>
        <w:rPr>
          <w:rtl w:val="true"/>
        </w:rPr>
        <w:t>בנויה לתלפיות כאשר בין האירועים השונים קיים רצף הגיוני שניתן לעקוב אחריו</w:t>
      </w:r>
      <w:r>
        <w:rPr>
          <w:rtl w:val="true"/>
        </w:rPr>
        <w:t>" 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9806/05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4"/>
          <w:rtl w:val="true"/>
        </w:rPr>
        <w:t>פלוני נ</w:t>
      </w:r>
      <w:r>
        <w:rPr>
          <w:rFonts w:cs="Miriam" w:ascii="Miriam" w:hAnsi="Miriam"/>
          <w:sz w:val="22"/>
          <w:szCs w:val="24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4"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8.1.2007</w:t>
      </w:r>
      <w:r>
        <w:rPr>
          <w:rtl w:val="true"/>
        </w:rPr>
        <w:t xml:space="preserve">)). </w:t>
      </w:r>
      <w:r>
        <w:rPr>
          <w:rtl w:val="true"/>
        </w:rPr>
        <w:t>ברי כי אף בן</w:t>
      </w:r>
      <w:r>
        <w:rPr>
          <w:rtl w:val="true"/>
        </w:rPr>
        <w:t>-</w:t>
      </w:r>
      <w:r>
        <w:rPr>
          <w:rtl w:val="true"/>
        </w:rPr>
        <w:t xml:space="preserve">אדם אינו </w:t>
      </w:r>
      <w:r>
        <w:rPr>
          <w:rtl w:val="true"/>
        </w:rPr>
        <w:t>"</w:t>
      </w:r>
      <w:r>
        <w:rPr>
          <w:rtl w:val="true"/>
        </w:rPr>
        <w:t>מכשיר דיוק אוטומטי</w:t>
      </w:r>
      <w:r>
        <w:rPr>
          <w:rtl w:val="true"/>
        </w:rPr>
        <w:t>" 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100/55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4"/>
          <w:rtl w:val="true"/>
        </w:rPr>
        <w:t>מאיר נ</w:t>
      </w:r>
      <w:r>
        <w:rPr>
          <w:rFonts w:cs="Miriam" w:ascii="Miriam" w:hAnsi="Miriam"/>
          <w:sz w:val="22"/>
          <w:szCs w:val="24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4"/>
          <w:rtl w:val="true"/>
        </w:rPr>
        <w:t>היועץ המשפטי לממשלת 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ט </w:t>
      </w:r>
      <w:r>
        <w:rPr/>
        <w:t>1218</w:t>
      </w:r>
      <w:r>
        <w:rPr>
          <w:rtl w:val="true"/>
        </w:rPr>
        <w:t xml:space="preserve">, </w:t>
      </w:r>
      <w:r>
        <w:rPr/>
        <w:t>1224</w:t>
      </w:r>
      <w:r>
        <w:rPr>
          <w:rtl w:val="true"/>
        </w:rPr>
        <w:t xml:space="preserve"> (</w:t>
      </w:r>
      <w:r>
        <w:rPr/>
        <w:t>1955</w:t>
      </w:r>
      <w:r>
        <w:rPr>
          <w:rtl w:val="true"/>
        </w:rPr>
        <w:t xml:space="preserve">)) </w:t>
      </w:r>
      <w:r>
        <w:rPr>
          <w:rtl w:val="true"/>
        </w:rPr>
        <w:t xml:space="preserve">ואין לצפות מהמתלוננת לספק תיאור פרטני של כל אחד מעשרות המקרים בהם ביצע בה המערער את זממו </w:t>
      </w:r>
      <w:r>
        <w:rPr>
          <w:rtl w:val="true"/>
        </w:rPr>
        <w:t>(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6691/17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4"/>
          <w:rtl w:val="true"/>
        </w:rPr>
        <w:t>פלוני נ</w:t>
      </w:r>
      <w:r>
        <w:rPr>
          <w:rFonts w:cs="Miriam" w:ascii="Miriam" w:hAnsi="Miriam"/>
          <w:sz w:val="22"/>
          <w:szCs w:val="24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4"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23.1.2020</w:t>
      </w:r>
      <w:r>
        <w:rPr>
          <w:rtl w:val="true"/>
        </w:rPr>
        <w:t xml:space="preserve">)). </w:t>
      </w:r>
      <w:r>
        <w:rPr>
          <w:rtl w:val="true"/>
        </w:rPr>
        <w:t>הדברים מובנים מאליהם בשים לב לקושי הרב הכרוך בחשיפת המעשים</w:t>
      </w:r>
      <w:r>
        <w:rPr>
          <w:rtl w:val="true"/>
        </w:rPr>
        <w:t xml:space="preserve">, </w:t>
      </w:r>
      <w:r>
        <w:rPr>
          <w:rtl w:val="true"/>
        </w:rPr>
        <w:t xml:space="preserve">בוודאי לנערה צעירה בגילה של המתלוננת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6080/20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4"/>
          <w:rtl w:val="true"/>
        </w:rPr>
        <w:t>פלוני נ</w:t>
      </w:r>
      <w:r>
        <w:rPr>
          <w:rFonts w:cs="Miriam" w:ascii="Miriam" w:hAnsi="Miriam"/>
          <w:sz w:val="22"/>
          <w:szCs w:val="24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21.7.2021</w:t>
      </w:r>
      <w:r>
        <w:rPr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בניגוד לטענת המערער</w:t>
      </w:r>
      <w:r>
        <w:rPr>
          <w:rtl w:val="true"/>
        </w:rPr>
        <w:t xml:space="preserve">, </w:t>
      </w:r>
      <w:r>
        <w:rPr>
          <w:rtl w:val="true"/>
        </w:rPr>
        <w:t>נראה שהמתלוננת נשאלה במסגרת הודעותיה במשטרה שאלות רגישות רבות</w:t>
      </w:r>
      <w:r>
        <w:rPr>
          <w:rtl w:val="true"/>
        </w:rPr>
        <w:t xml:space="preserve">, </w:t>
      </w:r>
      <w:r>
        <w:rPr>
          <w:rtl w:val="true"/>
        </w:rPr>
        <w:t>שנועדו לעמוד על גרסתה ולהגיע לחקר האמת</w:t>
      </w:r>
      <w:r>
        <w:rPr>
          <w:rtl w:val="true"/>
        </w:rPr>
        <w:t xml:space="preserve">. </w:t>
      </w:r>
      <w:r>
        <w:rPr>
          <w:rtl w:val="true"/>
        </w:rPr>
        <w:t xml:space="preserve">בתוך כך נתבקשה המתלוננת </w:t>
      </w:r>
      <w:r>
        <w:rPr>
          <w:rFonts w:ascii="FrankRuehl" w:hAnsi="FrankRuehl" w:cs="FrankRuehl"/>
          <w:rtl w:val="true"/>
        </w:rPr>
        <w:t>לפרט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ועל אף הקושי הגלום בכך</w:t>
      </w:r>
      <w:r>
        <w:rPr>
          <w:rtl w:val="true"/>
        </w:rPr>
        <w:t>, "</w:t>
      </w:r>
      <w:r>
        <w:rPr>
          <w:rtl w:val="true"/>
        </w:rPr>
        <w:t>כמה אצבעות</w:t>
      </w:r>
      <w:r>
        <w:rPr>
          <w:rtl w:val="true"/>
        </w:rPr>
        <w:t xml:space="preserve">" </w:t>
      </w:r>
      <w:r>
        <w:rPr>
          <w:rtl w:val="true"/>
        </w:rPr>
        <w:t xml:space="preserve">החדיר המערער לאיבר מינה </w:t>
      </w:r>
      <w:r>
        <w:rPr>
          <w:rtl w:val="true"/>
        </w:rPr>
        <w:t>(</w:t>
      </w:r>
      <w:r>
        <w:rPr>
          <w:rtl w:val="true"/>
        </w:rPr>
        <w:t xml:space="preserve">חקירה מיום </w:t>
      </w:r>
      <w:r>
        <w:rPr/>
        <w:t>4.12.2018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48</w:t>
      </w:r>
      <w:r>
        <w:rPr>
          <w:rtl w:val="true"/>
        </w:rPr>
        <w:t xml:space="preserve">); </w:t>
      </w:r>
      <w:r>
        <w:rPr>
          <w:rtl w:val="true"/>
        </w:rPr>
        <w:t xml:space="preserve">האם קיימה פעם יחסי מין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66</w:t>
      </w:r>
      <w:r>
        <w:rPr>
          <w:rtl w:val="true"/>
        </w:rPr>
        <w:t xml:space="preserve">); </w:t>
      </w:r>
      <w:r>
        <w:rPr>
          <w:rtl w:val="true"/>
        </w:rPr>
        <w:t xml:space="preserve">האם כאב לה או ירד לה דם כתוצאה ממעשי המערער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180-178</w:t>
      </w:r>
      <w:r>
        <w:rPr>
          <w:rtl w:val="true"/>
        </w:rPr>
        <w:t xml:space="preserve">); </w:t>
      </w:r>
      <w:r>
        <w:rPr>
          <w:rtl w:val="true"/>
        </w:rPr>
        <w:t xml:space="preserve">איך המעשים שבוצעו בסלון הבית חמקו מיתר בני המשפחה </w:t>
      </w:r>
      <w:r>
        <w:rPr>
          <w:rtl w:val="true"/>
        </w:rPr>
        <w:t>(</w:t>
      </w:r>
      <w:r>
        <w:rPr>
          <w:rtl w:val="true"/>
        </w:rPr>
        <w:t xml:space="preserve">חקירה מיום </w:t>
      </w:r>
      <w:r>
        <w:rPr/>
        <w:t>7.12.2018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141</w:t>
      </w:r>
      <w:r>
        <w:rPr>
          <w:rtl w:val="true"/>
        </w:rPr>
        <w:t xml:space="preserve">); </w:t>
      </w:r>
      <w:r>
        <w:rPr>
          <w:rtl w:val="true"/>
        </w:rPr>
        <w:t xml:space="preserve">על התנוחות שבהן בוצעו המעשים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248</w:t>
      </w:r>
      <w:r>
        <w:rPr>
          <w:rtl w:val="true"/>
        </w:rPr>
        <w:t>); "</w:t>
      </w:r>
      <w:r>
        <w:rPr>
          <w:rtl w:val="true"/>
        </w:rPr>
        <w:t>כמה זמן נמשך האקט המיני</w:t>
      </w:r>
      <w:r>
        <w:rPr>
          <w:rtl w:val="true"/>
        </w:rPr>
        <w:t xml:space="preserve">, </w:t>
      </w:r>
      <w:r>
        <w:rPr>
          <w:rtl w:val="true"/>
        </w:rPr>
        <w:t>החדירה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275</w:t>
      </w:r>
      <w:r>
        <w:rPr>
          <w:rtl w:val="true"/>
        </w:rPr>
        <w:t xml:space="preserve">); </w:t>
      </w:r>
      <w:r>
        <w:rPr>
          <w:rtl w:val="true"/>
        </w:rPr>
        <w:t xml:space="preserve">ומדוע היא לא נקטה </w:t>
      </w:r>
      <w:r>
        <w:rPr>
          <w:rtl w:val="true"/>
        </w:rPr>
        <w:t>"</w:t>
      </w:r>
      <w:r>
        <w:rPr>
          <w:rtl w:val="true"/>
        </w:rPr>
        <w:t>אמצעי זהירות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309</w:t>
      </w:r>
      <w:r>
        <w:rPr>
          <w:rtl w:val="true"/>
        </w:rPr>
        <w:t xml:space="preserve">). </w:t>
      </w:r>
      <w:r>
        <w:rPr>
          <w:rtl w:val="true"/>
        </w:rPr>
        <w:t>אף אם הייתי נכון לקבל את טענות המערער בעניין</w:t>
      </w:r>
      <w:r>
        <w:rPr>
          <w:rtl w:val="true"/>
        </w:rPr>
        <w:t xml:space="preserve">, </w:t>
      </w:r>
      <w:r>
        <w:rPr>
          <w:rtl w:val="true"/>
        </w:rPr>
        <w:t>וכאמור איני רואה לעשות כן</w:t>
      </w:r>
      <w:r>
        <w:rPr>
          <w:rtl w:val="true"/>
        </w:rPr>
        <w:t xml:space="preserve">, </w:t>
      </w:r>
      <w:r>
        <w:rPr>
          <w:rtl w:val="true"/>
        </w:rPr>
        <w:t>הרי שבלאו הכי אין בקיומם של המחדלים הנטענים</w:t>
      </w:r>
      <w:r>
        <w:rPr>
          <w:rtl w:val="true"/>
        </w:rPr>
        <w:t xml:space="preserve">, </w:t>
      </w:r>
      <w:r>
        <w:rPr>
          <w:rtl w:val="true"/>
        </w:rPr>
        <w:t>כשלעצמם</w:t>
      </w:r>
      <w:r>
        <w:rPr>
          <w:rtl w:val="true"/>
        </w:rPr>
        <w:t xml:space="preserve">, </w:t>
      </w:r>
      <w:r>
        <w:rPr>
          <w:rtl w:val="true"/>
        </w:rPr>
        <w:t>כדי להביא למסקנה מזכה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משאשמת המערער הוכחה מעל לכל ספק סביר</w:t>
      </w:r>
      <w:r>
        <w:rPr>
          <w:rtl w:val="true"/>
        </w:rPr>
        <w:t xml:space="preserve">, </w:t>
      </w:r>
      <w:r>
        <w:rPr>
          <w:rtl w:val="true"/>
        </w:rPr>
        <w:t>על בסיס מכלול הראיות שהונחו לפני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ומשהגנתו לא קופחה </w:t>
      </w:r>
      <w:r>
        <w:rPr>
          <w:rtl w:val="true"/>
        </w:rPr>
        <w:t>(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1193/16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4"/>
          <w:rtl w:val="true"/>
        </w:rPr>
        <w:t>סונגו נ</w:t>
      </w:r>
      <w:r>
        <w:rPr>
          <w:rFonts w:cs="Miriam" w:ascii="Miriam" w:hAnsi="Miriam"/>
          <w:sz w:val="22"/>
          <w:szCs w:val="24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17.5.2018</w:t>
      </w:r>
      <w:r>
        <w:rPr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גם אם יש שאלות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מחוץ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לגרעין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האמת</w:t>
      </w:r>
      <w:r>
        <w:rPr>
          <w:rtl w:val="true"/>
        </w:rPr>
        <w:t xml:space="preserve"> שלא נתבררו לעומקן</w:t>
      </w:r>
      <w:r>
        <w:rPr>
          <w:rtl w:val="true"/>
        </w:rPr>
        <w:t xml:space="preserve">, </w:t>
      </w:r>
      <w:r>
        <w:rPr>
          <w:rtl w:val="true"/>
        </w:rPr>
        <w:t>מקובלת עלי טענת באת</w:t>
      </w:r>
      <w:r>
        <w:rPr>
          <w:rtl w:val="true"/>
        </w:rPr>
        <w:t>-</w:t>
      </w:r>
      <w:r>
        <w:rPr>
          <w:rtl w:val="true"/>
        </w:rPr>
        <w:t>כוח המשיבה לפיה מדובר בסוגיות שיכול היה בא</w:t>
      </w:r>
      <w:r>
        <w:rPr>
          <w:rtl w:val="true"/>
        </w:rPr>
        <w:t>-</w:t>
      </w:r>
      <w:r>
        <w:rPr>
          <w:rtl w:val="true"/>
        </w:rPr>
        <w:t>כוח המערער להמשיך ללבן במסגרת חקירתה הנגדית של המתלוננת</w:t>
      </w:r>
      <w:r>
        <w:rPr>
          <w:rtl w:val="true"/>
        </w:rPr>
        <w:t xml:space="preserve">, </w:t>
      </w:r>
      <w:r>
        <w:rPr>
          <w:rtl w:val="true"/>
        </w:rPr>
        <w:t>כפי שאף נעשה בפועל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 xml:space="preserve">נשאלה המתלוננת והשיבה במעמד זה ביחס לזיהוי פרטים על איבר מינו של המערער </w:t>
      </w:r>
      <w:r>
        <w:rPr>
          <w:rtl w:val="true"/>
        </w:rPr>
        <w:t>(</w:t>
      </w:r>
      <w:r>
        <w:rPr>
          <w:rtl w:val="true"/>
        </w:rPr>
        <w:t xml:space="preserve">פרוטוקול הדיון מיום </w:t>
      </w:r>
      <w:r>
        <w:rPr/>
        <w:t>3.3.2019</w:t>
      </w:r>
      <w:r>
        <w:rPr>
          <w:rtl w:val="true"/>
        </w:rPr>
        <w:t xml:space="preserve">, </w:t>
      </w:r>
      <w:r>
        <w:rPr>
          <w:rtl w:val="true"/>
        </w:rPr>
        <w:t xml:space="preserve">עמודים </w:t>
      </w:r>
      <w:r>
        <w:rPr/>
        <w:t>115-114</w:t>
      </w:r>
      <w:r>
        <w:rPr>
          <w:rtl w:val="true"/>
        </w:rPr>
        <w:t xml:space="preserve">); </w:t>
      </w:r>
      <w:r>
        <w:rPr>
          <w:rtl w:val="true"/>
        </w:rPr>
        <w:t xml:space="preserve">על סתירות לכאורה בדבריה עת נשאלה אם היא בתולה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117-116</w:t>
      </w:r>
      <w:r>
        <w:rPr>
          <w:rtl w:val="true"/>
        </w:rPr>
        <w:t xml:space="preserve">); </w:t>
      </w:r>
      <w:r>
        <w:rPr>
          <w:rtl w:val="true"/>
        </w:rPr>
        <w:t>על הפער בתחושותיה בעת ביצוע הבדיקה בידי ד</w:t>
      </w:r>
      <w:r>
        <w:rPr>
          <w:rtl w:val="true"/>
        </w:rPr>
        <w:t>"</w:t>
      </w:r>
      <w:r>
        <w:rPr>
          <w:rtl w:val="true"/>
        </w:rPr>
        <w:t xml:space="preserve">ר זלן לבין תחושותיה בעת מעשיו של המערער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125</w:t>
      </w:r>
      <w:r>
        <w:rPr>
          <w:rtl w:val="true"/>
        </w:rPr>
        <w:t xml:space="preserve">); </w:t>
      </w:r>
      <w:r>
        <w:rPr>
          <w:rtl w:val="true"/>
        </w:rPr>
        <w:t xml:space="preserve">ועל קרבתה למערער על אף מעשיו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עמודים </w:t>
      </w:r>
      <w:r>
        <w:rPr/>
        <w:t>134-132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ובניגוד לטענת המערער</w:t>
      </w:r>
      <w:r>
        <w:rPr>
          <w:rtl w:val="true"/>
        </w:rPr>
        <w:t xml:space="preserve">, </w:t>
      </w:r>
      <w:r>
        <w:rPr>
          <w:rtl w:val="true"/>
        </w:rPr>
        <w:t>הרי שגם בית משפט קמא עמד</w:t>
      </w:r>
      <w:r>
        <w:rPr>
          <w:rtl w:val="true"/>
        </w:rPr>
        <w:t xml:space="preserve">, </w:t>
      </w:r>
      <w:r>
        <w:rPr>
          <w:rtl w:val="true"/>
        </w:rPr>
        <w:t>במסגרת הדיונים שנערכו לפניו</w:t>
      </w:r>
      <w:r>
        <w:rPr>
          <w:rtl w:val="true"/>
        </w:rPr>
        <w:t xml:space="preserve">, </w:t>
      </w:r>
      <w:r>
        <w:rPr>
          <w:rtl w:val="true"/>
        </w:rPr>
        <w:t>על ליבון גרעין האירועים וסתירות אפשריות</w:t>
      </w:r>
      <w:r>
        <w:rPr>
          <w:rtl w:val="true"/>
        </w:rPr>
        <w:t xml:space="preserve">, </w:t>
      </w:r>
      <w:r>
        <w:rPr>
          <w:rtl w:val="true"/>
        </w:rPr>
        <w:t>מתוך ניסיון להגיע לחקר האמת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בחן בית המשפט באריכות את התנוחות בהן בוצעו מעשיו של המערער </w:t>
      </w:r>
      <w:r>
        <w:rPr>
          <w:rtl w:val="true"/>
        </w:rPr>
        <w:t>(</w:t>
      </w:r>
      <w:r>
        <w:rPr>
          <w:rtl w:val="true"/>
        </w:rPr>
        <w:t xml:space="preserve">פרוטוקול הדיון מיום </w:t>
      </w:r>
      <w:r>
        <w:rPr/>
        <w:t>3.3.2019</w:t>
      </w:r>
      <w:r>
        <w:rPr>
          <w:rtl w:val="true"/>
        </w:rPr>
        <w:t xml:space="preserve">, </w:t>
      </w:r>
      <w:r>
        <w:rPr>
          <w:rtl w:val="true"/>
        </w:rPr>
        <w:t xml:space="preserve">עמודים </w:t>
      </w:r>
      <w:r>
        <w:rPr/>
        <w:t>34-30</w:t>
      </w:r>
      <w:r>
        <w:rPr>
          <w:rtl w:val="true"/>
        </w:rPr>
        <w:t xml:space="preserve">); </w:t>
      </w:r>
      <w:r>
        <w:rPr>
          <w:rtl w:val="true"/>
        </w:rPr>
        <w:t xml:space="preserve">שאל את המתלוננת כיצד היא מסבירה את זה שהיא המשיכה לשתף את המערער בענייניה הפרטיים גם בתקופה שבה בוצעו המעשים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59</w:t>
      </w:r>
      <w:r>
        <w:rPr>
          <w:rtl w:val="true"/>
        </w:rPr>
        <w:t xml:space="preserve">); </w:t>
      </w:r>
      <w:r>
        <w:rPr>
          <w:rtl w:val="true"/>
        </w:rPr>
        <w:t xml:space="preserve">וכן שאל אותה על התלונה שהמערער ואמה הגישו בשמה והסיכוי שמעשיו של המערער כלפיה ייחשפו בתוך כך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עמודים </w:t>
      </w:r>
      <w:r>
        <w:rPr/>
        <w:t>92-91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מענה לטענות המערער בסוגיות אלו ועוד</w:t>
      </w:r>
      <w:r>
        <w:rPr>
          <w:rtl w:val="true"/>
        </w:rPr>
        <w:t xml:space="preserve">, </w:t>
      </w:r>
      <w:r>
        <w:rPr>
          <w:rtl w:val="true"/>
        </w:rPr>
        <w:t>ובתוך כך גם לטענותיו בערעור שלפנינו</w:t>
      </w:r>
      <w:r>
        <w:rPr>
          <w:rtl w:val="true"/>
        </w:rPr>
        <w:t xml:space="preserve">, </w:t>
      </w:r>
      <w:r>
        <w:rPr>
          <w:rtl w:val="true"/>
        </w:rPr>
        <w:t>בא לידי ביטוי גם בהכרעת דינו המפורטת של בית המשפט</w:t>
      </w:r>
      <w:r>
        <w:rPr>
          <w:rtl w:val="true"/>
        </w:rPr>
        <w:t xml:space="preserve">. </w:t>
      </w:r>
      <w:r>
        <w:rPr>
          <w:rtl w:val="true"/>
        </w:rPr>
        <w:t>להלן אעמוד על עיקרי הדברים</w:t>
      </w:r>
      <w:r>
        <w:rPr>
          <w:rtl w:val="true"/>
        </w:rPr>
        <w:t xml:space="preserve">. </w:t>
      </w:r>
      <w:r>
        <w:rPr>
          <w:rtl w:val="true"/>
        </w:rPr>
        <w:t>אציין כבר עתה</w:t>
      </w:r>
      <w:r>
        <w:rPr>
          <w:rtl w:val="true"/>
        </w:rPr>
        <w:t xml:space="preserve">, </w:t>
      </w:r>
      <w:r>
        <w:rPr>
          <w:rtl w:val="true"/>
        </w:rPr>
        <w:t>כי קביעותיו של בית המשפט</w:t>
      </w:r>
      <w:r>
        <w:rPr>
          <w:rtl w:val="true"/>
        </w:rPr>
        <w:t xml:space="preserve">, </w:t>
      </w:r>
      <w:r>
        <w:rPr>
          <w:rtl w:val="true"/>
        </w:rPr>
        <w:t>כפי שיפורטו</w:t>
      </w:r>
      <w:r>
        <w:rPr>
          <w:rtl w:val="true"/>
        </w:rPr>
        <w:t xml:space="preserve">, </w:t>
      </w:r>
      <w:r>
        <w:rPr>
          <w:rtl w:val="true"/>
        </w:rPr>
        <w:t>מקובלות עליי במלואן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אשר להיתכנות ביצוע המעשים</w:t>
      </w:r>
      <w:r>
        <w:rPr>
          <w:rtl w:val="true"/>
        </w:rPr>
        <w:t xml:space="preserve">, </w:t>
      </w:r>
      <w:r>
        <w:rPr>
          <w:rtl w:val="true"/>
        </w:rPr>
        <w:t>קבע בית המשפט כי יש לדחות את טענת המערער כי תיאוריה של המתלוננת באשר למנח גופה אינם אפשריים</w:t>
      </w:r>
      <w:r>
        <w:rPr>
          <w:rtl w:val="true"/>
        </w:rPr>
        <w:t xml:space="preserve">, </w:t>
      </w:r>
      <w:r>
        <w:rPr>
          <w:rtl w:val="true"/>
        </w:rPr>
        <w:t xml:space="preserve">משזו </w:t>
      </w:r>
      <w:r>
        <w:rPr>
          <w:rtl w:val="true"/>
        </w:rPr>
        <w:t>"</w:t>
      </w:r>
      <w:r>
        <w:rPr>
          <w:rtl w:val="true"/>
        </w:rPr>
        <w:t>לא הוכחה</w:t>
      </w:r>
      <w:r>
        <w:rPr>
          <w:rtl w:val="true"/>
        </w:rPr>
        <w:t xml:space="preserve">, </w:t>
      </w:r>
      <w:r>
        <w:rPr>
          <w:rtl w:val="true"/>
        </w:rPr>
        <w:t>ולא ברור על מה היא נסמכת</w:t>
      </w:r>
      <w:r>
        <w:rPr>
          <w:rtl w:val="true"/>
        </w:rPr>
        <w:t xml:space="preserve">", </w:t>
      </w:r>
      <w:r>
        <w:rPr>
          <w:rtl w:val="true"/>
        </w:rPr>
        <w:t xml:space="preserve">וכי </w:t>
      </w:r>
      <w:r>
        <w:rPr>
          <w:rtl w:val="true"/>
        </w:rPr>
        <w:t>"</w:t>
      </w:r>
      <w:r>
        <w:rPr>
          <w:rtl w:val="true"/>
        </w:rPr>
        <w:t>גם אם ייתכן שפרט כלשהו בתיאור מנח גופה של המתלוננת אינו מדויק</w:t>
      </w:r>
      <w:r>
        <w:rPr>
          <w:rtl w:val="true"/>
        </w:rPr>
        <w:t xml:space="preserve">, </w:t>
      </w:r>
      <w:r>
        <w:rPr>
          <w:rtl w:val="true"/>
        </w:rPr>
        <w:t>אין הדבר שולל את עיקר הטענה מכול וכול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105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 xml:space="preserve">כן קבע בית המשפט בהקשר זה כי אין זה בלתי סביר שהמעשים בוצעו בסלון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116</w:t>
      </w:r>
      <w:r>
        <w:rPr>
          <w:rtl w:val="true"/>
        </w:rPr>
        <w:t xml:space="preserve">), </w:t>
      </w:r>
      <w:r>
        <w:rPr>
          <w:rtl w:val="true"/>
        </w:rPr>
        <w:t xml:space="preserve">כי המערער </w:t>
      </w:r>
      <w:r>
        <w:rPr>
          <w:rtl w:val="true"/>
        </w:rPr>
        <w:t>"</w:t>
      </w:r>
      <w:r>
        <w:rPr>
          <w:rtl w:val="true"/>
        </w:rPr>
        <w:t>מסוגל לקיים יחסי מין</w:t>
      </w:r>
      <w:r>
        <w:rPr>
          <w:rtl w:val="true"/>
        </w:rPr>
        <w:t xml:space="preserve">, </w:t>
      </w:r>
      <w:r>
        <w:rPr>
          <w:rtl w:val="true"/>
        </w:rPr>
        <w:t>וכי היו הזדמנויות שבהן שהה בשעות הלילה יחד עם המתלוננת בסלון הדירה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188</w:t>
      </w:r>
      <w:r>
        <w:rPr>
          <w:rtl w:val="true"/>
        </w:rPr>
        <w:t xml:space="preserve">). </w:t>
      </w:r>
      <w:r>
        <w:rPr>
          <w:rtl w:val="true"/>
        </w:rPr>
        <w:t>ביחס למקום ביצוע המעשים אוסיף</w:t>
      </w:r>
      <w:r>
        <w:rPr>
          <w:rtl w:val="true"/>
        </w:rPr>
        <w:t xml:space="preserve">, </w:t>
      </w:r>
      <w:r>
        <w:rPr>
          <w:rtl w:val="true"/>
        </w:rPr>
        <w:t>כפי שנקבע בפסיקת בית משפט זה רבות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בהינתן ראיות מוצקות לביצוע המעשים</w:t>
      </w:r>
      <w:r>
        <w:rPr>
          <w:rtl w:val="true"/>
        </w:rPr>
        <w:t xml:space="preserve">, </w:t>
      </w:r>
      <w:r>
        <w:rPr>
          <w:rtl w:val="true"/>
        </w:rPr>
        <w:t xml:space="preserve">הטענה שהם נעשו באופן </w:t>
      </w:r>
      <w:r>
        <w:rPr>
          <w:rtl w:val="true"/>
        </w:rPr>
        <w:t>'</w:t>
      </w:r>
      <w:r>
        <w:rPr>
          <w:rtl w:val="true"/>
        </w:rPr>
        <w:t>לא הגיוני</w:t>
      </w:r>
      <w:r>
        <w:rPr>
          <w:rtl w:val="true"/>
        </w:rPr>
        <w:t xml:space="preserve">' </w:t>
      </w:r>
      <w:r>
        <w:rPr>
          <w:rtl w:val="true"/>
        </w:rPr>
        <w:t>אינה יכולה לפעול לטובת המערער</w:t>
      </w:r>
      <w:r>
        <w:rPr>
          <w:rtl w:val="true"/>
        </w:rPr>
        <w:t>" (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1647/17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4"/>
          <w:rtl w:val="true"/>
        </w:rPr>
        <w:t>פלוני נ</w:t>
      </w:r>
      <w:r>
        <w:rPr>
          <w:rFonts w:cs="Miriam" w:ascii="Miriam" w:hAnsi="Miriam"/>
          <w:sz w:val="22"/>
          <w:szCs w:val="24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9.1.2019</w:t>
      </w:r>
      <w:r>
        <w:rPr>
          <w:rtl w:val="true"/>
        </w:rPr>
        <w:t xml:space="preserve">)), </w:t>
      </w:r>
      <w:r>
        <w:rPr>
          <w:rtl w:val="true"/>
        </w:rPr>
        <w:t xml:space="preserve">וכי </w:t>
      </w:r>
      <w:r>
        <w:rPr>
          <w:rtl w:val="true"/>
        </w:rPr>
        <w:t>"</w:t>
      </w:r>
      <w:r>
        <w:rPr>
          <w:rtl w:val="true"/>
        </w:rPr>
        <w:t>עברייני מין אינם פועלים כ</w:t>
      </w:r>
      <w:r>
        <w:rPr>
          <w:rtl w:val="true"/>
        </w:rPr>
        <w:t>'</w:t>
      </w:r>
      <w:r>
        <w:rPr>
          <w:rtl w:val="true"/>
        </w:rPr>
        <w:t>אדם סביר</w:t>
      </w:r>
      <w:r>
        <w:rPr>
          <w:rtl w:val="true"/>
        </w:rPr>
        <w:t xml:space="preserve">' [...] </w:t>
      </w:r>
      <w:r>
        <w:rPr>
          <w:rtl w:val="true"/>
        </w:rPr>
        <w:t>כשמדובר בעבירות מין</w:t>
      </w:r>
      <w:r>
        <w:rPr>
          <w:rtl w:val="true"/>
        </w:rPr>
        <w:t xml:space="preserve">, </w:t>
      </w:r>
      <w:r>
        <w:rPr>
          <w:rtl w:val="true"/>
        </w:rPr>
        <w:t>לא כל שכן בעבירות מין בתוך המשפחה</w:t>
      </w:r>
      <w:r>
        <w:rPr>
          <w:rtl w:val="true"/>
        </w:rPr>
        <w:t xml:space="preserve">, </w:t>
      </w:r>
      <w:r>
        <w:rPr>
          <w:rtl w:val="true"/>
        </w:rPr>
        <w:t>המציאות עולה על כל הגיון</w:t>
      </w:r>
      <w:r>
        <w:rPr>
          <w:rtl w:val="true"/>
        </w:rPr>
        <w:t>" (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5832/20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4"/>
          <w:rtl w:val="true"/>
        </w:rPr>
        <w:t>פלוני נ</w:t>
      </w:r>
      <w:r>
        <w:rPr>
          <w:rFonts w:cs="Miriam" w:ascii="Miriam" w:hAnsi="Miriam"/>
          <w:sz w:val="22"/>
          <w:szCs w:val="24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22.8.2021</w:t>
      </w:r>
      <w:r>
        <w:rPr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קבע בית המשפט ביחס לשרבוטים של המתלוננת במהלך הודעתה במשטרה כי אלה לא צורפו לתיק המוצגים וכי המתלוננת לא נחקרה בעניין במהלך עדותה לפניו</w:t>
      </w:r>
      <w:r>
        <w:rPr>
          <w:rtl w:val="true"/>
        </w:rPr>
        <w:t xml:space="preserve">. </w:t>
      </w:r>
      <w:r>
        <w:rPr>
          <w:rtl w:val="true"/>
        </w:rPr>
        <w:t>למרות זאת</w:t>
      </w:r>
      <w:r>
        <w:rPr>
          <w:rtl w:val="true"/>
        </w:rPr>
        <w:t xml:space="preserve">, </w:t>
      </w:r>
      <w:r>
        <w:rPr>
          <w:rtl w:val="true"/>
        </w:rPr>
        <w:t xml:space="preserve">נדרש בית המשפט לסוגיה לגופה וקבע כי השרבוטים נעשו </w:t>
      </w:r>
      <w:r>
        <w:rPr>
          <w:rtl w:val="true"/>
        </w:rPr>
        <w:t>"</w:t>
      </w:r>
      <w:r>
        <w:rPr>
          <w:rtl w:val="true"/>
        </w:rPr>
        <w:t>כדי להקל על המתלוננת להתרכז במהלך החקירה הארוכה</w:t>
      </w:r>
      <w:r>
        <w:rPr>
          <w:rtl w:val="true"/>
        </w:rPr>
        <w:t xml:space="preserve">, </w:t>
      </w:r>
      <w:r>
        <w:rPr>
          <w:rtl w:val="true"/>
        </w:rPr>
        <w:t>וכי המתלוננת התייחסה למעמד מסירת הודעותיה ברצינות הראויה</w:t>
      </w:r>
      <w:r>
        <w:rPr>
          <w:rtl w:val="true"/>
        </w:rPr>
        <w:t xml:space="preserve">, </w:t>
      </w:r>
      <w:r>
        <w:rPr>
          <w:rtl w:val="true"/>
        </w:rPr>
        <w:t>והשיבה כמיטב יכולתה לשאלות החוקרת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114</w:t>
      </w:r>
      <w:r>
        <w:rPr>
          <w:rtl w:val="true"/>
        </w:rPr>
        <w:t xml:space="preserve">). </w:t>
      </w:r>
      <w:r>
        <w:rPr>
          <w:rtl w:val="true"/>
        </w:rPr>
        <w:t>בהקשר זה אוסיף</w:t>
      </w:r>
      <w:r>
        <w:rPr>
          <w:rtl w:val="true"/>
        </w:rPr>
        <w:t xml:space="preserve">, </w:t>
      </w:r>
      <w:r>
        <w:rPr>
          <w:rtl w:val="true"/>
        </w:rPr>
        <w:t>כי ממילא אין לבחון את התנהגותה של המתלוננת</w:t>
      </w:r>
      <w:r>
        <w:rPr>
          <w:rtl w:val="true"/>
        </w:rPr>
        <w:t xml:space="preserve">, </w:t>
      </w:r>
      <w:r>
        <w:rPr>
          <w:rtl w:val="true"/>
        </w:rPr>
        <w:t>כנפגעת עבירות מין</w:t>
      </w:r>
      <w:r>
        <w:rPr>
          <w:rtl w:val="true"/>
        </w:rPr>
        <w:t>, "</w:t>
      </w:r>
      <w:r>
        <w:rPr>
          <w:rtl w:val="true"/>
        </w:rPr>
        <w:t xml:space="preserve">באמות מידה רציונליות למתבונן </w:t>
      </w:r>
      <w:r>
        <w:rPr>
          <w:rtl w:val="true"/>
        </w:rPr>
        <w:t>'</w:t>
      </w:r>
      <w:r>
        <w:rPr>
          <w:rtl w:val="true"/>
        </w:rPr>
        <w:t>מן החוץ</w:t>
      </w:r>
      <w:r>
        <w:rPr>
          <w:rtl w:val="true"/>
        </w:rPr>
        <w:t>'" (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8120/19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4"/>
          <w:rtl w:val="true"/>
        </w:rPr>
        <w:t>וייספיש נ</w:t>
      </w:r>
      <w:r>
        <w:rPr>
          <w:rFonts w:cs="Miriam" w:ascii="Miriam" w:hAnsi="Miriam"/>
          <w:sz w:val="22"/>
          <w:szCs w:val="24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2.12.2021</w:t>
      </w:r>
      <w:r>
        <w:rPr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לצד האמור</w:t>
      </w:r>
      <w:r>
        <w:rPr>
          <w:rtl w:val="true"/>
        </w:rPr>
        <w:t xml:space="preserve">, </w:t>
      </w:r>
      <w:r>
        <w:rPr>
          <w:rtl w:val="true"/>
        </w:rPr>
        <w:t>ובניגוד לדברי המערער</w:t>
      </w:r>
      <w:r>
        <w:rPr>
          <w:rtl w:val="true"/>
        </w:rPr>
        <w:t xml:space="preserve">, </w:t>
      </w:r>
      <w:r>
        <w:rPr>
          <w:rtl w:val="true"/>
        </w:rPr>
        <w:t>דחה בית המשפט גם את הטענה לפיה המתלוננת ידעה</w:t>
      </w:r>
      <w:r>
        <w:rPr>
          <w:rtl w:val="true"/>
        </w:rPr>
        <w:t xml:space="preserve">, </w:t>
      </w:r>
      <w:r>
        <w:rPr>
          <w:rtl w:val="true"/>
        </w:rPr>
        <w:t>עובר לבדיקתה</w:t>
      </w:r>
      <w:r>
        <w:rPr>
          <w:rtl w:val="true"/>
        </w:rPr>
        <w:t xml:space="preserve">, </w:t>
      </w:r>
      <w:r>
        <w:rPr>
          <w:rtl w:val="true"/>
        </w:rPr>
        <w:t xml:space="preserve">שהיא בתולה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115</w:t>
      </w:r>
      <w:r>
        <w:rPr>
          <w:rtl w:val="true"/>
        </w:rPr>
        <w:t xml:space="preserve">). </w:t>
      </w:r>
      <w:r>
        <w:rPr>
          <w:rtl w:val="true"/>
        </w:rPr>
        <w:t>בתוך כך קיבל בית המשפט את הסברה של המתלוננת לסתירות הנטענות בעניין</w:t>
      </w:r>
      <w:r>
        <w:rPr>
          <w:rtl w:val="true"/>
        </w:rPr>
        <w:t xml:space="preserve">. 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כן דן בית המשפט</w:t>
      </w:r>
      <w:r>
        <w:rPr>
          <w:rtl w:val="true"/>
        </w:rPr>
        <w:t xml:space="preserve">, </w:t>
      </w:r>
      <w:r>
        <w:rPr>
          <w:rtl w:val="true"/>
        </w:rPr>
        <w:t>באריכות רבה</w:t>
      </w:r>
      <w:r>
        <w:rPr>
          <w:rtl w:val="true"/>
        </w:rPr>
        <w:t xml:space="preserve">, </w:t>
      </w:r>
      <w:r>
        <w:rPr>
          <w:rtl w:val="true"/>
        </w:rPr>
        <w:t xml:space="preserve">בטענת העלילה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בפסקאות </w:t>
      </w:r>
      <w:r>
        <w:rPr/>
        <w:t>237-230</w:t>
      </w:r>
      <w:r>
        <w:rPr>
          <w:rtl w:val="true"/>
        </w:rPr>
        <w:t xml:space="preserve">). </w:t>
      </w:r>
      <w:r>
        <w:rPr>
          <w:rtl w:val="true"/>
        </w:rPr>
        <w:t xml:space="preserve">מובן כי טענה זו לא נדחתה </w:t>
      </w:r>
      <w:r>
        <w:rPr>
          <w:rtl w:val="true"/>
        </w:rPr>
        <w:t>"</w:t>
      </w:r>
      <w:r>
        <w:rPr>
          <w:rtl w:val="true"/>
        </w:rPr>
        <w:t>במחי יד</w:t>
      </w:r>
      <w:r>
        <w:rPr>
          <w:rtl w:val="true"/>
        </w:rPr>
        <w:t xml:space="preserve">", </w:t>
      </w:r>
      <w:r>
        <w:rPr>
          <w:rtl w:val="true"/>
        </w:rPr>
        <w:t>כטענת המערער</w:t>
      </w:r>
      <w:r>
        <w:rPr>
          <w:rtl w:val="true"/>
        </w:rPr>
        <w:t xml:space="preserve">. </w:t>
      </w:r>
      <w:r>
        <w:rPr>
          <w:rtl w:val="true"/>
        </w:rPr>
        <w:t>אדגיש</w:t>
      </w:r>
      <w:r>
        <w:rPr>
          <w:rtl w:val="true"/>
        </w:rPr>
        <w:t xml:space="preserve">, </w:t>
      </w:r>
      <w:r>
        <w:rPr>
          <w:rtl w:val="true"/>
        </w:rPr>
        <w:t xml:space="preserve">כי ממילא אף אני סבור שטענה זו מופרכת וכי אין היא עומדת במבחן ההיגיון והשכל הישר </w:t>
      </w:r>
      <w:r>
        <w:rPr>
          <w:rtl w:val="true"/>
        </w:rPr>
        <w:t>(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8050/17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4"/>
          <w:rtl w:val="true"/>
        </w:rPr>
        <w:t>פלוני נ</w:t>
      </w:r>
      <w:r>
        <w:rPr>
          <w:rFonts w:cs="Miriam" w:ascii="Miriam" w:hAnsi="Miriam"/>
          <w:sz w:val="22"/>
          <w:szCs w:val="24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31.10.2018</w:t>
      </w:r>
      <w:r>
        <w:rPr>
          <w:rtl w:val="true"/>
        </w:rPr>
        <w:t xml:space="preserve">)). </w:t>
      </w:r>
      <w:r>
        <w:rPr>
          <w:rtl w:val="true"/>
        </w:rPr>
        <w:t xml:space="preserve">המתלוננת לא בדתה </w:t>
      </w:r>
      <w:r>
        <w:rPr>
          <w:rtl w:val="true"/>
        </w:rPr>
        <w:t>"</w:t>
      </w:r>
      <w:r>
        <w:rPr>
          <w:rtl w:val="true"/>
        </w:rPr>
        <w:t>עלילת דם גסה ומכוערת הנוגדת כל מוסר אנושי אלמנטרי</w:t>
      </w:r>
      <w:r>
        <w:rPr>
          <w:rtl w:val="true"/>
        </w:rPr>
        <w:t xml:space="preserve">" </w:t>
      </w:r>
      <w:r>
        <w:rPr>
          <w:rtl w:val="true"/>
        </w:rPr>
        <w:t xml:space="preserve">והיא אינה </w:t>
      </w:r>
      <w:r>
        <w:rPr>
          <w:rtl w:val="true"/>
        </w:rPr>
        <w:t>"</w:t>
      </w:r>
      <w:r>
        <w:rPr>
          <w:rtl w:val="true"/>
        </w:rPr>
        <w:t>רשע</w:t>
      </w:r>
      <w:r>
        <w:rPr>
          <w:rtl w:val="true"/>
        </w:rPr>
        <w:t xml:space="preserve">", </w:t>
      </w:r>
      <w:r>
        <w:rPr>
          <w:rtl w:val="true"/>
        </w:rPr>
        <w:t>כטענת המערער</w:t>
      </w:r>
      <w:r>
        <w:rPr>
          <w:rtl w:val="true"/>
        </w:rPr>
        <w:t xml:space="preserve">. </w:t>
      </w:r>
      <w:r>
        <w:rPr>
          <w:rtl w:val="true"/>
        </w:rPr>
        <w:t>דברי המתלוננת נאמרו משום שהם דברי אמת</w:t>
      </w:r>
      <w:r>
        <w:rPr>
          <w:rtl w:val="true"/>
        </w:rPr>
        <w:t xml:space="preserve">, </w:t>
      </w:r>
      <w:r>
        <w:rPr>
          <w:rtl w:val="true"/>
        </w:rPr>
        <w:t>אותם היא חוותה על בשרה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אין בניסיונו של המערער להכפיש את המתלוננת</w:t>
      </w:r>
      <w:r>
        <w:rPr>
          <w:rtl w:val="true"/>
        </w:rPr>
        <w:t xml:space="preserve">, </w:t>
      </w:r>
      <w:r>
        <w:rPr>
          <w:rtl w:val="true"/>
        </w:rPr>
        <w:t>או לרמוז כאילו זו ביססה את דבריה על מראות ומושגים שאולים</w:t>
      </w:r>
      <w:r>
        <w:rPr>
          <w:rtl w:val="true"/>
        </w:rPr>
        <w:t xml:space="preserve">, </w:t>
      </w:r>
      <w:r>
        <w:rPr>
          <w:rtl w:val="true"/>
        </w:rPr>
        <w:t>כדי לסייע לו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ומשאלה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מבססים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הלכה היא כי ערכאת הערעור לא תתערב בעונש שהטילה הערכאה הדיונית אלא במקרים חריגים</w:t>
      </w:r>
      <w:r>
        <w:rPr>
          <w:rtl w:val="true"/>
        </w:rPr>
        <w:t xml:space="preserve">, </w:t>
      </w:r>
      <w:r>
        <w:rPr>
          <w:rtl w:val="true"/>
        </w:rPr>
        <w:t xml:space="preserve">בהם נפלה בגזר הדין טעות מהותית או שהעונש חורג באופן קיצוני ממדיניות הענישה הנוהגת או הראויה בנסיבות דומות </w:t>
      </w:r>
      <w:r>
        <w:rPr>
          <w:rtl w:val="true"/>
        </w:rPr>
        <w:t>(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2538/19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4"/>
          <w:rtl w:val="true"/>
        </w:rPr>
        <w:t>פלוני נ</w:t>
      </w:r>
      <w:r>
        <w:rPr>
          <w:rFonts w:cs="Miriam" w:ascii="Miriam" w:hAnsi="Miriam"/>
          <w:sz w:val="22"/>
          <w:szCs w:val="24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4"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13.11.2019</w:t>
      </w:r>
      <w:r>
        <w:rPr>
          <w:rtl w:val="true"/>
        </w:rPr>
        <w:t xml:space="preserve">)). </w:t>
      </w:r>
      <w:r>
        <w:rPr>
          <w:rtl w:val="true"/>
        </w:rPr>
        <w:t>איני סבור כי מקרה זה בא בגדר מקרים חריגים אלה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בית משפט זה עמד לא אחת על החומרה הרבה הגלומה בביצוע עבירות מין בקטינים</w:t>
      </w:r>
      <w:r>
        <w:rPr>
          <w:rtl w:val="true"/>
        </w:rPr>
        <w:t xml:space="preserve">, </w:t>
      </w:r>
      <w:r>
        <w:rPr>
          <w:rtl w:val="true"/>
        </w:rPr>
        <w:t>על אחת כמה וכמה כשאלו מבוצעות בתוך התא המשפחתי</w:t>
      </w:r>
      <w:r>
        <w:rPr>
          <w:rtl w:val="true"/>
        </w:rPr>
        <w:t xml:space="preserve">, </w:t>
      </w:r>
      <w:r>
        <w:rPr>
          <w:rtl w:val="true"/>
        </w:rPr>
        <w:t>תוך ניצול יחסי האמון והקרבה בין הפוגע לנפגע</w:t>
      </w:r>
      <w:r>
        <w:rPr>
          <w:rtl w:val="true"/>
        </w:rPr>
        <w:t xml:space="preserve">. </w:t>
      </w:r>
      <w:r>
        <w:rPr>
          <w:rtl w:val="true"/>
        </w:rPr>
        <w:t>כן נקבע</w:t>
      </w:r>
      <w:r>
        <w:rPr>
          <w:rtl w:val="true"/>
        </w:rPr>
        <w:t xml:space="preserve">, </w:t>
      </w:r>
      <w:r>
        <w:rPr>
          <w:rtl w:val="true"/>
        </w:rPr>
        <w:t xml:space="preserve">כי במקרים אלה יש לתת את הבכורה לשיקולי גמול והרתעה על פני נסיבותיו האישיות של הפוגע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8687/21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4"/>
          <w:rtl w:val="true"/>
        </w:rPr>
        <w:t>פלוני נ</w:t>
      </w:r>
      <w:r>
        <w:rPr>
          <w:rFonts w:cs="Miriam" w:ascii="Miriam" w:hAnsi="Miriam"/>
          <w:sz w:val="22"/>
          <w:szCs w:val="24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29.8.2021</w:t>
      </w:r>
      <w:r>
        <w:rPr>
          <w:rtl w:val="true"/>
        </w:rPr>
        <w:t xml:space="preserve">)), </w:t>
      </w:r>
      <w:r>
        <w:rPr>
          <w:rtl w:val="true"/>
        </w:rPr>
        <w:t xml:space="preserve">וכי על הענישה </w:t>
      </w:r>
      <w:r>
        <w:rPr>
          <w:rtl w:val="true"/>
        </w:rPr>
        <w:t>"</w:t>
      </w:r>
      <w:r>
        <w:rPr>
          <w:rtl w:val="true"/>
        </w:rPr>
        <w:t>לבטא סלידה עמוקה והוקעה חברתית</w:t>
      </w:r>
      <w:r>
        <w:rPr>
          <w:rtl w:val="true"/>
        </w:rPr>
        <w:t xml:space="preserve">, </w:t>
      </w:r>
      <w:r>
        <w:rPr>
          <w:rtl w:val="true"/>
        </w:rPr>
        <w:t>לזעוק את זעקת הקורבנות</w:t>
      </w:r>
      <w:r>
        <w:rPr>
          <w:rtl w:val="true"/>
        </w:rPr>
        <w:t xml:space="preserve">, </w:t>
      </w:r>
      <w:r>
        <w:rPr>
          <w:rtl w:val="true"/>
        </w:rPr>
        <w:t xml:space="preserve">לייצר תיקון מוסרי </w:t>
      </w:r>
      <w:r>
        <w:rPr>
          <w:rtl w:val="true"/>
        </w:rPr>
        <w:t>–</w:t>
      </w:r>
      <w:r>
        <w:rPr>
          <w:rtl w:val="true"/>
        </w:rPr>
        <w:t xml:space="preserve"> ובעיקר לבודד ולהרתיע עבריינים פוטנציאליים</w:t>
      </w:r>
      <w:r>
        <w:rPr>
          <w:rtl w:val="true"/>
        </w:rPr>
        <w:t xml:space="preserve">, </w:t>
      </w:r>
      <w:r>
        <w:rPr>
          <w:rtl w:val="true"/>
        </w:rPr>
        <w:t>בפרט אלה הפוגעים בקטינים בתוך המשפחה</w:t>
      </w:r>
      <w:r>
        <w:rPr>
          <w:rtl w:val="true"/>
        </w:rPr>
        <w:t>" (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5617/19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4"/>
          <w:rtl w:val="true"/>
        </w:rPr>
        <w:t>מדינת ישראל נ</w:t>
      </w:r>
      <w:r>
        <w:rPr>
          <w:rFonts w:cs="Miriam" w:ascii="Miriam" w:hAnsi="Miriam"/>
          <w:sz w:val="22"/>
          <w:szCs w:val="24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26.8.2021</w:t>
      </w:r>
      <w:r>
        <w:rPr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עונשו של המערער אינו קל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מדובר בעונש ההולם את מעשיו החמורים ואת נסיבות ביצועם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במשך קרוב לשנה פגע המערער פגיעה קשה בגופה ובנפשה של המתלוננת </w:t>
      </w:r>
      <w:r>
        <w:rPr>
          <w:rtl w:val="true"/>
        </w:rPr>
        <w:t>–</w:t>
      </w:r>
      <w:r>
        <w:rPr>
          <w:rtl w:val="true"/>
        </w:rPr>
        <w:t xml:space="preserve"> נערה צעירה</w:t>
      </w:r>
      <w:r>
        <w:rPr>
          <w:rtl w:val="true"/>
        </w:rPr>
        <w:t xml:space="preserve">, </w:t>
      </w:r>
      <w:r>
        <w:rPr>
          <w:rtl w:val="true"/>
        </w:rPr>
        <w:t xml:space="preserve">אשר ראתה בו </w:t>
      </w:r>
      <w:r>
        <w:rPr>
          <w:rtl w:val="true"/>
        </w:rPr>
        <w:t>"</w:t>
      </w:r>
      <w:r>
        <w:rPr>
          <w:rtl w:val="true"/>
        </w:rPr>
        <w:t>אב שני</w:t>
      </w:r>
      <w:r>
        <w:rPr>
          <w:rtl w:val="true"/>
        </w:rPr>
        <w:t xml:space="preserve">".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ניצל המערער את הקרבה הפיזית והרגשית שהתקיימה בינו לבין המתלוננת ומעל באמון שזו נתנה בו</w:t>
      </w:r>
      <w:r>
        <w:rPr>
          <w:rtl w:val="true"/>
        </w:rPr>
        <w:t xml:space="preserve">. </w:t>
      </w:r>
      <w:r>
        <w:rPr>
          <w:rtl w:val="true"/>
        </w:rPr>
        <w:t>כן ניצל המערער</w:t>
      </w:r>
      <w:r>
        <w:rPr>
          <w:rtl w:val="true"/>
        </w:rPr>
        <w:t xml:space="preserve">, </w:t>
      </w:r>
      <w:r>
        <w:rPr>
          <w:rtl w:val="true"/>
        </w:rPr>
        <w:t>כקביעת 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את כך שהמתלוננת </w:t>
      </w:r>
      <w:r>
        <w:rPr>
          <w:rtl w:val="true"/>
        </w:rPr>
        <w:t>"</w:t>
      </w:r>
      <w:r>
        <w:rPr>
          <w:rtl w:val="true"/>
        </w:rPr>
        <w:t>הקריבה למעשה את עצמה כדי למנוע נזקים לאמה ולאחיה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לגזר הדין</w:t>
      </w:r>
      <w:r>
        <w:rPr>
          <w:rtl w:val="true"/>
        </w:rPr>
        <w:t xml:space="preserve">). </w:t>
      </w:r>
      <w:r>
        <w:rPr>
          <w:rtl w:val="true"/>
        </w:rPr>
        <w:t>כפי שעולה מתסקיר נפגעת העבירה</w:t>
      </w:r>
      <w:r>
        <w:rPr>
          <w:rtl w:val="true"/>
        </w:rPr>
        <w:t xml:space="preserve">, </w:t>
      </w:r>
      <w:r>
        <w:rPr>
          <w:rtl w:val="true"/>
        </w:rPr>
        <w:t>פגיעתו הקשה של המערער במתלוננת ממשיכה עדיין ללוותה בהיבטים רבים של חייה</w:t>
      </w:r>
      <w:r>
        <w:rPr>
          <w:rtl w:val="true"/>
        </w:rPr>
        <w:t xml:space="preserve">. 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 xml:space="preserve">איני סבור כי עונשו של המערער חורג באופן קיצוני ממדיניות הענישה הנוהגת או הראויה במקרים דומים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781/19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4"/>
          <w:rtl w:val="true"/>
        </w:rPr>
        <w:t>פלוני נ</w:t>
      </w:r>
      <w:r>
        <w:rPr>
          <w:rFonts w:cs="Miriam" w:ascii="Miriam" w:hAnsi="Miriam"/>
          <w:sz w:val="22"/>
          <w:szCs w:val="24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4"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13.1.2021</w:t>
      </w:r>
      <w:r>
        <w:rPr>
          <w:rtl w:val="true"/>
        </w:rPr>
        <w:t xml:space="preserve">);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1935/20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31.3.2021</w:t>
      </w:r>
      <w:r>
        <w:rPr>
          <w:rtl w:val="true"/>
        </w:rPr>
        <w:t xml:space="preserve">)). </w:t>
      </w:r>
      <w:r>
        <w:rPr>
          <w:rtl w:val="true"/>
        </w:rPr>
        <w:t>למותר לציין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בעבירות כבענייננו</w:t>
      </w:r>
      <w:r>
        <w:rPr>
          <w:rtl w:val="true"/>
        </w:rPr>
        <w:t xml:space="preserve">, </w:t>
      </w:r>
      <w:r>
        <w:rPr>
          <w:rtl w:val="true"/>
        </w:rPr>
        <w:t>משרעת העונשים רחבה במיוחד</w:t>
      </w:r>
      <w:r>
        <w:rPr>
          <w:rtl w:val="true"/>
        </w:rPr>
        <w:t xml:space="preserve">;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כל מקרה נבחן לפי נסיבותיו</w:t>
      </w:r>
      <w:r>
        <w:rPr>
          <w:rtl w:val="true"/>
        </w:rPr>
        <w:t xml:space="preserve">. </w:t>
      </w:r>
      <w:r>
        <w:rPr>
          <w:rtl w:val="true"/>
        </w:rPr>
        <w:t>כל מסכת היא יחודית</w:t>
      </w:r>
      <w:r>
        <w:rPr>
          <w:rtl w:val="true"/>
        </w:rPr>
        <w:t xml:space="preserve">, </w:t>
      </w:r>
      <w:r>
        <w:rPr>
          <w:rtl w:val="true"/>
        </w:rPr>
        <w:t>ואין עניין אחד דומה למשנהו</w:t>
      </w:r>
      <w:r>
        <w:rPr>
          <w:rtl w:val="true"/>
        </w:rPr>
        <w:t xml:space="preserve">; </w:t>
      </w:r>
      <w:r>
        <w:rPr>
          <w:rtl w:val="true"/>
        </w:rPr>
        <w:t xml:space="preserve">כל נפגע </w:t>
      </w:r>
      <w:r>
        <w:rPr>
          <w:rtl w:val="true"/>
        </w:rPr>
        <w:t>–</w:t>
      </w:r>
      <w:r>
        <w:rPr>
          <w:rtl w:val="true"/>
        </w:rPr>
        <w:t xml:space="preserve"> עולם ומלואו</w:t>
      </w:r>
      <w:r>
        <w:rPr>
          <w:rtl w:val="true"/>
        </w:rPr>
        <w:t xml:space="preserve">, </w:t>
      </w:r>
      <w:r>
        <w:rPr>
          <w:rtl w:val="true"/>
        </w:rPr>
        <w:t>שונה מרעהו</w:t>
      </w:r>
      <w:r>
        <w:rPr>
          <w:rtl w:val="true"/>
        </w:rPr>
        <w:t>" (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2359/17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18.8.2019</w:t>
      </w:r>
      <w:r>
        <w:rPr>
          <w:rtl w:val="true"/>
        </w:rPr>
        <w:t xml:space="preserve">)).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 במלואו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י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עמית</w:t>
      </w:r>
      <w:r>
        <w:rPr>
          <w:rFonts w:cs="Miriam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 xml:space="preserve">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ד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מינץ</w:t>
      </w:r>
      <w:r>
        <w:rPr>
          <w:rFonts w:cs="Miriam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eastAsia="Arial TUR;Arial" w:cs="Arial TUR;Arial"/>
          <w:sz w:val="22"/>
        </w:rPr>
      </w:pPr>
      <w:r>
        <w:rPr>
          <w:rFonts w:eastAsia="Arial TUR;Arial" w:cs="Arial TUR;Arial" w:ascii="Arial TUR;Arial" w:hAnsi="Arial TUR;Arial"/>
          <w:sz w:val="22"/>
          <w:rtl w:val="true"/>
        </w:rPr>
        <w:t xml:space="preserve">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לפיכך 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15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באדר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7.2.2022</w:t>
      </w:r>
      <w:r>
        <w:rPr>
          <w:rFonts w:cs="Century" w:ascii="Century" w:hAnsi="Century"/>
          <w:rtl w:val="true"/>
        </w:rPr>
        <w:t xml:space="preserve">). </w:t>
      </w:r>
      <w:bookmarkEnd w:id="15"/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20047070</w:t>
      </w:r>
      <w:r>
        <w:rPr>
          <w:sz w:val="16"/>
          <w:rtl w:val="true"/>
        </w:rPr>
        <w:t>_</w:t>
      </w:r>
      <w:r>
        <w:rPr>
          <w:sz w:val="16"/>
        </w:rPr>
        <w:t>Q10.docx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4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54678313-4707/20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6"/>
      <w:footerReference w:type="default" r:id="rId5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4707/20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szCs w:val="24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sz w:val="24"/>
      <w:szCs w:val="24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/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23187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345.a.1" TargetMode="External"/><Relationship Id="rId6" Type="http://schemas.openxmlformats.org/officeDocument/2006/relationships/hyperlink" Target="http://www.nevo.co.il/law/70301/345.a.3" TargetMode="External"/><Relationship Id="rId7" Type="http://schemas.openxmlformats.org/officeDocument/2006/relationships/hyperlink" Target="http://www.nevo.co.il/law/70301/345.b.1" TargetMode="External"/><Relationship Id="rId8" Type="http://schemas.openxmlformats.org/officeDocument/2006/relationships/hyperlink" Target="http://www.nevo.co.il/law/70301/347.b" TargetMode="External"/><Relationship Id="rId9" Type="http://schemas.openxmlformats.org/officeDocument/2006/relationships/hyperlink" Target="http://www.nevo.co.il/law/70301/348.b" TargetMode="External"/><Relationship Id="rId10" Type="http://schemas.openxmlformats.org/officeDocument/2006/relationships/hyperlink" Target="http://www.nevo.co.il/law/70301/351.a" TargetMode="External"/><Relationship Id="rId11" Type="http://schemas.openxmlformats.org/officeDocument/2006/relationships/hyperlink" Target="http://www.nevo.co.il/law/70301/351.c.2" TargetMode="External"/><Relationship Id="rId12" Type="http://schemas.openxmlformats.org/officeDocument/2006/relationships/hyperlink" Target="http://www.nevo.co.il/law/98569" TargetMode="External"/><Relationship Id="rId13" Type="http://schemas.openxmlformats.org/officeDocument/2006/relationships/hyperlink" Target="http://www.nevo.co.il/law/98569/54a.b" TargetMode="External"/><Relationship Id="rId14" Type="http://schemas.openxmlformats.org/officeDocument/2006/relationships/hyperlink" Target="http://www.nevo.co.il/case/25231872" TargetMode="External"/><Relationship Id="rId15" Type="http://schemas.openxmlformats.org/officeDocument/2006/relationships/hyperlink" Target="http://www.nevo.co.il/law/70301/351.a" TargetMode="External"/><Relationship Id="rId16" Type="http://schemas.openxmlformats.org/officeDocument/2006/relationships/hyperlink" Target="http://www.nevo.co.il/law/70301/345.a.3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51.a" TargetMode="External"/><Relationship Id="rId19" Type="http://schemas.openxmlformats.org/officeDocument/2006/relationships/hyperlink" Target="http://www.nevo.co.il/law/70301/345.a.1" TargetMode="External"/><Relationship Id="rId20" Type="http://schemas.openxmlformats.org/officeDocument/2006/relationships/hyperlink" Target="http://www.nevo.co.il/law/70301/351.a" TargetMode="External"/><Relationship Id="rId21" Type="http://schemas.openxmlformats.org/officeDocument/2006/relationships/hyperlink" Target="http://www.nevo.co.il/law/70301/347.b" TargetMode="External"/><Relationship Id="rId22" Type="http://schemas.openxmlformats.org/officeDocument/2006/relationships/hyperlink" Target="http://www.nevo.co.il/law/70301/345.a.3" TargetMode="External"/><Relationship Id="rId23" Type="http://schemas.openxmlformats.org/officeDocument/2006/relationships/hyperlink" Target="http://www.nevo.co.il/law/70301/25" TargetMode="External"/><Relationship Id="rId24" Type="http://schemas.openxmlformats.org/officeDocument/2006/relationships/hyperlink" Target="http://www.nevo.co.il/law/70301/351.c.2" TargetMode="External"/><Relationship Id="rId25" Type="http://schemas.openxmlformats.org/officeDocument/2006/relationships/hyperlink" Target="http://www.nevo.co.il/law/70301/348.b" TargetMode="External"/><Relationship Id="rId26" Type="http://schemas.openxmlformats.org/officeDocument/2006/relationships/hyperlink" Target="http://www.nevo.co.il/law/70301/345.b.1" TargetMode="External"/><Relationship Id="rId27" Type="http://schemas.openxmlformats.org/officeDocument/2006/relationships/hyperlink" Target="http://www.nevo.co.il/law/70301/345.a.1" TargetMode="External"/><Relationship Id="rId28" Type="http://schemas.openxmlformats.org/officeDocument/2006/relationships/hyperlink" Target="http://www.nevo.co.il/law/70301/351.c.2" TargetMode="External"/><Relationship Id="rId29" Type="http://schemas.openxmlformats.org/officeDocument/2006/relationships/hyperlink" Target="http://www.nevo.co.il/law/70301/348.b" TargetMode="External"/><Relationship Id="rId30" Type="http://schemas.openxmlformats.org/officeDocument/2006/relationships/hyperlink" Target="http://www.nevo.co.il/law/70301/345.b.1" TargetMode="External"/><Relationship Id="rId31" Type="http://schemas.openxmlformats.org/officeDocument/2006/relationships/hyperlink" Target="http://www.nevo.co.il/law/70301/345.a.1" TargetMode="External"/><Relationship Id="rId32" Type="http://schemas.openxmlformats.org/officeDocument/2006/relationships/hyperlink" Target="http://www.nevo.co.il/law/70301/25" TargetMode="External"/><Relationship Id="rId33" Type="http://schemas.openxmlformats.org/officeDocument/2006/relationships/hyperlink" Target="http://www.nevo.co.il/case/6199917" TargetMode="External"/><Relationship Id="rId34" Type="http://schemas.openxmlformats.org/officeDocument/2006/relationships/hyperlink" Target="http://www.nevo.co.il/case/25441705" TargetMode="External"/><Relationship Id="rId35" Type="http://schemas.openxmlformats.org/officeDocument/2006/relationships/hyperlink" Target="http://www.nevo.co.il/law/98569/54a.b" TargetMode="External"/><Relationship Id="rId36" Type="http://schemas.openxmlformats.org/officeDocument/2006/relationships/hyperlink" Target="http://www.nevo.co.il/law/98569" TargetMode="External"/><Relationship Id="rId37" Type="http://schemas.openxmlformats.org/officeDocument/2006/relationships/hyperlink" Target="http://www.nevo.co.il/case/26544661" TargetMode="External"/><Relationship Id="rId38" Type="http://schemas.openxmlformats.org/officeDocument/2006/relationships/hyperlink" Target="http://www.nevo.co.il/case/20272217" TargetMode="External"/><Relationship Id="rId39" Type="http://schemas.openxmlformats.org/officeDocument/2006/relationships/hyperlink" Target="http://www.nevo.co.il/case/6240751" TargetMode="External"/><Relationship Id="rId40" Type="http://schemas.openxmlformats.org/officeDocument/2006/relationships/hyperlink" Target="http://www.nevo.co.il/case/18742532" TargetMode="External"/><Relationship Id="rId41" Type="http://schemas.openxmlformats.org/officeDocument/2006/relationships/hyperlink" Target="http://www.nevo.co.il/case/22943250" TargetMode="External"/><Relationship Id="rId42" Type="http://schemas.openxmlformats.org/officeDocument/2006/relationships/hyperlink" Target="http://www.nevo.co.il/case/26964729" TargetMode="External"/><Relationship Id="rId43" Type="http://schemas.openxmlformats.org/officeDocument/2006/relationships/hyperlink" Target="http://www.nevo.co.il/case/20982179" TargetMode="External"/><Relationship Id="rId44" Type="http://schemas.openxmlformats.org/officeDocument/2006/relationships/hyperlink" Target="http://www.nevo.co.il/case/22261453" TargetMode="External"/><Relationship Id="rId45" Type="http://schemas.openxmlformats.org/officeDocument/2006/relationships/hyperlink" Target="http://www.nevo.co.il/case/26938540" TargetMode="External"/><Relationship Id="rId46" Type="http://schemas.openxmlformats.org/officeDocument/2006/relationships/hyperlink" Target="http://www.nevo.co.il/case/26255935" TargetMode="External"/><Relationship Id="rId47" Type="http://schemas.openxmlformats.org/officeDocument/2006/relationships/hyperlink" Target="http://www.nevo.co.il/case/23354200" TargetMode="External"/><Relationship Id="rId48" Type="http://schemas.openxmlformats.org/officeDocument/2006/relationships/hyperlink" Target="http://www.nevo.co.il/case/25608114" TargetMode="External"/><Relationship Id="rId49" Type="http://schemas.openxmlformats.org/officeDocument/2006/relationships/hyperlink" Target="http://www.nevo.co.il/case/28184356" TargetMode="External"/><Relationship Id="rId50" Type="http://schemas.openxmlformats.org/officeDocument/2006/relationships/hyperlink" Target="http://www.nevo.co.il/case/25994899" TargetMode="External"/><Relationship Id="rId51" Type="http://schemas.openxmlformats.org/officeDocument/2006/relationships/hyperlink" Target="http://www.nevo.co.il/case/25388537" TargetMode="External"/><Relationship Id="rId52" Type="http://schemas.openxmlformats.org/officeDocument/2006/relationships/hyperlink" Target="http://www.nevo.co.il/case/26538274" TargetMode="External"/><Relationship Id="rId53" Type="http://schemas.openxmlformats.org/officeDocument/2006/relationships/hyperlink" Target="http://www.nevo.co.il/case/22505618" TargetMode="External"/><Relationship Id="rId54" Type="http://schemas.openxmlformats.org/officeDocument/2006/relationships/hyperlink" Target="https://supreme.court.gov.il/" TargetMode="External"/><Relationship Id="rId55" Type="http://schemas.openxmlformats.org/officeDocument/2006/relationships/hyperlink" Target="http://www.nevo.co.il/advertisements/nevo-100.doc" TargetMode="External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2022-02-08T12:39:00Z</dcterms:created>
  <dc:creator>h4</dc:creator>
  <dc:description/>
  <cp:keywords/>
  <dc:language>en-IL</dc:language>
  <cp:lastModifiedBy>orly</cp:lastModifiedBy>
  <cp:lastPrinted>2022-02-07T16:02:00Z</cp:lastPrinted>
  <dcterms:modified xsi:type="dcterms:W3CDTF">2022-02-08T12:39:00Z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25231872:2;6199917;25441705;26544661;20272217;6240751;18742532;22943250;26964729;20982179;22261453;26938540;26255935;23354200;25608114;28184356;25994899;25388537;26538274;22505618</vt:lpwstr>
  </property>
  <property fmtid="{D5CDD505-2E9C-101B-9397-08002B2CF9AE}" pid="9" name="CITY">
    <vt:lpwstr/>
  </property>
  <property fmtid="{D5CDD505-2E9C-101B-9397-08002B2CF9AE}" pid="10" name="DATE">
    <vt:lpwstr>20220207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עמית;ג' קרא;ד' מינץ</vt:lpwstr>
  </property>
  <property fmtid="{D5CDD505-2E9C-101B-9397-08002B2CF9AE}" pid="14" name="LAWLISTTMP1">
    <vt:lpwstr>70301/351.a:3;345.a.3:2;345.a.1:3;347.b;025:2;351.c.2:2;348.b:2;345.b.1:2</vt:lpwstr>
  </property>
  <property fmtid="{D5CDD505-2E9C-101B-9397-08002B2CF9AE}" pid="15" name="LAWLISTTMP2">
    <vt:lpwstr>98569/054a.b</vt:lpwstr>
  </property>
  <property fmtid="{D5CDD505-2E9C-101B-9397-08002B2CF9AE}" pid="16" name="LAWYER">
    <vt:lpwstr>מירי קולומבוס;גיא זהבי;נגה וויזל;עדי כרמלי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דיון פלילי</vt:lpwstr>
  </property>
  <property fmtid="{D5CDD505-2E9C-101B-9397-08002B2CF9AE}" pid="30" name="NOSE13">
    <vt:lpwstr>דיון פלילי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>ראיות</vt:lpwstr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18;18;18;77;77;89</vt:lpwstr>
  </property>
  <property fmtid="{D5CDD505-2E9C-101B-9397-08002B2CF9AE}" pid="38" name="NOSE21">
    <vt:lpwstr>הרשעה</vt:lpwstr>
  </property>
  <property fmtid="{D5CDD505-2E9C-101B-9397-08002B2CF9AE}" pid="39" name="NOSE210">
    <vt:lpwstr/>
  </property>
  <property fmtid="{D5CDD505-2E9C-101B-9397-08002B2CF9AE}" pid="40" name="NOSE22">
    <vt:lpwstr>ערעור</vt:lpwstr>
  </property>
  <property fmtid="{D5CDD505-2E9C-101B-9397-08002B2CF9AE}" pid="41" name="NOSE23">
    <vt:lpwstr>ערעור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>מהימנות</vt:lpwstr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465;504;504;1446;1446;1635</vt:lpwstr>
  </property>
  <property fmtid="{D5CDD505-2E9C-101B-9397-08002B2CF9AE}" pid="49" name="NOSE31">
    <vt:lpwstr>ערעור</vt:lpwstr>
  </property>
  <property fmtid="{D5CDD505-2E9C-101B-9397-08002B2CF9AE}" pid="50" name="NOSE310">
    <vt:lpwstr/>
  </property>
  <property fmtid="{D5CDD505-2E9C-101B-9397-08002B2CF9AE}" pid="51" name="NOSE32">
    <vt:lpwstr>אי-התערבות בממצאים עובדתיים</vt:lpwstr>
  </property>
  <property fmtid="{D5CDD505-2E9C-101B-9397-08002B2CF9AE}" pid="52" name="NOSE33">
    <vt:lpwstr>אי-התערבות במידת העונש</vt:lpwstr>
  </property>
  <property fmtid="{D5CDD505-2E9C-101B-9397-08002B2CF9AE}" pid="53" name="NOSE34">
    <vt:lpwstr>מדיניות ענישה: עבירות מין בקטינים</vt:lpwstr>
  </property>
  <property fmtid="{D5CDD505-2E9C-101B-9397-08002B2CF9AE}" pid="54" name="NOSE35">
    <vt:lpwstr>מדיניות ענישה: עבירות מין במשפחה</vt:lpwstr>
  </property>
  <property fmtid="{D5CDD505-2E9C-101B-9397-08002B2CF9AE}" pid="55" name="NOSE36">
    <vt:lpwstr>בחינתה על-ידי ערכאת הערעור</vt:lpwstr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3638;3849;17039;16970;16241;10196</vt:lpwstr>
  </property>
  <property fmtid="{D5CDD505-2E9C-101B-9397-08002B2CF9AE}" pid="60" name="PADIDATE">
    <vt:lpwstr>20220208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4707</vt:lpwstr>
  </property>
  <property fmtid="{D5CDD505-2E9C-101B-9397-08002B2CF9AE}" pid="66" name="PROCYEAR">
    <vt:lpwstr>20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410120220207</vt:lpwstr>
  </property>
  <property fmtid="{D5CDD505-2E9C-101B-9397-08002B2CF9AE}" pid="70" name="TYPE_N_DATE">
    <vt:lpwstr>41020220207</vt:lpwstr>
  </property>
  <property fmtid="{D5CDD505-2E9C-101B-9397-08002B2CF9AE}" pid="71" name="VOLUME">
    <vt:lpwstr/>
  </property>
  <property fmtid="{D5CDD505-2E9C-101B-9397-08002B2CF9AE}" pid="72" name="WORDNUMPAGES">
    <vt:lpwstr>15</vt:lpwstr>
  </property>
</Properties>
</file>