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4731/19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 w:val="24"/>
                <w:szCs w:val="24"/>
                <w:rtl w:val="true"/>
              </w:rPr>
              <w:t>בתפ</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Pr>
              <w:t>56651-07-17</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30.5.2019</w:t>
            </w:r>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סג</w:t>
            </w:r>
            <w:r>
              <w:rPr>
                <w:sz w:val="24"/>
                <w:szCs w:val="24"/>
                <w:rtl w:val="true"/>
              </w:rPr>
              <w:t>"</w:t>
            </w:r>
            <w:r>
              <w:rPr>
                <w:sz w:val="24"/>
                <w:sz w:val="24"/>
                <w:szCs w:val="24"/>
                <w:rtl w:val="true"/>
              </w:rPr>
              <w:t>נ</w:t>
            </w:r>
            <w:r>
              <w:rPr>
                <w:rFonts w:cs="Times New Roman"/>
                <w:sz w:val="24"/>
                <w:sz w:val="24"/>
                <w:szCs w:val="24"/>
                <w:rtl w:val="true"/>
              </w:rPr>
              <w:t xml:space="preserve"> </w:t>
            </w:r>
            <w:r>
              <w:rPr>
                <w:sz w:val="24"/>
                <w:sz w:val="24"/>
                <w:szCs w:val="24"/>
                <w:rtl w:val="true"/>
              </w:rPr>
              <w:t>מ</w:t>
            </w:r>
            <w:r>
              <w:rPr>
                <w:sz w:val="24"/>
                <w:szCs w:val="24"/>
                <w:rtl w:val="true"/>
              </w:rPr>
              <w:t xml:space="preserve">' </w:t>
            </w:r>
            <w:r>
              <w:rPr>
                <w:sz w:val="24"/>
                <w:sz w:val="24"/>
                <w:szCs w:val="24"/>
                <w:rtl w:val="true"/>
              </w:rPr>
              <w:t>פינקלשטיין</w:t>
            </w:r>
            <w:r>
              <w:rPr>
                <w:sz w:val="24"/>
                <w:szCs w:val="24"/>
                <w:rtl w:val="true"/>
              </w:rPr>
              <w:t xml:space="preserve">, </w:t>
            </w:r>
            <w:r>
              <w:rPr>
                <w:sz w:val="24"/>
                <w:sz w:val="24"/>
                <w:szCs w:val="24"/>
                <w:rtl w:val="true"/>
              </w:rPr>
              <w:t>סג</w:t>
            </w:r>
            <w:r>
              <w:rPr>
                <w:sz w:val="24"/>
                <w:szCs w:val="24"/>
                <w:rtl w:val="true"/>
              </w:rPr>
              <w:t>"</w:t>
            </w:r>
            <w:r>
              <w:rPr>
                <w:sz w:val="24"/>
                <w:sz w:val="24"/>
                <w:szCs w:val="24"/>
                <w:rtl w:val="true"/>
              </w:rPr>
              <w:t>נ</w:t>
            </w:r>
            <w:r>
              <w:rPr>
                <w:rFonts w:cs="Times New Roman"/>
                <w:sz w:val="24"/>
                <w:sz w:val="24"/>
                <w:szCs w:val="24"/>
                <w:rtl w:val="true"/>
              </w:rPr>
              <w:t xml:space="preserve"> </w:t>
            </w:r>
            <w:r>
              <w:rPr>
                <w:sz w:val="24"/>
                <w:sz w:val="24"/>
                <w:szCs w:val="24"/>
                <w:rtl w:val="true"/>
              </w:rPr>
              <w:t>ל</w:t>
            </w:r>
            <w:r>
              <w:rPr>
                <w:sz w:val="24"/>
                <w:szCs w:val="24"/>
                <w:rtl w:val="true"/>
              </w:rPr>
              <w:t xml:space="preserve">' </w:t>
            </w:r>
            <w:r>
              <w:rPr>
                <w:sz w:val="24"/>
                <w:sz w:val="24"/>
                <w:szCs w:val="24"/>
                <w:rtl w:val="true"/>
              </w:rPr>
              <w:t>ברודי</w:t>
            </w:r>
            <w:r>
              <w:rPr>
                <w:rFonts w:cs="Times New Roman"/>
                <w:sz w:val="24"/>
                <w:sz w:val="24"/>
                <w:szCs w:val="24"/>
                <w:rtl w:val="true"/>
              </w:rPr>
              <w:t xml:space="preserve"> </w:t>
            </w:r>
            <w:r>
              <w:rPr>
                <w:sz w:val="24"/>
                <w:sz w:val="24"/>
                <w:szCs w:val="24"/>
                <w:rtl w:val="true"/>
              </w:rPr>
              <w:t>והשופט</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אמיר</w:t>
            </w:r>
          </w:p>
        </w:tc>
      </w:tr>
    </w:tbl>
    <w:p>
      <w:pPr>
        <w:pStyle w:val="Ruller31"/>
        <w:ind w:end="0"/>
        <w:jc w:val="start"/>
        <w:rPr>
          <w:sz w:val="24"/>
          <w:szCs w:val="24"/>
        </w:rPr>
      </w:pPr>
      <w:r>
        <w:rPr>
          <w:sz w:val="24"/>
          <w:szCs w:val="24"/>
          <w:rtl w:val="true"/>
        </w:rPr>
      </w:r>
    </w:p>
    <w:tbl>
      <w:tblPr>
        <w:bidiVisual w:val="true"/>
        <w:tblW w:w="8363" w:type="dxa"/>
        <w:jc w:val="start"/>
        <w:tblInd w:w="-34" w:type="dxa"/>
        <w:tblLayout w:type="fixed"/>
        <w:tblCellMar>
          <w:top w:w="0" w:type="dxa"/>
          <w:start w:w="108" w:type="dxa"/>
          <w:bottom w:w="0" w:type="dxa"/>
          <w:end w:w="108" w:type="dxa"/>
        </w:tblCellMar>
      </w:tblPr>
      <w:tblGrid>
        <w:gridCol w:w="3261"/>
        <w:gridCol w:w="4393"/>
        <w:gridCol w:w="709"/>
      </w:tblGrid>
      <w:tr>
        <w:trPr/>
        <w:tc>
          <w:tcPr>
            <w:tcW w:w="3261" w:type="dxa"/>
            <w:tcBorders/>
          </w:tcPr>
          <w:p>
            <w:pPr>
              <w:pStyle w:val="BodyRuller1"/>
              <w:ind w:end="0"/>
              <w:jc w:val="start"/>
              <w:rPr>
                <w:rFonts w:ascii="Century" w:hAnsi="Century" w:cs="Century"/>
                <w:sz w:val="24"/>
                <w:szCs w:val="24"/>
              </w:rPr>
            </w:pPr>
            <w:r>
              <w:rPr>
                <w:rFonts w:ascii="Century" w:hAnsi="Century" w:cs="Century"/>
                <w:sz w:val="24"/>
                <w:sz w:val="24"/>
                <w:szCs w:val="24"/>
                <w:rtl w:val="true"/>
              </w:rPr>
              <w:t>תאריך הישיבה</w:t>
            </w:r>
            <w:r>
              <w:rPr>
                <w:rFonts w:cs="Century" w:ascii="Century" w:hAnsi="Century"/>
                <w:sz w:val="24"/>
                <w:szCs w:val="24"/>
                <w:rtl w:val="true"/>
              </w:rPr>
              <w:t>:</w:t>
            </w:r>
          </w:p>
        </w:tc>
        <w:tc>
          <w:tcPr>
            <w:tcW w:w="4393" w:type="dxa"/>
            <w:tcBorders/>
          </w:tcPr>
          <w:p>
            <w:pPr>
              <w:pStyle w:val="BodyRuller1"/>
              <w:ind w:end="0"/>
              <w:jc w:val="start"/>
              <w:rPr>
                <w:rFonts w:ascii="Century" w:hAnsi="Century" w:cs="Century"/>
                <w:sz w:val="24"/>
                <w:szCs w:val="24"/>
              </w:rPr>
            </w:pPr>
            <w:r>
              <w:rPr>
                <w:rFonts w:ascii="Century" w:hAnsi="Century" w:cs="Century"/>
                <w:sz w:val="24"/>
                <w:sz w:val="24"/>
                <w:szCs w:val="24"/>
                <w:rtl w:val="true"/>
              </w:rPr>
              <w:t>י</w:t>
            </w:r>
            <w:r>
              <w:rPr>
                <w:rFonts w:cs="Century" w:ascii="Century" w:hAnsi="Century"/>
                <w:sz w:val="24"/>
                <w:szCs w:val="24"/>
                <w:rtl w:val="true"/>
              </w:rPr>
              <w:t xml:space="preserve">' </w:t>
            </w:r>
            <w:r>
              <w:rPr>
                <w:rFonts w:ascii="Century" w:hAnsi="Century" w:cs="Century"/>
                <w:sz w:val="24"/>
                <w:sz w:val="24"/>
                <w:szCs w:val="24"/>
                <w:rtl w:val="true"/>
              </w:rPr>
              <w:t>באלול התשע</w:t>
            </w:r>
            <w:r>
              <w:rPr>
                <w:rFonts w:cs="Century" w:ascii="Century" w:hAnsi="Century"/>
                <w:sz w:val="24"/>
                <w:szCs w:val="24"/>
                <w:rtl w:val="true"/>
              </w:rPr>
              <w:t>"</w:t>
            </w:r>
            <w:r>
              <w:rPr>
                <w:rFonts w:ascii="Century" w:hAnsi="Century" w:cs="Century"/>
                <w:sz w:val="24"/>
                <w:sz w:val="24"/>
                <w:szCs w:val="24"/>
                <w:rtl w:val="true"/>
              </w:rPr>
              <w:t xml:space="preserve">ט </w:t>
            </w:r>
            <w:r>
              <w:rPr>
                <w:rFonts w:cs="Century" w:ascii="Century" w:hAnsi="Century"/>
                <w:sz w:val="24"/>
                <w:szCs w:val="24"/>
              </w:rPr>
              <w:t>10.9.2019</w:t>
            </w:r>
          </w:p>
        </w:tc>
        <w:tc>
          <w:tcPr>
            <w:tcW w:w="709" w:type="dxa"/>
            <w:tcBorders/>
          </w:tcPr>
          <w:p>
            <w:pPr>
              <w:pStyle w:val="BodyRuller1"/>
              <w:snapToGrid w:val="false"/>
              <w:ind w:end="0"/>
              <w:jc w:val="start"/>
              <w:rPr>
                <w:rFonts w:ascii="Century" w:hAnsi="Century" w:cs="Century"/>
                <w:sz w:val="24"/>
                <w:szCs w:val="24"/>
              </w:rPr>
            </w:pPr>
            <w:r>
              <w:rPr>
                <w:rFonts w:cs="Century" w:ascii="Century" w:hAnsi="Century"/>
                <w:sz w:val="24"/>
                <w:szCs w:val="24"/>
                <w:rtl w:val="true"/>
              </w:rPr>
            </w:r>
          </w:p>
        </w:tc>
      </w:tr>
    </w:tbl>
    <w:p>
      <w:pPr>
        <w:pStyle w:val="Ruller31"/>
        <w:ind w:end="0"/>
        <w:jc w:val="start"/>
        <w:rPr>
          <w:rFonts w:cs="David"/>
        </w:rPr>
      </w:pPr>
      <w:r>
        <w:rPr>
          <w:rFonts w:cs="David"/>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pacing w:lineRule="auto" w:line="360"/>
              <w:ind w:end="0"/>
              <w:jc w:val="start"/>
              <w:rPr>
                <w:rFonts w:ascii="Century" w:hAnsi="Century" w:cs="Century"/>
                <w:sz w:val="18"/>
                <w:szCs w:val="26"/>
              </w:rPr>
            </w:pPr>
            <w:bookmarkStart w:id="4" w:name="FirstLawyer"/>
            <w:bookmarkEnd w:id="4"/>
            <w:r>
              <w:rPr>
                <w:rFonts w:ascii="Century" w:hAnsi="Century" w:cs="Century"/>
                <w:sz w:val="18"/>
                <w:sz w:val="18"/>
                <w:szCs w:val="26"/>
                <w:rtl w:val="true"/>
              </w:rPr>
              <w:t xml:space="preserve">בשם </w:t>
            </w:r>
            <w:r>
              <w:rPr>
                <w:rFonts w:ascii="Century" w:hAnsi="Century" w:cs="Century"/>
                <w:sz w:val="18"/>
                <w:sz w:val="18"/>
                <w:szCs w:val="26"/>
                <w:rtl w:val="true"/>
              </w:rPr>
              <w:t>ה</w:t>
            </w:r>
            <w:r>
              <w:rPr>
                <w:rFonts w:ascii="Century" w:hAnsi="Century" w:cs="Century"/>
                <w:sz w:val="18"/>
                <w:sz w:val="18"/>
                <w:szCs w:val="26"/>
                <w:rtl w:val="true"/>
              </w:rPr>
              <w:t>מערער</w:t>
            </w:r>
            <w:r>
              <w:rPr>
                <w:rFonts w:cs="Century" w:ascii="Century" w:hAnsi="Century"/>
                <w:sz w:val="18"/>
                <w:szCs w:val="26"/>
                <w:rtl w:val="true"/>
              </w:rPr>
              <w:t>:</w:t>
            </w:r>
          </w:p>
          <w:p>
            <w:pPr>
              <w:pStyle w:val="BodyRuller1"/>
              <w:spacing w:lineRule="auto" w:line="360"/>
              <w:ind w:end="0"/>
              <w:jc w:val="start"/>
              <w:rPr>
                <w:rFonts w:ascii="Century" w:hAnsi="Century" w:cs="Century"/>
                <w:sz w:val="18"/>
                <w:szCs w:val="26"/>
              </w:rPr>
            </w:pPr>
            <w:r>
              <w:rPr>
                <w:rFonts w:ascii="Century" w:hAnsi="Century" w:cs="Century"/>
                <w:sz w:val="18"/>
                <w:sz w:val="18"/>
                <w:szCs w:val="26"/>
                <w:rtl w:val="true"/>
              </w:rPr>
              <w:t>בשם המשיבה</w:t>
            </w:r>
            <w:r>
              <w:rPr>
                <w:rFonts w:cs="Century" w:ascii="Century" w:hAnsi="Century"/>
                <w:sz w:val="18"/>
                <w:szCs w:val="26"/>
                <w:rtl w:val="true"/>
              </w:rPr>
              <w:t>:</w:t>
            </w:r>
          </w:p>
          <w:p>
            <w:pPr>
              <w:pStyle w:val="BodyRuller1"/>
              <w:spacing w:lineRule="auto" w:line="360"/>
              <w:ind w:end="0"/>
              <w:jc w:val="start"/>
              <w:rPr>
                <w:rFonts w:ascii="Century" w:hAnsi="Century" w:cs="Century"/>
                <w:sz w:val="18"/>
                <w:szCs w:val="26"/>
              </w:rPr>
            </w:pPr>
            <w:r>
              <w:rPr>
                <w:rFonts w:ascii="Century" w:hAnsi="Century" w:cs="Century"/>
                <w:sz w:val="18"/>
                <w:sz w:val="18"/>
                <w:szCs w:val="26"/>
                <w:rtl w:val="true"/>
              </w:rPr>
              <w:t>בשם שירות המבחן</w:t>
            </w:r>
            <w:r>
              <w:rPr>
                <w:rFonts w:cs="Century" w:ascii="Century" w:hAnsi="Century"/>
                <w:sz w:val="18"/>
                <w:szCs w:val="26"/>
                <w:rtl w:val="true"/>
              </w:rPr>
              <w:t>:</w:t>
            </w:r>
          </w:p>
        </w:tc>
        <w:tc>
          <w:tcPr>
            <w:tcW w:w="5238" w:type="dxa"/>
            <w:tcBorders/>
          </w:tcPr>
          <w:p>
            <w:pPr>
              <w:pStyle w:val="BodyRuller1"/>
              <w:spacing w:lineRule="auto" w:line="360"/>
              <w:ind w:end="0"/>
              <w:jc w:val="start"/>
              <w:rPr>
                <w:rFonts w:ascii="Century" w:hAnsi="Century" w:cs="Century"/>
                <w:sz w:val="18"/>
                <w:szCs w:val="26"/>
              </w:rPr>
            </w:pPr>
            <w:r>
              <w:rPr>
                <w:rFonts w:ascii="Century" w:hAnsi="Century" w:cs="Century"/>
                <w:sz w:val="18"/>
                <w:sz w:val="18"/>
                <w:szCs w:val="26"/>
                <w:rtl w:val="true"/>
              </w:rPr>
              <w:t>עו</w:t>
            </w:r>
            <w:r>
              <w:rPr>
                <w:rFonts w:cs="Century" w:ascii="Century" w:hAnsi="Century"/>
                <w:sz w:val="18"/>
                <w:szCs w:val="26"/>
                <w:rtl w:val="true"/>
              </w:rPr>
              <w:t>"</w:t>
            </w:r>
            <w:r>
              <w:rPr>
                <w:rFonts w:ascii="Century" w:hAnsi="Century" w:cs="Century"/>
                <w:sz w:val="18"/>
                <w:sz w:val="18"/>
                <w:szCs w:val="26"/>
                <w:rtl w:val="true"/>
              </w:rPr>
              <w:t>ד אלון אייזנברג</w:t>
            </w:r>
          </w:p>
          <w:p>
            <w:pPr>
              <w:pStyle w:val="BodyRuller1"/>
              <w:spacing w:lineRule="auto" w:line="360"/>
              <w:ind w:end="0"/>
              <w:jc w:val="start"/>
              <w:rPr>
                <w:rFonts w:ascii="Century" w:hAnsi="Century" w:cs="Century"/>
                <w:sz w:val="18"/>
                <w:szCs w:val="26"/>
              </w:rPr>
            </w:pPr>
            <w:r>
              <w:rPr>
                <w:rFonts w:ascii="Century" w:hAnsi="Century" w:cs="Century"/>
                <w:sz w:val="18"/>
                <w:sz w:val="18"/>
                <w:szCs w:val="26"/>
                <w:rtl w:val="true"/>
              </w:rPr>
              <w:t>עו</w:t>
            </w:r>
            <w:r>
              <w:rPr>
                <w:rFonts w:cs="Century" w:ascii="Century" w:hAnsi="Century"/>
                <w:sz w:val="18"/>
                <w:szCs w:val="26"/>
                <w:rtl w:val="true"/>
              </w:rPr>
              <w:t>"</w:t>
            </w:r>
            <w:r>
              <w:rPr>
                <w:rFonts w:ascii="Century" w:hAnsi="Century" w:cs="Century"/>
                <w:sz w:val="18"/>
                <w:sz w:val="18"/>
                <w:szCs w:val="26"/>
                <w:rtl w:val="true"/>
              </w:rPr>
              <w:t>ד טל אדיר כהן</w:t>
            </w:r>
          </w:p>
          <w:p>
            <w:pPr>
              <w:pStyle w:val="BodyRuller1"/>
              <w:spacing w:lineRule="auto" w:line="360"/>
              <w:ind w:end="0"/>
              <w:jc w:val="start"/>
              <w:rPr>
                <w:rFonts w:ascii="Century" w:hAnsi="Century" w:cs="Century"/>
                <w:sz w:val="18"/>
                <w:szCs w:val="26"/>
              </w:rPr>
            </w:pPr>
            <w:r>
              <w:rPr>
                <w:rFonts w:ascii="Century" w:hAnsi="Century" w:cs="Century"/>
                <w:sz w:val="18"/>
                <w:sz w:val="18"/>
                <w:szCs w:val="26"/>
                <w:rtl w:val="true"/>
              </w:rPr>
              <w:t>הגב</w:t>
            </w:r>
            <w:r>
              <w:rPr>
                <w:rFonts w:cs="Century" w:ascii="Century" w:hAnsi="Century"/>
                <w:sz w:val="18"/>
                <w:szCs w:val="26"/>
                <w:rtl w:val="true"/>
              </w:rPr>
              <w:t xml:space="preserve">' </w:t>
            </w:r>
            <w:r>
              <w:rPr>
                <w:rFonts w:ascii="Century" w:hAnsi="Century" w:cs="Century"/>
                <w:sz w:val="18"/>
                <w:sz w:val="18"/>
                <w:szCs w:val="26"/>
                <w:rtl w:val="true"/>
              </w:rPr>
              <w:t>ברכה וייס</w:t>
            </w:r>
          </w:p>
        </w:tc>
      </w:tr>
    </w:tbl>
    <w:p>
      <w:pPr>
        <w:pStyle w:val="Ruller31"/>
        <w:ind w:end="0"/>
        <w:jc w:val="start"/>
        <w:rPr>
          <w:sz w:val="24"/>
          <w:szCs w:val="24"/>
        </w:rPr>
      </w:pPr>
      <w:r>
        <w:rPr>
          <w:rFonts w:cs="Times New Roman"/>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bookmarkStart w:id="5" w:name="LawTable"/>
      <w:bookmarkEnd w:id="5"/>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hyperlink r:id="rId2">
        <w:r>
          <w:rPr>
            <w:rStyle w:val="Hyperlink"/>
            <w:rFonts w:ascii="FrankRuehl" w:hAnsi="FrankRuehl"/>
            <w:color w:val="0000FF"/>
            <w:spacing w:val="0"/>
            <w:sz w:val="24"/>
            <w:sz w:val="24"/>
            <w:szCs w:val="24"/>
            <w:u w:val="single"/>
            <w:rtl w:val="true"/>
          </w:rPr>
          <w:t>חוק העונשין</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תשל</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ז</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1977</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3">
        <w:r>
          <w:rPr>
            <w:rStyle w:val="Hyperlink"/>
            <w:rFonts w:cs="FrankRuehl" w:ascii="FrankRuehl" w:hAnsi="FrankRuehl"/>
            <w:color w:val="0000FF"/>
            <w:spacing w:val="0"/>
            <w:sz w:val="24"/>
            <w:szCs w:val="24"/>
            <w:u w:val="single"/>
          </w:rPr>
          <w:t>25</w:t>
        </w:r>
      </w:hyperlink>
      <w:r>
        <w:rPr>
          <w:rFonts w:cs="FrankRuehl" w:ascii="FrankRuehl" w:hAnsi="FrankRuehl"/>
          <w:spacing w:val="0"/>
          <w:sz w:val="24"/>
          <w:szCs w:val="24"/>
          <w:rtl w:val="true"/>
        </w:rPr>
        <w:t xml:space="preserve">, </w:t>
      </w:r>
      <w:hyperlink r:id="rId4">
        <w:r>
          <w:rPr>
            <w:rStyle w:val="Hyperlink"/>
            <w:rFonts w:cs="FrankRuehl" w:ascii="FrankRuehl" w:hAnsi="FrankRuehl"/>
            <w:color w:val="0000FF"/>
            <w:spacing w:val="0"/>
            <w:sz w:val="24"/>
            <w:szCs w:val="24"/>
            <w:u w:val="single"/>
          </w:rPr>
          <w:t>214</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Pr>
          <w:t>3</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5">
        <w:r>
          <w:rPr>
            <w:rStyle w:val="Hyperlink"/>
            <w:rFonts w:cs="FrankRuehl" w:ascii="FrankRuehl" w:hAnsi="FrankRuehl"/>
            <w:color w:val="0000FF"/>
            <w:spacing w:val="0"/>
            <w:sz w:val="24"/>
            <w:szCs w:val="24"/>
            <w:u w:val="single"/>
          </w:rPr>
          <w:t>345</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3</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6">
        <w:r>
          <w:rPr>
            <w:rStyle w:val="Hyperlink"/>
            <w:rFonts w:cs="FrankRuehl" w:ascii="FrankRuehl" w:hAnsi="FrankRuehl"/>
            <w:color w:val="0000FF"/>
            <w:spacing w:val="0"/>
            <w:sz w:val="24"/>
            <w:szCs w:val="24"/>
            <w:u w:val="single"/>
          </w:rPr>
          <w:t>348</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hyperlink>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6" w:name="ABSTRACT_START"/>
      <w:bookmarkStart w:id="7" w:name="LawTable_End"/>
      <w:bookmarkEnd w:id="6"/>
      <w:bookmarkEnd w:id="7"/>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דחה ערעור שנסב על עונש בן </w:t>
      </w:r>
      <w:r>
        <w:rPr>
          <w:rFonts w:cs="Times New Roman" w:ascii="Times New Roman" w:hAnsi="Times New Roman"/>
          <w:spacing w:val="0"/>
          <w:szCs w:val="26"/>
        </w:rPr>
        <w:t>24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שהושת על המערער בגין ביצוע עבירות מין בקטין ועבירות נוספות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כי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בעת גזירת עונשו של נאשם בביצוע עבירות מין בקטינים יש לבכר שיקולי גמול והרתעה על פני נסיבותיו האישיות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שיקלל נכונה בין מכלול השיקולים והטיל עונש הולם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ראוי ומאוזן ואין זה מקרה חריג המצדיק התערבות בענישה</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מין בקטינים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המערער הורשע בבימ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בתיק העיקרי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בריבוי עבירות של מעשה מגונה בקטין שטרם מלאו לו </w:t>
      </w:r>
      <w:r>
        <w:rPr>
          <w:rFonts w:cs="Times New Roman" w:ascii="Times New Roman" w:hAnsi="Times New Roman"/>
          <w:spacing w:val="0"/>
          <w:sz w:val="24"/>
          <w:szCs w:val="26"/>
        </w:rPr>
        <w:t>14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שנים ובתיק נוסף שצורף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הורשע המערער בעבירה של החזקת פרסום תועבה ובו דמותו של קטין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וכן בעבירה של ניסיון לצריכת חומרי תועבה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על המערער הוטל עונש של </w:t>
      </w:r>
      <w:r>
        <w:rPr>
          <w:rFonts w:cs="Times New Roman" w:ascii="Times New Roman" w:hAnsi="Times New Roman"/>
          <w:spacing w:val="0"/>
          <w:sz w:val="24"/>
          <w:szCs w:val="26"/>
        </w:rPr>
        <w:t>24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מאסרים מותנים ופיצוי למתלונן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הערעור מופנה נגד רכיב עונש המאסר</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קרא ובהסכמת השופטים הנדל וגרוסקופף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כלל הוא כי ערכאת הערעור אינה נוטה להתערב בגזר דינה של הערכאה הדיונית אלא במקרים חריגים שבהם נפלה טעות מהותית בגזר הדין או מקום שהעונש שנגזר על ידה חורג באופן קיצוני ממדיניות הענישה הנוהגת או הראויה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מעבר לכך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נודעת חומרה יתרה בביצוע עבירות מין בקטינים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מבוצעות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דרך 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ניצול תמימותם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נקבע כי השיקולים המרכזיים בענישת עברייני מין שביצעו עבירות מין בקטינים הם שיקולי גמול והרתעה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הן כלפי העבריין והן כלפי עבריינים פוטנציאליים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על העונש לשקף את חומרת המעשים וסלידת החברה ממעשים מיניים מעוותים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המקרה דנן אינו נמנה על אותם מקרים חריגים המצדיקים התערבות בענישה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התחשב בכלל השיקולים הרלוונטיים ושיקלל אותם בצורה נכונה במסגרת העונש</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חרף העובדה שהעונש שנגזר על המערער איננו מן הקלים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מדובר בחריגה המחייבת את התערבות ערכאת הערעור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גזר את עונשו של המערער במרכז מתחם הענישה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עליו הוסכם בין הצדדים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ובהינתן עברו הפלילי הרלוונטי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שהורשע במספר עבירות מאותו סוג שבגינן אף נדון לאחרונה ל</w:t>
      </w:r>
      <w:r>
        <w:rPr>
          <w:rFonts w:cs="Times New Roman" w:ascii="Times New Roman" w:hAnsi="Times New Roman"/>
          <w:spacing w:val="0"/>
          <w:szCs w:val="26"/>
          <w:rtl w:val="true"/>
        </w:rPr>
        <w:t>-</w:t>
      </w:r>
      <w:r>
        <w:rPr>
          <w:rFonts w:cs="Times New Roman" w:ascii="Times New Roman" w:hAnsi="Times New Roman"/>
          <w:spacing w:val="0"/>
          <w:szCs w:val="26"/>
        </w:rPr>
        <w:t>30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העונש שהוטל הולם ואינו סוטה לחומרה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נהפוך הוא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די בטענות בדבר סיכויי שיקומו ובהליך הטיפולי אותו החל המערער כדי להצדיק הקלה נוספת בעונשו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מצוי עדיין בעיצומו של התהליך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והדרך לפניו עוד ארוכה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חרף העובדה שהמערער נוטל תרופות להפחתת הדחף המיני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הטיפול אינו מפחית מרמת מסוכנותו המינית הגבוהה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מכל מקום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 השיקום אינם בלעדיים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ויש לאזנם אל מול יתר שיקולי הענישה הרלוונטיים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לרבות גמול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הרתעה והנזק שנגרם לנפגע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התחשבות בשיקולים אלו מחזקת את העמדה כי אין מקום להקל בעונשו מעבר להקלה לה זכה בבימ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לתת את הדעת לחומרת מעשי המערער ולנסיבות ביצוען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מעשיו החמורים של המערער הסבו למתלונן נזקים קשים מנשוא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והדרך השיקומית שלפניו עוד ארוכה ומורכבת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לא התעלם מהשיקולים לקולא עליהם הצביע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לרבות הודייתו שייתרה את עדות המתלונן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גילו המבוגר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נסיבותיו האישיות המורכבות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ובהן בעיותיו הרפואיות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בסכום הפיצוי למתלונן שהפקיד המערער מראש בקופת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ובהליך הטיפולי המשמעותי שעבר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בעת גזירת עונשו של נאשם בביצוע עבירות מין בקטינים יש לבכר שיקולי גמול והרתעה על פני נסיבותיו האישיות של הנאשם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לסיכום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העונש שהוטל על המערער הולם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ראוי ומאזן בין מכלול השיקולים כולם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 כל מקום להתערב בו</w:t>
      </w:r>
      <w:r>
        <w:rPr>
          <w:rFonts w:cs="Times New Roman" w:ascii="Times New Roman" w:hAnsi="Times New Roman"/>
          <w:spacing w:val="0"/>
          <w:szCs w:val="26"/>
          <w:rtl w:val="true"/>
        </w:rPr>
        <w:t xml:space="preserve">. </w:t>
      </w:r>
    </w:p>
    <w:p>
      <w:pPr>
        <w:pStyle w:val="Ruller31"/>
        <w:ind w:end="0"/>
        <w:jc w:val="start"/>
        <w:rPr>
          <w:rFonts w:ascii="Times New Roman" w:hAnsi="Times New Roman" w:cs="Times New Roman"/>
          <w:spacing w:val="0"/>
          <w:szCs w:val="26"/>
        </w:rPr>
      </w:pPr>
      <w:r>
        <w:rPr>
          <w:rFonts w:cs="Times New Roman"/>
          <w:spacing w:val="0"/>
          <w:szCs w:val="26"/>
          <w:rtl w:val="true"/>
        </w:rPr>
      </w:r>
      <w:bookmarkStart w:id="8" w:name="ABSTRACT_END"/>
      <w:bookmarkStart w:id="9" w:name="ABSTRACT_END"/>
      <w:bookmarkEnd w:id="9"/>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0" w:name="PsakDin"/>
            <w:bookmarkEnd w:id="10"/>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1"/>
        <w:ind w:end="0"/>
        <w:jc w:val="center"/>
        <w:rPr>
          <w:rFonts w:cs="Miriam"/>
          <w:sz w:val="24"/>
          <w:szCs w:val="24"/>
          <w:u w:val="single"/>
        </w:rPr>
      </w:pPr>
      <w:r>
        <w:rPr>
          <w:rFonts w:cs="Miriam"/>
          <w:sz w:val="24"/>
          <w:szCs w:val="24"/>
          <w:u w:val="single"/>
          <w:rtl w:val="true"/>
        </w:rPr>
      </w:r>
    </w:p>
    <w:p>
      <w:pPr>
        <w:pStyle w:val="Ruller41"/>
        <w:ind w:end="0"/>
        <w:jc w:val="both"/>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מרכז</w:t>
      </w:r>
      <w:r>
        <w:rPr>
          <w:rFonts w:eastAsia="Arial TUR;Arial" w:cs="Arial TUR;Arial"/>
          <w:rtl w:val="true"/>
        </w:rPr>
        <w:t xml:space="preserve"> </w:t>
      </w:r>
      <w:r>
        <w:rPr>
          <w:rtl w:val="true"/>
        </w:rPr>
        <w:t>לוד</w:t>
      </w:r>
      <w:r>
        <w:rPr>
          <w:rFonts w:eastAsia="Arial TUR;Arial" w:cs="Arial TUR;Arial"/>
          <w:rtl w:val="true"/>
        </w:rPr>
        <w:t xml:space="preserve"> </w:t>
      </w:r>
      <w:r>
        <w:rPr>
          <w:rtl w:val="true"/>
        </w:rPr>
        <w:t>בתפ</w:t>
      </w:r>
      <w:r>
        <w:rPr>
          <w:rtl w:val="true"/>
        </w:rPr>
        <w:t>"</w:t>
      </w:r>
      <w:r>
        <w:rPr>
          <w:rtl w:val="true"/>
        </w:rPr>
        <w:t>ח</w:t>
      </w:r>
      <w:r>
        <w:rPr>
          <w:rFonts w:eastAsia="Arial TUR;Arial" w:cs="Arial TUR;Arial"/>
          <w:rtl w:val="true"/>
        </w:rPr>
        <w:t xml:space="preserve"> </w:t>
      </w:r>
      <w:r>
        <w:rPr/>
        <w:t>56651-07-17</w:t>
      </w:r>
      <w:r>
        <w:rPr>
          <w:rtl w:val="true"/>
        </w:rPr>
        <w:t xml:space="preserve"> </w:t>
      </w:r>
      <w:r>
        <w:rPr>
          <w:rtl w:val="true"/>
        </w:rPr>
        <w:t>שניתן</w:t>
      </w:r>
      <w:r>
        <w:rPr>
          <w:rFonts w:eastAsia="Arial TUR;Arial" w:cs="Arial TUR;Arial"/>
          <w:rtl w:val="true"/>
        </w:rPr>
        <w:t xml:space="preserve"> </w:t>
      </w:r>
      <w:r>
        <w:rPr>
          <w:rtl w:val="true"/>
        </w:rPr>
        <w:t>ביום</w:t>
      </w:r>
      <w:r>
        <w:rPr>
          <w:rFonts w:eastAsia="Arial TUR;Arial" w:cs="Arial TUR;Arial"/>
          <w:rtl w:val="true"/>
        </w:rPr>
        <w:t xml:space="preserve"> </w:t>
      </w:r>
      <w:r>
        <w:rPr/>
        <w:t>30.5.2019</w:t>
      </w:r>
      <w:r>
        <w:rPr>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כב</w:t>
      </w:r>
      <w:r>
        <w:rPr>
          <w:rtl w:val="true"/>
        </w:rPr>
        <w:t xml:space="preserve">' </w:t>
      </w:r>
      <w:r>
        <w:rPr>
          <w:rtl w:val="true"/>
        </w:rPr>
        <w:t>השופטים</w:t>
      </w:r>
      <w:r>
        <w:rPr>
          <w:rFonts w:eastAsia="Arial TUR;Arial" w:cs="Arial TUR;Arial"/>
          <w:rtl w:val="true"/>
        </w:rPr>
        <w:t xml:space="preserve"> </w:t>
      </w:r>
      <w:r>
        <w:rPr>
          <w:rtl w:val="true"/>
        </w:rPr>
        <w:t>סג</w:t>
      </w:r>
      <w:r>
        <w:rPr>
          <w:rtl w:val="true"/>
        </w:rPr>
        <w:t>"</w:t>
      </w:r>
      <w:r>
        <w:rPr>
          <w:rtl w:val="true"/>
        </w:rPr>
        <w:t>נ</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פינקלשטיין</w:t>
      </w:r>
      <w:r>
        <w:rPr>
          <w:rtl w:val="true"/>
        </w:rPr>
        <w:t xml:space="preserve">, </w:t>
      </w:r>
      <w:r>
        <w:rPr>
          <w:rtl w:val="true"/>
        </w:rPr>
        <w:t>סג</w:t>
      </w:r>
      <w:r>
        <w:rPr>
          <w:rtl w:val="true"/>
        </w:rPr>
        <w:t>"</w:t>
      </w:r>
      <w:r>
        <w:rPr>
          <w:rtl w:val="true"/>
        </w:rPr>
        <w:t>נ</w:t>
      </w:r>
      <w:r>
        <w:rPr>
          <w:rFonts w:eastAsia="Arial TUR;Arial" w:cs="Arial TUR;Arial"/>
          <w:rtl w:val="true"/>
        </w:rPr>
        <w:t xml:space="preserve"> </w:t>
      </w:r>
      <w:r>
        <w:rPr>
          <w:rFonts w:ascii="Century" w:hAnsi="Century" w:cs="Miriam"/>
          <w:b/>
          <w:b/>
          <w:spacing w:val="0"/>
          <w:szCs w:val="24"/>
          <w:rtl w:val="true"/>
        </w:rPr>
        <w:t>ל</w:t>
      </w:r>
      <w:r>
        <w:rPr>
          <w:rFonts w:cs="Miriam" w:ascii="Century" w:hAnsi="Century"/>
          <w:b/>
          <w:spacing w:val="0"/>
          <w:szCs w:val="24"/>
          <w:rtl w:val="true"/>
        </w:rPr>
        <w:t xml:space="preserve">' </w:t>
      </w:r>
      <w:r>
        <w:rPr>
          <w:rFonts w:ascii="Century" w:hAnsi="Century" w:cs="Miriam"/>
          <w:b/>
          <w:b/>
          <w:spacing w:val="0"/>
          <w:szCs w:val="24"/>
          <w:rtl w:val="true"/>
        </w:rPr>
        <w:t>ברודי</w:t>
      </w:r>
      <w:r>
        <w:rPr>
          <w:rFonts w:ascii="Century" w:hAnsi="Century" w:cs="Century"/>
          <w:rtl w:val="true"/>
        </w:rPr>
        <w:t xml:space="preserve"> ו</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אמיר</w:t>
      </w:r>
      <w:r>
        <w:rPr>
          <w:rFonts w:cs="Century" w:ascii="Century" w:hAnsi="Century"/>
          <w:rtl w:val="true"/>
        </w:rPr>
        <w:t xml:space="preserve">, </w:t>
      </w:r>
      <w:r>
        <w:rPr>
          <w:rFonts w:ascii="Century" w:hAnsi="Century" w:cs="Century"/>
          <w:rtl w:val="true"/>
        </w:rPr>
        <w:t xml:space="preserve">בגדרו הוטל על המערער עונש של </w:t>
      </w:r>
      <w:r>
        <w:rPr>
          <w:rFonts w:cs="Century" w:ascii="Century" w:hAnsi="Century"/>
        </w:rPr>
        <w:t>24</w:t>
      </w:r>
      <w:r>
        <w:rPr>
          <w:rFonts w:cs="Century" w:ascii="Century" w:hAnsi="Century"/>
          <w:rtl w:val="true"/>
        </w:rPr>
        <w:t xml:space="preserve"> </w:t>
      </w:r>
      <w:r>
        <w:rPr>
          <w:rFonts w:ascii="Century" w:hAnsi="Century" w:cs="Century"/>
          <w:rtl w:val="true"/>
        </w:rPr>
        <w:t>חודשי מאסר בפועל</w:t>
      </w:r>
      <w:r>
        <w:rPr>
          <w:rFonts w:cs="Century" w:ascii="Century" w:hAnsi="Century"/>
          <w:rtl w:val="true"/>
        </w:rPr>
        <w:t xml:space="preserve">, </w:t>
      </w:r>
      <w:r>
        <w:rPr>
          <w:rFonts w:ascii="Century" w:hAnsi="Century" w:cs="Century"/>
          <w:rtl w:val="true"/>
        </w:rPr>
        <w:t>מאסרים מותנים ופיצוי למתלונן</w:t>
      </w:r>
      <w:r>
        <w:rPr>
          <w:rFonts w:cs="Century" w:ascii="Century" w:hAnsi="Century"/>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ascii="Century" w:hAnsi="Century" w:cs="Miriam"/>
          <w:b/>
          <w:b/>
          <w:spacing w:val="0"/>
          <w:szCs w:val="24"/>
          <w:rtl w:val="true"/>
        </w:rPr>
        <w:t>ועיקרי</w:t>
      </w:r>
      <w:r>
        <w:rPr>
          <w:rFonts w:ascii="Century" w:hAnsi="Century" w:eastAsia="Century" w:cs="Century"/>
          <w:b/>
          <w:b/>
          <w:spacing w:val="0"/>
          <w:szCs w:val="24"/>
          <w:rtl w:val="true"/>
        </w:rPr>
        <w:t xml:space="preserve"> </w:t>
      </w:r>
      <w:r>
        <w:rPr>
          <w:rFonts w:ascii="Century" w:hAnsi="Century" w:cs="Miriam"/>
          <w:b/>
          <w:b/>
          <w:spacing w:val="0"/>
          <w:szCs w:val="24"/>
          <w:rtl w:val="true"/>
        </w:rPr>
        <w:t>כתבי</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במסגרת תפ</w:t>
      </w:r>
      <w:r>
        <w:rPr>
          <w:rtl w:val="true"/>
        </w:rPr>
        <w:t>"</w:t>
      </w:r>
      <w:r>
        <w:rPr>
          <w:rtl w:val="true"/>
        </w:rPr>
        <w:t xml:space="preserve">ח </w:t>
      </w:r>
      <w:r>
        <w:rPr/>
        <w:t>56651-07-17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התיק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העיקרי</w:t>
      </w:r>
      <w:r>
        <w:rPr>
          <w:rtl w:val="true"/>
        </w:rPr>
        <w:t xml:space="preserve">), </w:t>
      </w:r>
      <w:r>
        <w:rPr>
          <w:rtl w:val="true"/>
        </w:rPr>
        <w:t>הורשע המערער על פי הודאתו במסגרת הסדר טיעון</w:t>
      </w:r>
      <w:r>
        <w:rPr>
          <w:rtl w:val="true"/>
        </w:rPr>
        <w:t xml:space="preserve">, </w:t>
      </w:r>
      <w:r>
        <w:rPr>
          <w:rtl w:val="true"/>
        </w:rPr>
        <w:t>בכתב אישום מתוקן המחזיק בשני אישומים</w:t>
      </w:r>
      <w:r>
        <w:rPr>
          <w:rtl w:val="true"/>
        </w:rPr>
        <w:t xml:space="preserve">, </w:t>
      </w:r>
      <w:r>
        <w:rPr>
          <w:rtl w:val="true"/>
        </w:rPr>
        <w:t xml:space="preserve">בריבוי עבירות של מעשה מגונה בקטין שטרם מלאו לו </w:t>
      </w:r>
      <w:r>
        <w:rPr/>
        <w:t>14</w:t>
      </w:r>
      <w:r>
        <w:rPr>
          <w:rtl w:val="true"/>
        </w:rPr>
        <w:t xml:space="preserve"> </w:t>
      </w:r>
      <w:r>
        <w:rPr>
          <w:rtl w:val="true"/>
        </w:rPr>
        <w:t>שנים</w:t>
      </w:r>
      <w:r>
        <w:rPr>
          <w:rtl w:val="true"/>
        </w:rPr>
        <w:t xml:space="preserve">, </w:t>
      </w:r>
      <w:r>
        <w:rPr>
          <w:rtl w:val="true"/>
        </w:rPr>
        <w:t xml:space="preserve">לפי </w:t>
      </w:r>
      <w:hyperlink r:id="rId7">
        <w:r>
          <w:rPr>
            <w:rStyle w:val="Hyperlink"/>
            <w:color w:val="0000FF"/>
            <w:u w:val="single"/>
            <w:rtl w:val="true"/>
          </w:rPr>
          <w:t>סעיף</w:t>
        </w:r>
        <w:r>
          <w:rPr>
            <w:rStyle w:val="Hyperlink"/>
            <w:color w:val="0000FF"/>
            <w:u w:val="single"/>
            <w:rtl w:val="true"/>
          </w:rPr>
          <w:t xml:space="preserve"> </w:t>
        </w:r>
        <w:r>
          <w:rPr>
            <w:rStyle w:val="Hyperlink"/>
            <w:color w:val="0000FF"/>
            <w:u w:val="single"/>
          </w:rPr>
          <w:t>348</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בנסיבות </w:t>
      </w:r>
      <w:hyperlink r:id="rId8">
        <w:r>
          <w:rPr>
            <w:rStyle w:val="Hyperlink"/>
            <w:color w:val="0000FF"/>
            <w:u w:val="single"/>
            <w:rtl w:val="true"/>
          </w:rPr>
          <w:t>סעיף</w:t>
        </w:r>
        <w:r>
          <w:rPr>
            <w:rStyle w:val="Hyperlink"/>
            <w:color w:val="0000FF"/>
            <w:u w:val="single"/>
            <w:rtl w:val="true"/>
          </w:rPr>
          <w:t xml:space="preserve"> </w:t>
        </w:r>
        <w:r>
          <w:rPr>
            <w:rStyle w:val="Hyperlink"/>
            <w:color w:val="0000FF"/>
            <w:u w:val="single"/>
          </w:rPr>
          <w:t>345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w:t>
      </w:r>
      <w:hyperlink r:id="rId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tl w:val="true"/>
        </w:rPr>
        <w:t xml:space="preserve"> </w:t>
      </w:r>
      <w:r>
        <w:rPr>
          <w:rFonts w:ascii="Century" w:hAnsi="Century" w:cs="Miriam"/>
          <w:b/>
          <w:b/>
          <w:spacing w:val="0"/>
          <w:sz w:val="22"/>
          <w:sz w:val="22"/>
          <w:szCs w:val="24"/>
          <w:rtl w:val="true"/>
        </w:rPr>
        <w:t>העונשין</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לבקשת הצדדים</w:t>
      </w:r>
      <w:r>
        <w:rPr>
          <w:rtl w:val="true"/>
        </w:rPr>
        <w:t xml:space="preserve">, </w:t>
      </w:r>
      <w:r>
        <w:rPr>
          <w:rtl w:val="true"/>
        </w:rPr>
        <w:t xml:space="preserve">צורף לתיק העיקרי ביום </w:t>
      </w:r>
      <w:r>
        <w:rPr/>
        <w:t>18.4.2019</w:t>
      </w:r>
      <w:r>
        <w:rPr>
          <w:rtl w:val="true"/>
        </w:rPr>
        <w:t xml:space="preserve"> </w:t>
      </w:r>
      <w:r>
        <w:rPr>
          <w:rtl w:val="true"/>
        </w:rPr>
        <w:t>תיק נוסף</w:t>
      </w:r>
      <w:r>
        <w:rPr>
          <w:rtl w:val="true"/>
        </w:rPr>
        <w:t xml:space="preserve">, </w:t>
      </w:r>
      <w:r>
        <w:rPr>
          <w:rtl w:val="true"/>
        </w:rPr>
        <w:t>ת</w:t>
      </w:r>
      <w:r>
        <w:rPr>
          <w:rtl w:val="true"/>
        </w:rPr>
        <w:t>"</w:t>
      </w:r>
      <w:r>
        <w:rPr>
          <w:rtl w:val="true"/>
        </w:rPr>
        <w:t>פ</w:t>
      </w:r>
      <w:r>
        <w:rPr>
          <w:rtl w:val="true"/>
        </w:rPr>
        <w:t xml:space="preserve"> </w:t>
      </w:r>
      <w:r>
        <w:rPr/>
        <w:t>49858-12-18</w:t>
      </w:r>
      <w:r>
        <w:rPr>
          <w:rtl w:val="true"/>
        </w:rPr>
        <w:t xml:space="preserve">, </w:t>
      </w:r>
      <w:r>
        <w:rPr>
          <w:rtl w:val="true"/>
        </w:rPr>
        <w:t>מבית משפט השלום בתל אביב</w:t>
      </w:r>
      <w:r>
        <w:rPr>
          <w:rtl w:val="true"/>
        </w:rPr>
        <w:t>-</w:t>
      </w:r>
      <w:r>
        <w:rPr>
          <w:rtl w:val="true"/>
        </w:rPr>
        <w:t xml:space="preserve">יפו </w:t>
      </w:r>
      <w:r>
        <w:rPr>
          <w:rtl w:val="true"/>
        </w:rPr>
        <w:t>(</w:t>
      </w:r>
      <w:r>
        <w:rPr>
          <w:rtl w:val="true"/>
        </w:rPr>
        <w:t>להלן</w:t>
      </w:r>
      <w:r>
        <w:rPr>
          <w:rtl w:val="true"/>
        </w:rPr>
        <w:t xml:space="preserve">: </w:t>
      </w:r>
      <w:r>
        <w:rPr>
          <w:rFonts w:ascii="Century" w:hAnsi="Century" w:cs="Miriam"/>
          <w:b/>
          <w:b/>
          <w:spacing w:val="0"/>
          <w:sz w:val="22"/>
          <w:sz w:val="22"/>
          <w:szCs w:val="24"/>
          <w:rtl w:val="true"/>
        </w:rPr>
        <w:t>התיק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המצורף</w:t>
      </w:r>
      <w:r>
        <w:rPr>
          <w:rtl w:val="true"/>
        </w:rPr>
        <w:t xml:space="preserve">). </w:t>
      </w:r>
      <w:r>
        <w:rPr>
          <w:rtl w:val="true"/>
        </w:rPr>
        <w:t>בתיק המצורף</w:t>
      </w:r>
      <w:r>
        <w:rPr>
          <w:rtl w:val="true"/>
        </w:rPr>
        <w:t xml:space="preserve">, </w:t>
      </w:r>
      <w:r>
        <w:rPr>
          <w:rtl w:val="true"/>
        </w:rPr>
        <w:t>הורשע המערער על פי הודאתו בכתב אישום בעבירה של החזקת פרסום תועבה ובו דמותו של קטין</w:t>
      </w:r>
      <w:r>
        <w:rPr>
          <w:rtl w:val="true"/>
        </w:rPr>
        <w:t xml:space="preserve">, </w:t>
      </w:r>
      <w:r>
        <w:rPr>
          <w:rtl w:val="true"/>
        </w:rPr>
        <w:t xml:space="preserve">לפי </w:t>
      </w:r>
      <w:hyperlink r:id="rId10">
        <w:r>
          <w:rPr>
            <w:rStyle w:val="Hyperlink"/>
            <w:color w:val="0000FF"/>
            <w:u w:val="single"/>
            <w:rtl w:val="true"/>
          </w:rPr>
          <w:t>סעיף</w:t>
        </w:r>
        <w:r>
          <w:rPr>
            <w:rStyle w:val="Hyperlink"/>
            <w:color w:val="0000FF"/>
            <w:u w:val="single"/>
            <w:rtl w:val="true"/>
          </w:rPr>
          <w:t xml:space="preserve"> </w:t>
        </w:r>
        <w:r>
          <w:rPr>
            <w:rStyle w:val="Hyperlink"/>
            <w:color w:val="0000FF"/>
            <w:u w:val="single"/>
          </w:rPr>
          <w:t>214</w:t>
        </w:r>
        <w:r>
          <w:rPr>
            <w:rStyle w:val="Hyperlink"/>
            <w:color w:val="0000FF"/>
            <w:u w:val="single"/>
            <w:rtl w:val="true"/>
          </w:rPr>
          <w:t>(</w:t>
        </w:r>
        <w:r>
          <w:rPr>
            <w:rStyle w:val="Hyperlink"/>
            <w:color w:val="0000FF"/>
            <w:u w:val="single"/>
            <w:rtl w:val="true"/>
          </w:rPr>
          <w:t>ב</w:t>
        </w:r>
        <w:r>
          <w:rPr>
            <w:rStyle w:val="Hyperlink"/>
            <w:color w:val="0000FF"/>
            <w:u w:val="single"/>
          </w:rPr>
          <w:t>3</w:t>
        </w:r>
        <w:r>
          <w:rPr>
            <w:rStyle w:val="Hyperlink"/>
            <w:color w:val="0000FF"/>
            <w:u w:val="single"/>
            <w:rtl w:val="true"/>
          </w:rPr>
          <w:t>)</w:t>
        </w:r>
      </w:hyperlink>
      <w:r>
        <w:rPr>
          <w:rtl w:val="true"/>
        </w:rPr>
        <w:t xml:space="preserve"> </w:t>
      </w:r>
      <w:r>
        <w:rPr>
          <w:rtl w:val="true"/>
        </w:rPr>
        <w:t>ל</w:t>
      </w:r>
      <w:hyperlink r:id="rId1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וכן בעבירה של ניסיון לצריכת חומרי תועבה</w:t>
      </w:r>
      <w:r>
        <w:rPr>
          <w:rtl w:val="true"/>
        </w:rPr>
        <w:t xml:space="preserve">, </w:t>
      </w:r>
      <w:r>
        <w:rPr>
          <w:rtl w:val="true"/>
        </w:rPr>
        <w:t xml:space="preserve">לפי </w:t>
      </w:r>
      <w:hyperlink r:id="rId12">
        <w:r>
          <w:rPr>
            <w:rStyle w:val="Hyperlink"/>
            <w:color w:val="0000FF"/>
            <w:u w:val="single"/>
            <w:rtl w:val="true"/>
          </w:rPr>
          <w:t>סעיף</w:t>
        </w:r>
        <w:r>
          <w:rPr>
            <w:rStyle w:val="Hyperlink"/>
            <w:color w:val="0000FF"/>
            <w:u w:val="single"/>
            <w:rtl w:val="true"/>
          </w:rPr>
          <w:t xml:space="preserve"> </w:t>
        </w:r>
        <w:r>
          <w:rPr>
            <w:rStyle w:val="Hyperlink"/>
            <w:color w:val="0000FF"/>
            <w:u w:val="single"/>
          </w:rPr>
          <w:t>214</w:t>
        </w:r>
        <w:r>
          <w:rPr>
            <w:rStyle w:val="Hyperlink"/>
            <w:color w:val="0000FF"/>
            <w:u w:val="single"/>
            <w:rtl w:val="true"/>
          </w:rPr>
          <w:t>(</w:t>
        </w:r>
        <w:r>
          <w:rPr>
            <w:rStyle w:val="Hyperlink"/>
            <w:color w:val="0000FF"/>
            <w:u w:val="single"/>
            <w:rtl w:val="true"/>
          </w:rPr>
          <w:t>ב</w:t>
        </w:r>
        <w:r>
          <w:rPr>
            <w:rStyle w:val="Hyperlink"/>
            <w:color w:val="0000FF"/>
            <w:u w:val="single"/>
          </w:rPr>
          <w:t>3</w:t>
        </w:r>
        <w:r>
          <w:rPr>
            <w:rStyle w:val="Hyperlink"/>
            <w:color w:val="0000FF"/>
            <w:u w:val="single"/>
            <w:rtl w:val="true"/>
          </w:rPr>
          <w:t>)</w:t>
        </w:r>
      </w:hyperlink>
      <w:r>
        <w:rPr>
          <w:rtl w:val="true"/>
        </w:rPr>
        <w:t xml:space="preserve"> </w:t>
      </w:r>
      <w:r>
        <w:rPr>
          <w:rtl w:val="true"/>
        </w:rPr>
        <w:t xml:space="preserve">בצירוף </w:t>
      </w:r>
      <w:hyperlink r:id="rId13">
        <w:r>
          <w:rPr>
            <w:rStyle w:val="Hyperlink"/>
            <w:color w:val="0000FF"/>
            <w:u w:val="single"/>
            <w:rtl w:val="true"/>
          </w:rPr>
          <w:t>סעיף</w:t>
        </w:r>
        <w:r>
          <w:rPr>
            <w:rStyle w:val="Hyperlink"/>
            <w:color w:val="0000FF"/>
            <w:u w:val="single"/>
            <w:rtl w:val="true"/>
          </w:rPr>
          <w:t xml:space="preserve"> </w:t>
        </w:r>
        <w:r>
          <w:rPr>
            <w:rStyle w:val="Hyperlink"/>
            <w:color w:val="0000FF"/>
            <w:u w:val="single"/>
          </w:rPr>
          <w:t>25</w:t>
        </w:r>
      </w:hyperlink>
      <w:r>
        <w:rPr>
          <w:rtl w:val="true"/>
        </w:rPr>
        <w:t xml:space="preserve"> </w:t>
      </w:r>
      <w:r>
        <w:rPr>
          <w:rtl w:val="true"/>
        </w:rPr>
        <w:t>לחוק העונשין</w:t>
      </w:r>
      <w:r>
        <w:rPr>
          <w:rtl w:val="true"/>
        </w:rPr>
        <w:t xml:space="preserve">.     </w:t>
      </w:r>
    </w:p>
    <w:p>
      <w:pPr>
        <w:pStyle w:val="Ruller42"/>
        <w:numPr>
          <w:ilvl w:val="0"/>
          <w:numId w:val="0"/>
        </w:numPr>
        <w:ind w:hanging="0" w:start="0" w:end="0"/>
        <w:jc w:val="both"/>
        <w:rPr/>
      </w:pPr>
      <w:r>
        <w:rPr>
          <w:rtl w:val="true"/>
        </w:rPr>
      </w:r>
    </w:p>
    <w:p>
      <w:pPr>
        <w:pStyle w:val="Ruller41"/>
        <w:ind w:end="0"/>
        <w:jc w:val="both"/>
        <w:rPr>
          <w:sz w:val="28"/>
        </w:rPr>
      </w:pPr>
      <w:r>
        <w:rPr>
          <w:sz w:val="28"/>
          <w:rtl w:val="true"/>
        </w:rPr>
        <w:tab/>
      </w:r>
      <w:r>
        <w:rPr>
          <w:sz w:val="28"/>
          <w:sz w:val="28"/>
          <w:rtl w:val="true"/>
        </w:rPr>
        <w:t>במסגרת</w:t>
      </w:r>
      <w:r>
        <w:rPr>
          <w:rFonts w:eastAsia="Arial TUR;Arial" w:cs="Arial TUR;Arial"/>
          <w:sz w:val="28"/>
          <w:sz w:val="28"/>
          <w:rtl w:val="true"/>
        </w:rPr>
        <w:t xml:space="preserve"> </w:t>
      </w:r>
      <w:r>
        <w:rPr>
          <w:sz w:val="28"/>
          <w:sz w:val="28"/>
          <w:rtl w:val="true"/>
        </w:rPr>
        <w:t>הסדר</w:t>
      </w:r>
      <w:r>
        <w:rPr>
          <w:rFonts w:eastAsia="Arial TUR;Arial" w:cs="Arial TUR;Arial"/>
          <w:sz w:val="28"/>
          <w:sz w:val="28"/>
          <w:rtl w:val="true"/>
        </w:rPr>
        <w:t xml:space="preserve"> </w:t>
      </w:r>
      <w:r>
        <w:rPr>
          <w:sz w:val="28"/>
          <w:sz w:val="28"/>
          <w:rtl w:val="true"/>
        </w:rPr>
        <w:t>הטיעון</w:t>
      </w:r>
      <w:r>
        <w:rPr>
          <w:sz w:val="28"/>
          <w:rtl w:val="true"/>
        </w:rPr>
        <w:t xml:space="preserve">, </w:t>
      </w:r>
      <w:r>
        <w:rPr>
          <w:sz w:val="28"/>
          <w:sz w:val="28"/>
          <w:rtl w:val="true"/>
        </w:rPr>
        <w:t>הוסכם</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בגין</w:t>
      </w:r>
      <w:r>
        <w:rPr>
          <w:rFonts w:eastAsia="Arial TUR;Arial" w:cs="Arial TUR;Arial"/>
          <w:sz w:val="28"/>
          <w:sz w:val="28"/>
          <w:rtl w:val="true"/>
        </w:rPr>
        <w:t xml:space="preserve"> </w:t>
      </w:r>
      <w:r>
        <w:rPr>
          <w:sz w:val="28"/>
          <w:sz w:val="28"/>
          <w:rtl w:val="true"/>
        </w:rPr>
        <w:t>התיק</w:t>
      </w:r>
      <w:r>
        <w:rPr>
          <w:rFonts w:eastAsia="Arial TUR;Arial" w:cs="Arial TUR;Arial"/>
          <w:sz w:val="28"/>
          <w:sz w:val="28"/>
          <w:rtl w:val="true"/>
        </w:rPr>
        <w:t xml:space="preserve"> </w:t>
      </w:r>
      <w:r>
        <w:rPr>
          <w:sz w:val="28"/>
          <w:sz w:val="28"/>
          <w:rtl w:val="true"/>
        </w:rPr>
        <w:t>המצורף</w:t>
      </w:r>
      <w:r>
        <w:rPr>
          <w:rFonts w:eastAsia="Arial TUR;Arial" w:cs="Arial TUR;Arial"/>
          <w:sz w:val="28"/>
          <w:sz w:val="28"/>
          <w:rtl w:val="true"/>
        </w:rPr>
        <w:t xml:space="preserve"> </w:t>
      </w:r>
      <w:r>
        <w:rPr>
          <w:sz w:val="28"/>
          <w:sz w:val="28"/>
          <w:rtl w:val="true"/>
        </w:rPr>
        <w:t>ירצה</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rPr>
        <w:t>3</w:t>
      </w:r>
      <w:r>
        <w:rPr>
          <w:sz w:val="28"/>
          <w:rtl w:val="true"/>
        </w:rPr>
        <w:t xml:space="preserve"> </w:t>
      </w:r>
      <w:r>
        <w:rPr>
          <w:sz w:val="28"/>
          <w:sz w:val="28"/>
          <w:rtl w:val="true"/>
        </w:rPr>
        <w:t>חודשי</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במצטבר</w:t>
      </w:r>
      <w:r>
        <w:rPr>
          <w:rFonts w:eastAsia="Arial TUR;Arial" w:cs="Arial TUR;Arial"/>
          <w:sz w:val="28"/>
          <w:sz w:val="28"/>
          <w:rtl w:val="true"/>
        </w:rPr>
        <w:t xml:space="preserve"> </w:t>
      </w:r>
      <w:r>
        <w:rPr>
          <w:sz w:val="28"/>
          <w:sz w:val="28"/>
          <w:rtl w:val="true"/>
        </w:rPr>
        <w:t>לעונש</w:t>
      </w:r>
      <w:r>
        <w:rPr>
          <w:rFonts w:eastAsia="Arial TUR;Arial" w:cs="Arial TUR;Arial"/>
          <w:sz w:val="28"/>
          <w:sz w:val="28"/>
          <w:rtl w:val="true"/>
        </w:rPr>
        <w:t xml:space="preserve"> </w:t>
      </w:r>
      <w:r>
        <w:rPr>
          <w:sz w:val="28"/>
          <w:sz w:val="28"/>
          <w:rtl w:val="true"/>
        </w:rPr>
        <w:t>שבית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יגזור</w:t>
      </w:r>
      <w:r>
        <w:rPr>
          <w:rFonts w:eastAsia="Arial TUR;Arial" w:cs="Arial TUR;Arial"/>
          <w:sz w:val="28"/>
          <w:sz w:val="28"/>
          <w:rtl w:val="true"/>
        </w:rPr>
        <w:t xml:space="preserve"> </w:t>
      </w:r>
      <w:r>
        <w:rPr>
          <w:sz w:val="28"/>
          <w:sz w:val="28"/>
          <w:rtl w:val="true"/>
        </w:rPr>
        <w:t>בתיק</w:t>
      </w:r>
      <w:r>
        <w:rPr>
          <w:rFonts w:eastAsia="Arial TUR;Arial" w:cs="Arial TUR;Arial"/>
          <w:sz w:val="28"/>
          <w:sz w:val="28"/>
          <w:rtl w:val="true"/>
        </w:rPr>
        <w:t xml:space="preserve"> </w:t>
      </w:r>
      <w:r>
        <w:rPr>
          <w:sz w:val="28"/>
          <w:sz w:val="28"/>
          <w:rtl w:val="true"/>
        </w:rPr>
        <w:t>העיקרי</w:t>
      </w:r>
      <w:r>
        <w:rPr>
          <w:sz w:val="28"/>
          <w:rtl w:val="true"/>
        </w:rPr>
        <w:t xml:space="preserve">, </w:t>
      </w:r>
      <w:r>
        <w:rPr>
          <w:sz w:val="28"/>
          <w:sz w:val="28"/>
          <w:rtl w:val="true"/>
        </w:rPr>
        <w:t>כאשר</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יעתור</w:t>
      </w:r>
      <w:r>
        <w:rPr>
          <w:rFonts w:eastAsia="Arial TUR;Arial" w:cs="Arial TUR;Arial"/>
          <w:sz w:val="28"/>
          <w:sz w:val="28"/>
          <w:rtl w:val="true"/>
        </w:rPr>
        <w:t xml:space="preserve"> </w:t>
      </w:r>
      <w:r>
        <w:rPr>
          <w:sz w:val="28"/>
          <w:sz w:val="28"/>
          <w:rtl w:val="true"/>
        </w:rPr>
        <w:t>ל</w:t>
      </w:r>
      <w:r>
        <w:rPr>
          <w:sz w:val="28"/>
          <w:rtl w:val="true"/>
        </w:rPr>
        <w:t>-</w:t>
      </w:r>
      <w:r>
        <w:rPr>
          <w:sz w:val="28"/>
        </w:rPr>
        <w:t>9</w:t>
      </w:r>
      <w:r>
        <w:rPr>
          <w:sz w:val="28"/>
          <w:rtl w:val="true"/>
        </w:rPr>
        <w:t xml:space="preserve"> </w:t>
      </w:r>
      <w:r>
        <w:rPr>
          <w:sz w:val="28"/>
          <w:sz w:val="28"/>
          <w:rtl w:val="true"/>
        </w:rPr>
        <w:t>חודשי</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בסך</w:t>
      </w:r>
      <w:r>
        <w:rPr>
          <w:rFonts w:eastAsia="Arial TUR;Arial" w:cs="Arial TUR;Arial"/>
          <w:sz w:val="28"/>
          <w:sz w:val="28"/>
          <w:rtl w:val="true"/>
        </w:rPr>
        <w:t xml:space="preserve"> </w:t>
      </w:r>
      <w:r>
        <w:rPr>
          <w:sz w:val="28"/>
          <w:sz w:val="28"/>
          <w:rtl w:val="true"/>
        </w:rPr>
        <w:t>הכול</w:t>
      </w:r>
      <w:r>
        <w:rPr>
          <w:sz w:val="28"/>
          <w:rtl w:val="true"/>
        </w:rPr>
        <w:t xml:space="preserve">, </w:t>
      </w:r>
      <w:r>
        <w:rPr>
          <w:sz w:val="28"/>
          <w:sz w:val="28"/>
          <w:rtl w:val="true"/>
        </w:rPr>
        <w:t>שיכול</w:t>
      </w:r>
      <w:r>
        <w:rPr>
          <w:rFonts w:eastAsia="Arial TUR;Arial" w:cs="Arial TUR;Arial"/>
          <w:sz w:val="28"/>
          <w:sz w:val="28"/>
          <w:rtl w:val="true"/>
        </w:rPr>
        <w:t xml:space="preserve"> </w:t>
      </w:r>
      <w:r>
        <w:rPr>
          <w:sz w:val="28"/>
          <w:sz w:val="28"/>
          <w:rtl w:val="true"/>
        </w:rPr>
        <w:t>וירוצו</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דרך</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עבודות</w:t>
      </w:r>
      <w:r>
        <w:rPr>
          <w:rFonts w:eastAsia="Arial TUR;Arial" w:cs="Arial TUR;Arial"/>
          <w:sz w:val="28"/>
          <w:sz w:val="28"/>
          <w:rtl w:val="true"/>
        </w:rPr>
        <w:t xml:space="preserve"> </w:t>
      </w:r>
      <w:r>
        <w:rPr>
          <w:sz w:val="28"/>
          <w:sz w:val="28"/>
          <w:rtl w:val="true"/>
        </w:rPr>
        <w:t>שירות</w:t>
      </w:r>
      <w:r>
        <w:rPr>
          <w:sz w:val="28"/>
          <w:rtl w:val="true"/>
        </w:rPr>
        <w:t xml:space="preserve">, </w:t>
      </w:r>
      <w:r>
        <w:rPr>
          <w:sz w:val="28"/>
          <w:sz w:val="28"/>
          <w:rtl w:val="true"/>
        </w:rPr>
        <w:t>בעוד</w:t>
      </w:r>
      <w:r>
        <w:rPr>
          <w:rFonts w:eastAsia="Arial TUR;Arial" w:cs="Arial TUR;Arial"/>
          <w:sz w:val="28"/>
          <w:sz w:val="28"/>
          <w:rtl w:val="true"/>
        </w:rPr>
        <w:t xml:space="preserve"> </w:t>
      </w:r>
      <w:r>
        <w:rPr>
          <w:sz w:val="28"/>
          <w:sz w:val="28"/>
          <w:rtl w:val="true"/>
        </w:rPr>
        <w:t>המשיבה</w:t>
      </w:r>
      <w:r>
        <w:rPr>
          <w:rFonts w:eastAsia="Arial TUR;Arial" w:cs="Arial TUR;Arial"/>
          <w:sz w:val="28"/>
          <w:sz w:val="28"/>
          <w:rtl w:val="true"/>
        </w:rPr>
        <w:t xml:space="preserve"> </w:t>
      </w:r>
      <w:r>
        <w:rPr>
          <w:sz w:val="28"/>
          <w:sz w:val="28"/>
          <w:rtl w:val="true"/>
        </w:rPr>
        <w:t>תעתור</w:t>
      </w:r>
      <w:r>
        <w:rPr>
          <w:rFonts w:eastAsia="Arial TUR;Arial" w:cs="Arial TUR;Arial"/>
          <w:sz w:val="28"/>
          <w:sz w:val="28"/>
          <w:rtl w:val="true"/>
        </w:rPr>
        <w:t xml:space="preserve"> </w:t>
      </w:r>
      <w:r>
        <w:rPr>
          <w:sz w:val="28"/>
          <w:sz w:val="28"/>
          <w:rtl w:val="true"/>
        </w:rPr>
        <w:t>ל</w:t>
      </w:r>
      <w:r>
        <w:rPr>
          <w:sz w:val="28"/>
          <w:rtl w:val="true"/>
        </w:rPr>
        <w:t>-</w:t>
      </w:r>
      <w:r>
        <w:rPr>
          <w:sz w:val="28"/>
        </w:rPr>
        <w:t>27</w:t>
      </w:r>
      <w:r>
        <w:rPr>
          <w:sz w:val="28"/>
          <w:rtl w:val="true"/>
        </w:rPr>
        <w:t xml:space="preserve"> </w:t>
      </w:r>
      <w:r>
        <w:rPr>
          <w:sz w:val="28"/>
          <w:sz w:val="28"/>
          <w:rtl w:val="true"/>
        </w:rPr>
        <w:t>חודשי</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בפועל</w:t>
      </w:r>
      <w:r>
        <w:rPr>
          <w:rFonts w:eastAsia="Arial TUR;Arial" w:cs="Arial TUR;Arial"/>
          <w:sz w:val="28"/>
          <w:sz w:val="28"/>
          <w:rtl w:val="true"/>
        </w:rPr>
        <w:t xml:space="preserve"> </w:t>
      </w:r>
      <w:r>
        <w:rPr>
          <w:sz w:val="28"/>
          <w:sz w:val="28"/>
          <w:rtl w:val="true"/>
        </w:rPr>
        <w:t>בגין</w:t>
      </w:r>
      <w:r>
        <w:rPr>
          <w:rFonts w:eastAsia="Arial TUR;Arial" w:cs="Arial TUR;Arial"/>
          <w:sz w:val="28"/>
          <w:sz w:val="28"/>
          <w:rtl w:val="true"/>
        </w:rPr>
        <w:t xml:space="preserve"> </w:t>
      </w:r>
      <w:r>
        <w:rPr>
          <w:sz w:val="28"/>
          <w:sz w:val="28"/>
          <w:rtl w:val="true"/>
        </w:rPr>
        <w:t>שני</w:t>
      </w:r>
      <w:r>
        <w:rPr>
          <w:rFonts w:eastAsia="Arial TUR;Arial" w:cs="Arial TUR;Arial"/>
          <w:sz w:val="28"/>
          <w:sz w:val="28"/>
          <w:rtl w:val="true"/>
        </w:rPr>
        <w:t xml:space="preserve"> </w:t>
      </w:r>
      <w:r>
        <w:rPr>
          <w:sz w:val="28"/>
          <w:sz w:val="28"/>
          <w:rtl w:val="true"/>
        </w:rPr>
        <w:t>התיקים</w:t>
      </w:r>
      <w:r>
        <w:rPr>
          <w:sz w:val="28"/>
          <w:rtl w:val="true"/>
        </w:rPr>
        <w:t>.</w:t>
      </w:r>
    </w:p>
    <w:p>
      <w:pPr>
        <w:pStyle w:val="Ruller41"/>
        <w:ind w:end="0"/>
        <w:jc w:val="both"/>
        <w:rPr>
          <w:sz w:val="28"/>
        </w:rPr>
      </w:pPr>
      <w:r>
        <w:rPr>
          <w:sz w:val="28"/>
          <w:rtl w:val="true"/>
        </w:rPr>
      </w:r>
    </w:p>
    <w:p>
      <w:pPr>
        <w:pStyle w:val="Ruller42"/>
        <w:numPr>
          <w:ilvl w:val="0"/>
          <w:numId w:val="1"/>
        </w:numPr>
        <w:ind w:hanging="0" w:start="0" w:end="0"/>
        <w:jc w:val="both"/>
        <w:rPr/>
      </w:pPr>
      <w:r>
        <w:rPr>
          <w:rtl w:val="true"/>
        </w:rPr>
        <w:tab/>
      </w:r>
      <w:r>
        <w:rPr>
          <w:rtl w:val="true"/>
        </w:rPr>
        <w:t>על פי עובדות כתב האישום בתיק העיקרי</w:t>
      </w:r>
      <w:r>
        <w:rPr>
          <w:rtl w:val="true"/>
        </w:rPr>
        <w:t xml:space="preserve">, </w:t>
      </w:r>
      <w:r>
        <w:rPr>
          <w:rtl w:val="true"/>
        </w:rPr>
        <w:t>המערער הינו מכר של הורי המתלונן</w:t>
      </w:r>
      <w:r>
        <w:rPr>
          <w:rtl w:val="true"/>
        </w:rPr>
        <w:t xml:space="preserve">, </w:t>
      </w:r>
      <w:r>
        <w:rPr>
          <w:rtl w:val="true"/>
        </w:rPr>
        <w:t>והוא נהג לסעוד בבית משפחת המתלונן בערבי שבת</w:t>
      </w:r>
      <w:r>
        <w:rPr>
          <w:rtl w:val="true"/>
        </w:rPr>
        <w:t xml:space="preserve">. </w:t>
      </w:r>
      <w:r>
        <w:rPr>
          <w:rtl w:val="true"/>
        </w:rPr>
        <w:t xml:space="preserve">בין השנים </w:t>
      </w:r>
      <w:r>
        <w:rPr/>
        <w:t>2007-2006</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התקופה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הרלוונטית</w:t>
      </w:r>
      <w:r>
        <w:rPr>
          <w:rtl w:val="true"/>
        </w:rPr>
        <w:t xml:space="preserve">), </w:t>
      </w:r>
      <w:r>
        <w:rPr>
          <w:rtl w:val="true"/>
        </w:rPr>
        <w:t xml:space="preserve">עת היה המתלונן כבן </w:t>
      </w:r>
      <w:r>
        <w:rPr/>
        <w:t>8</w:t>
      </w:r>
      <w:r>
        <w:rPr>
          <w:rtl w:val="true"/>
        </w:rPr>
        <w:t xml:space="preserve"> </w:t>
      </w:r>
      <w:r>
        <w:rPr>
          <w:rtl w:val="true"/>
        </w:rPr>
        <w:t>שנים</w:t>
      </w:r>
      <w:r>
        <w:rPr>
          <w:rtl w:val="true"/>
        </w:rPr>
        <w:t xml:space="preserve">, </w:t>
      </w:r>
      <w:r>
        <w:rPr>
          <w:rtl w:val="true"/>
        </w:rPr>
        <w:t>ביצע המערער במתלונן מעשים מגונים כמפורט להלן</w:t>
      </w:r>
      <w:r>
        <w:rPr>
          <w:rtl w:val="true"/>
        </w:rPr>
        <w:t xml:space="preserve">. </w:t>
      </w:r>
      <w:r>
        <w:rPr>
          <w:rtl w:val="true"/>
        </w:rPr>
        <w:t>על פי האישום הראשון</w:t>
      </w:r>
      <w:r>
        <w:rPr>
          <w:rtl w:val="true"/>
        </w:rPr>
        <w:t xml:space="preserve">, </w:t>
      </w:r>
      <w:r>
        <w:rPr>
          <w:rtl w:val="true"/>
        </w:rPr>
        <w:t>במהלך התקופה הרלוונטית</w:t>
      </w:r>
      <w:r>
        <w:rPr>
          <w:rtl w:val="true"/>
        </w:rPr>
        <w:t xml:space="preserve">, </w:t>
      </w:r>
      <w:r>
        <w:rPr>
          <w:rtl w:val="true"/>
        </w:rPr>
        <w:t>בכ</w:t>
      </w:r>
      <w:r>
        <w:rPr>
          <w:rtl w:val="true"/>
        </w:rPr>
        <w:t>-</w:t>
      </w:r>
      <w:r>
        <w:rPr/>
        <w:t>10</w:t>
      </w:r>
      <w:r>
        <w:rPr>
          <w:rtl w:val="true"/>
        </w:rPr>
        <w:t xml:space="preserve"> </w:t>
      </w:r>
      <w:r>
        <w:rPr>
          <w:rtl w:val="true"/>
        </w:rPr>
        <w:t>הזדמנויות שונות</w:t>
      </w:r>
      <w:r>
        <w:rPr>
          <w:rtl w:val="true"/>
        </w:rPr>
        <w:t xml:space="preserve">, </w:t>
      </w:r>
      <w:r>
        <w:rPr>
          <w:rtl w:val="true"/>
        </w:rPr>
        <w:t>הזמין המערער את המתלונן לביתו לאחר שעות הלימודים על מנת לצפות בסרטים ובטלוויזיה</w:t>
      </w:r>
      <w:r>
        <w:rPr>
          <w:rtl w:val="true"/>
        </w:rPr>
        <w:t xml:space="preserve">. </w:t>
      </w:r>
      <w:r>
        <w:rPr>
          <w:rtl w:val="true"/>
        </w:rPr>
        <w:t>במהלך הצפייה</w:t>
      </w:r>
      <w:r>
        <w:rPr>
          <w:rtl w:val="true"/>
        </w:rPr>
        <w:t xml:space="preserve">, </w:t>
      </w:r>
      <w:r>
        <w:rPr>
          <w:rtl w:val="true"/>
        </w:rPr>
        <w:t>ביצע המערער במתלונן מעשים מגונים בכך שליטף אותו</w:t>
      </w:r>
      <w:r>
        <w:rPr>
          <w:rtl w:val="true"/>
        </w:rPr>
        <w:t xml:space="preserve">, </w:t>
      </w:r>
      <w:r>
        <w:rPr>
          <w:rtl w:val="true"/>
        </w:rPr>
        <w:t>נגע בגבו ובאיבר מינו באמצעות מכשיר מסאז</w:t>
      </w:r>
      <w:r>
        <w:rPr>
          <w:rtl w:val="true"/>
        </w:rPr>
        <w:t xml:space="preserve">' </w:t>
      </w:r>
      <w:r>
        <w:rPr>
          <w:rtl w:val="true"/>
        </w:rPr>
        <w:t>רוטט מעל לבגדיו לפרק זמן ממושך</w:t>
      </w:r>
      <w:r>
        <w:rPr>
          <w:rtl w:val="true"/>
        </w:rPr>
        <w:t xml:space="preserve">, </w:t>
      </w:r>
      <w:r>
        <w:rPr>
          <w:rtl w:val="true"/>
        </w:rPr>
        <w:t>ולעיתים נתן המערער למתלונן ללבוש מכנס דק כדי שהמתלונן ירגיש את המכשיר טוב יותר</w:t>
      </w:r>
      <w:r>
        <w:rPr>
          <w:rtl w:val="true"/>
        </w:rPr>
        <w:t xml:space="preserve">. </w:t>
      </w:r>
      <w:r>
        <w:rPr>
          <w:rtl w:val="true"/>
        </w:rPr>
        <w:t>על פי האישום השני</w:t>
      </w:r>
      <w:r>
        <w:rPr>
          <w:rtl w:val="true"/>
        </w:rPr>
        <w:t xml:space="preserve">, </w:t>
      </w:r>
      <w:r>
        <w:rPr>
          <w:rtl w:val="true"/>
        </w:rPr>
        <w:t>במהלך התקופה הרלוונטית</w:t>
      </w:r>
      <w:r>
        <w:rPr>
          <w:rtl w:val="true"/>
        </w:rPr>
        <w:t xml:space="preserve">, </w:t>
      </w:r>
      <w:r>
        <w:rPr>
          <w:rtl w:val="true"/>
        </w:rPr>
        <w:t>עת שהו המתלונן ואחיותיו בבית המערער</w:t>
      </w:r>
      <w:r>
        <w:rPr>
          <w:rtl w:val="true"/>
        </w:rPr>
        <w:t xml:space="preserve">, </w:t>
      </w:r>
      <w:r>
        <w:rPr>
          <w:rtl w:val="true"/>
        </w:rPr>
        <w:t>ביקש המערער מהמתלונן להתלוות אליו לאחד החדרים באמתלה שיראו סרט</w:t>
      </w:r>
      <w:r>
        <w:rPr>
          <w:rtl w:val="true"/>
        </w:rPr>
        <w:t xml:space="preserve">. </w:t>
      </w:r>
      <w:r>
        <w:rPr>
          <w:rtl w:val="true"/>
        </w:rPr>
        <w:t>בהיותם בחדר</w:t>
      </w:r>
      <w:r>
        <w:rPr>
          <w:rtl w:val="true"/>
        </w:rPr>
        <w:t xml:space="preserve">, </w:t>
      </w:r>
      <w:r>
        <w:rPr>
          <w:rtl w:val="true"/>
        </w:rPr>
        <w:t>התיישב המערער ליד המתלונן ונגע באיבר מינו מעל לבגדיו</w:t>
      </w:r>
      <w:r>
        <w:rPr>
          <w:rtl w:val="true"/>
        </w:rPr>
        <w:t xml:space="preserve">, </w:t>
      </w:r>
      <w:r>
        <w:rPr>
          <w:rtl w:val="true"/>
        </w:rPr>
        <w:t>הוריד את מכנסיו ותחתוניו של המתלונן</w:t>
      </w:r>
      <w:r>
        <w:rPr>
          <w:rtl w:val="true"/>
        </w:rPr>
        <w:t xml:space="preserve">, </w:t>
      </w:r>
      <w:r>
        <w:rPr>
          <w:rtl w:val="true"/>
        </w:rPr>
        <w:t>התכופף לעבר איבר מינו וליקקו למשך כחצי דקה</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על פי עובדות כתב האישום בתיק המצורף</w:t>
      </w:r>
      <w:r>
        <w:rPr>
          <w:rtl w:val="true"/>
        </w:rPr>
        <w:t xml:space="preserve">, </w:t>
      </w:r>
      <w:r>
        <w:rPr>
          <w:rtl w:val="true"/>
        </w:rPr>
        <w:t>במועד שאינו ידוע במדויק למשיבה</w:t>
      </w:r>
      <w:r>
        <w:rPr>
          <w:rtl w:val="true"/>
        </w:rPr>
        <w:t xml:space="preserve">, </w:t>
      </w:r>
      <w:r>
        <w:rPr>
          <w:rtl w:val="true"/>
        </w:rPr>
        <w:t>החזיק המערער בביתו במכשיר הטלפון הסלולרי</w:t>
      </w:r>
      <w:r>
        <w:rPr>
          <w:rtl w:val="true"/>
        </w:rPr>
        <w:t xml:space="preserve">, </w:t>
      </w:r>
      <w:r>
        <w:rPr>
          <w:rtl w:val="true"/>
        </w:rPr>
        <w:t>פרסומי תועבה</w:t>
      </w:r>
      <w:r>
        <w:rPr>
          <w:rtl w:val="true"/>
        </w:rPr>
        <w:t xml:space="preserve">, </w:t>
      </w:r>
      <w:r>
        <w:rPr>
          <w:rtl w:val="true"/>
        </w:rPr>
        <w:t>ובהם דמויות של קטינות עירומות</w:t>
      </w:r>
      <w:r>
        <w:rPr>
          <w:rtl w:val="true"/>
        </w:rPr>
        <w:t xml:space="preserve">, </w:t>
      </w:r>
      <w:r>
        <w:rPr>
          <w:rtl w:val="true"/>
        </w:rPr>
        <w:t>וכן ניסה לצרוך חומרי תועבה שבהם דמויות של קטינות</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קמא</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ab/>
      </w:r>
      <w:r>
        <w:rPr>
          <w:rtl w:val="true"/>
        </w:rPr>
        <w:t>בגזר דינו</w:t>
      </w:r>
      <w:r>
        <w:rPr>
          <w:rtl w:val="true"/>
        </w:rPr>
        <w:t xml:space="preserve">, </w:t>
      </w:r>
      <w:r>
        <w:rPr>
          <w:rtl w:val="true"/>
        </w:rPr>
        <w:t>עמד בית משפט קמא על הערך החברתי שנפגע ועל החומרה היתרה הגלומה בעבירות מין המבוצעות בקטינים</w:t>
      </w:r>
      <w:r>
        <w:rPr>
          <w:rtl w:val="true"/>
        </w:rPr>
        <w:t xml:space="preserve">. </w:t>
      </w:r>
      <w:r>
        <w:rPr>
          <w:rtl w:val="true"/>
        </w:rPr>
        <w:t>באשר לנסיבות הקשורות בביצוע העבירה</w:t>
      </w:r>
      <w:r>
        <w:rPr>
          <w:rtl w:val="true"/>
        </w:rPr>
        <w:t xml:space="preserve">, </w:t>
      </w:r>
      <w:r>
        <w:rPr>
          <w:rtl w:val="true"/>
        </w:rPr>
        <w:t xml:space="preserve">שקל בית המשפט לחומרה את העובדה שהמערער ביצע את המעשים בהיות המתלונן כבן </w:t>
      </w:r>
      <w:r>
        <w:rPr/>
        <w:t>8</w:t>
      </w:r>
      <w:r>
        <w:rPr>
          <w:rtl w:val="true"/>
        </w:rPr>
        <w:t xml:space="preserve"> </w:t>
      </w:r>
      <w:r>
        <w:rPr>
          <w:rtl w:val="true"/>
        </w:rPr>
        <w:t>שנים בלבד</w:t>
      </w:r>
      <w:r>
        <w:rPr>
          <w:rtl w:val="true"/>
        </w:rPr>
        <w:t xml:space="preserve">; </w:t>
      </w:r>
      <w:r>
        <w:rPr>
          <w:rtl w:val="true"/>
        </w:rPr>
        <w:t>כי מדובר במספר רב של מעשים שבוצעו על פני תקופה של כשנה</w:t>
      </w:r>
      <w:r>
        <w:rPr>
          <w:rtl w:val="true"/>
        </w:rPr>
        <w:t xml:space="preserve">; </w:t>
      </w:r>
      <w:r>
        <w:rPr>
          <w:rtl w:val="true"/>
        </w:rPr>
        <w:t xml:space="preserve">כי המערער הפר את אמון המתלונן ובני משפחתו בכך שהוא ניצל את תמימות המתלונן ואת העובדה שלא הייתה בביתו טלוויזיה כדי להזמין אותו לביתו </w:t>
      </w:r>
      <w:r>
        <w:rPr>
          <w:rtl w:val="true"/>
        </w:rPr>
        <w:t>–</w:t>
      </w:r>
      <w:r>
        <w:rPr>
          <w:rtl w:val="true"/>
        </w:rPr>
        <w:t xml:space="preserve"> שאז ביצע בו את המעשים החמורים</w:t>
      </w:r>
      <w:r>
        <w:rPr>
          <w:rtl w:val="true"/>
        </w:rPr>
        <w:t xml:space="preserve">. </w:t>
      </w:r>
      <w:r>
        <w:rPr>
          <w:rtl w:val="true"/>
        </w:rPr>
        <w:t>עוד עמד בית המשפט על תסקיר נפגע העבירה ממנו עולה כי כתוצאה מהפגיעה</w:t>
      </w:r>
      <w:r>
        <w:rPr>
          <w:rtl w:val="true"/>
        </w:rPr>
        <w:t xml:space="preserve">, </w:t>
      </w:r>
      <w:r>
        <w:rPr>
          <w:rtl w:val="true"/>
        </w:rPr>
        <w:t>סובל המתלונן מתסמינים פוסט טראומתיים</w:t>
      </w:r>
      <w:r>
        <w:rPr>
          <w:rtl w:val="true"/>
        </w:rPr>
        <w:t xml:space="preserve">, </w:t>
      </w:r>
      <w:r>
        <w:rPr>
          <w:rtl w:val="true"/>
        </w:rPr>
        <w:t>וכי הוא מוצף בתחושות אשמה ובושה</w:t>
      </w:r>
      <w:r>
        <w:rPr>
          <w:rtl w:val="true"/>
        </w:rPr>
        <w:t xml:space="preserve">, </w:t>
      </w:r>
      <w:r>
        <w:rPr>
          <w:rtl w:val="true"/>
        </w:rPr>
        <w:t>חוסר ביטחון</w:t>
      </w:r>
      <w:r>
        <w:rPr>
          <w:rtl w:val="true"/>
        </w:rPr>
        <w:t xml:space="preserve">, </w:t>
      </w:r>
      <w:r>
        <w:rPr>
          <w:rtl w:val="true"/>
        </w:rPr>
        <w:t>חרדה ופחד שמלוות אותו מדי יום ביומו ומונעות ממנו להתקדם</w:t>
      </w:r>
      <w:r>
        <w:rPr>
          <w:rtl w:val="true"/>
        </w:rPr>
        <w:t xml:space="preserve">, </w:t>
      </w:r>
      <w:r>
        <w:rPr>
          <w:rtl w:val="true"/>
        </w:rPr>
        <w:t>להתפתח וליצור קשרים חברתיים</w:t>
      </w:r>
      <w:r>
        <w:rPr>
          <w:rtl w:val="true"/>
        </w:rPr>
        <w:t xml:space="preserve">, </w:t>
      </w:r>
      <w:r>
        <w:rPr>
          <w:rtl w:val="true"/>
        </w:rPr>
        <w:t>וכי עורכת התסקיר התרשמה כי לפני המתלונן דרך שיקומית ארוכה ואינטנסיבית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באשר לתיק המצורף</w:t>
      </w:r>
      <w:r>
        <w:rPr>
          <w:rtl w:val="true"/>
        </w:rPr>
        <w:t xml:space="preserve">, </w:t>
      </w:r>
      <w:r>
        <w:rPr>
          <w:rtl w:val="true"/>
        </w:rPr>
        <w:t xml:space="preserve">עמד בית המשפט המחוזי על כך שהעבירות בו בוצעו באוגוסט </w:t>
      </w:r>
      <w:r>
        <w:rPr/>
        <w:t>2017</w:t>
      </w:r>
      <w:r>
        <w:rPr>
          <w:rtl w:val="true"/>
        </w:rPr>
        <w:t xml:space="preserve"> </w:t>
      </w:r>
      <w:r>
        <w:rPr>
          <w:rtl w:val="true"/>
        </w:rPr>
        <w:t xml:space="preserve">עת היה המערער נתון תחת צו פיקוח על עברייני מין שניתן בחודש מרץ </w:t>
      </w:r>
      <w:r>
        <w:rPr/>
        <w:t>2016</w:t>
      </w:r>
      <w:r>
        <w:rPr>
          <w:rtl w:val="true"/>
        </w:rPr>
        <w:t xml:space="preserve"> </w:t>
      </w:r>
      <w:r>
        <w:rPr>
          <w:rtl w:val="true"/>
        </w:rPr>
        <w:t xml:space="preserve">למשך תקופה של </w:t>
      </w:r>
      <w:r>
        <w:rPr/>
        <w:t>4</w:t>
      </w:r>
      <w:r>
        <w:rPr>
          <w:rtl w:val="true"/>
        </w:rPr>
        <w:t xml:space="preserve"> </w:t>
      </w:r>
      <w:r>
        <w:rPr>
          <w:rtl w:val="true"/>
        </w:rPr>
        <w:t>שנים</w:t>
      </w:r>
      <w:r>
        <w:rPr>
          <w:rtl w:val="true"/>
        </w:rPr>
        <w:t xml:space="preserve">, </w:t>
      </w:r>
      <w:r>
        <w:rPr>
          <w:rtl w:val="true"/>
        </w:rPr>
        <w:t xml:space="preserve">שעמדה להסתיים במרץ </w:t>
      </w:r>
      <w:r>
        <w:rPr/>
        <w:t>2020</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ab/>
      </w:r>
      <w:r>
        <w:rPr>
          <w:rtl w:val="true"/>
        </w:rPr>
        <w:t>בבואו לגזור את הדין</w:t>
      </w:r>
      <w:r>
        <w:rPr>
          <w:rtl w:val="true"/>
        </w:rPr>
        <w:t xml:space="preserve">, </w:t>
      </w:r>
      <w:r>
        <w:rPr>
          <w:rtl w:val="true"/>
        </w:rPr>
        <w:t xml:space="preserve">התחשב בית המשפט לקולא בגילו המבוגר של המערער שהינו כבן </w:t>
      </w:r>
      <w:r>
        <w:rPr/>
        <w:t>74</w:t>
      </w:r>
      <w:r>
        <w:rPr>
          <w:rtl w:val="true"/>
        </w:rPr>
        <w:t xml:space="preserve">; </w:t>
      </w:r>
      <w:r>
        <w:rPr>
          <w:rtl w:val="true"/>
        </w:rPr>
        <w:t>בעובדה כי הוא סובל ממגוון בעיות רפואיות</w:t>
      </w:r>
      <w:r>
        <w:rPr>
          <w:rtl w:val="true"/>
        </w:rPr>
        <w:t xml:space="preserve">; </w:t>
      </w:r>
      <w:r>
        <w:rPr>
          <w:rtl w:val="true"/>
        </w:rPr>
        <w:t>בהודייתו</w:t>
      </w:r>
      <w:r>
        <w:rPr>
          <w:rtl w:val="true"/>
        </w:rPr>
        <w:t xml:space="preserve">, </w:t>
      </w:r>
      <w:r>
        <w:rPr>
          <w:rtl w:val="true"/>
        </w:rPr>
        <w:t>שחסכה מהמתלונן את הצורך להעיד וחסכה בזמן שיפוטי יקר</w:t>
      </w:r>
      <w:r>
        <w:rPr>
          <w:rtl w:val="true"/>
        </w:rPr>
        <w:t xml:space="preserve">; </w:t>
      </w:r>
      <w:r>
        <w:rPr>
          <w:rtl w:val="true"/>
        </w:rPr>
        <w:t xml:space="preserve">בכך שהמערער הפקיד בקופת בית המשפט מראש סך של </w:t>
      </w:r>
      <w:r>
        <w:rPr/>
        <w:t>150,000</w:t>
      </w:r>
      <w:r>
        <w:rPr>
          <w:rtl w:val="true"/>
        </w:rPr>
        <w:t xml:space="preserve"> </w:t>
      </w:r>
      <w:r>
        <w:rPr>
          <w:rtl w:val="true"/>
        </w:rPr>
        <w:t>ש״ח כפיצוי למתלונן</w:t>
      </w:r>
      <w:r>
        <w:rPr>
          <w:rtl w:val="true"/>
        </w:rPr>
        <w:t xml:space="preserve">; </w:t>
      </w:r>
      <w:r>
        <w:rPr>
          <w:rtl w:val="true"/>
        </w:rPr>
        <w:t>ובהליך הטיפולי המשמעותי שהוא עובר</w:t>
      </w:r>
      <w:r>
        <w:rPr>
          <w:rtl w:val="true"/>
        </w:rPr>
        <w:t xml:space="preserve">. </w:t>
      </w:r>
      <w:r>
        <w:rPr>
          <w:rtl w:val="true"/>
        </w:rPr>
        <w:t>עם זאת</w:t>
      </w:r>
      <w:r>
        <w:rPr>
          <w:rtl w:val="true"/>
        </w:rPr>
        <w:t xml:space="preserve">, </w:t>
      </w:r>
      <w:r>
        <w:rPr>
          <w:rtl w:val="true"/>
        </w:rPr>
        <w:t>עמד בית המשפט בהרחבה על תסקיר שירות המבחן שהוגש בענייננו של המערער ממנו עולה</w:t>
      </w:r>
      <w:r>
        <w:rPr>
          <w:rtl w:val="true"/>
        </w:rPr>
        <w:t xml:space="preserve">, </w:t>
      </w:r>
      <w:r>
        <w:rPr>
          <w:rtl w:val="true"/>
        </w:rPr>
        <w:t>בין היתר</w:t>
      </w:r>
      <w:r>
        <w:rPr>
          <w:rtl w:val="true"/>
        </w:rPr>
        <w:t xml:space="preserve">, </w:t>
      </w:r>
      <w:r>
        <w:rPr>
          <w:rtl w:val="true"/>
        </w:rPr>
        <w:t xml:space="preserve">כי </w:t>
      </w:r>
      <w:r>
        <w:rPr>
          <w:rFonts w:ascii="Century" w:hAnsi="Century" w:cs="Miriam"/>
          <w:b/>
          <w:b/>
          <w:spacing w:val="0"/>
          <w:sz w:val="22"/>
          <w:sz w:val="22"/>
          <w:szCs w:val="24"/>
          <w:rtl w:val="true"/>
        </w:rPr>
        <w:t>״פירוט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גורמי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הסיכון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והסיכוי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מצביעים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הסובל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מסטייה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וקושי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בשליטה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ובוויסות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שהטיפול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גורם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מפחית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סיכון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עדיין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לנאשם</w:t>
      </w:r>
      <w:r>
        <w:rPr>
          <w:rFonts w:ascii="Century" w:hAnsi="Century" w:eastAsia="Century" w:cs="Century"/>
          <w:b/>
          <w:b/>
          <w:spacing w:val="0"/>
          <w:sz w:val="22"/>
          <w:sz w:val="22"/>
          <w:szCs w:val="24"/>
          <w:rtl w:val="true"/>
        </w:rPr>
        <w:t xml:space="preserve"> </w:t>
      </w:r>
      <w:r>
        <w:rPr>
          <w:rFonts w:cs="Century" w:ascii="Century" w:hAnsi="Century"/>
          <w:sz w:val="22"/>
          <w:rtl w:val="true"/>
        </w:rPr>
        <w:t>[</w:t>
      </w:r>
      <w:r>
        <w:rPr>
          <w:rFonts w:ascii="Century" w:hAnsi="Century" w:cs="Century"/>
          <w:sz w:val="22"/>
          <w:sz w:val="22"/>
          <w:rtl w:val="true"/>
        </w:rPr>
        <w:t xml:space="preserve">למערער </w:t>
      </w:r>
      <w:r>
        <w:rPr>
          <w:rFonts w:ascii="Century" w:hAnsi="Century" w:cs="Century"/>
          <w:sz w:val="22"/>
          <w:sz w:val="22"/>
          <w:rtl w:val="true"/>
        </w:rPr>
        <w:t>–</w:t>
      </w:r>
      <w:r>
        <w:rPr>
          <w:rFonts w:ascii="Century" w:hAnsi="Century" w:cs="Century"/>
          <w:sz w:val="22"/>
          <w:sz w:val="22"/>
          <w:rtl w:val="true"/>
        </w:rPr>
        <w:t xml:space="preserve"> ג׳</w:t>
      </w:r>
      <w:r>
        <w:rPr>
          <w:rFonts w:cs="Century" w:ascii="Century" w:hAnsi="Century"/>
          <w:sz w:val="22"/>
          <w:rtl w:val="true"/>
        </w:rPr>
        <w:t>.</w:t>
      </w:r>
      <w:r>
        <w:rPr>
          <w:rFonts w:ascii="Century" w:hAnsi="Century" w:cs="Century"/>
          <w:sz w:val="22"/>
          <w:sz w:val="22"/>
          <w:rtl w:val="true"/>
        </w:rPr>
        <w:t>ק</w:t>
      </w:r>
      <w:r>
        <w:rPr>
          <w:rFonts w:cs="Century" w:ascii="Century" w:hAnsi="Century"/>
          <w:sz w:val="22"/>
          <w:rtl w:val="true"/>
        </w:rPr>
        <w:t xml:space="preserve">] </w:t>
      </w:r>
      <w:r>
        <w:rPr>
          <w:rFonts w:ascii="Century" w:hAnsi="Century" w:cs="Miriam"/>
          <w:b/>
          <w:b/>
          <w:spacing w:val="0"/>
          <w:sz w:val="22"/>
          <w:sz w:val="22"/>
          <w:szCs w:val="24"/>
          <w:rtl w:val="true"/>
        </w:rPr>
        <w:t>עיוותי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חשיבה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וקשיים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בגילוי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אמפתיה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נפגע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cs="Miriam" w:ascii="Century" w:hAnsi="Century"/>
          <w:b/>
          <w:spacing w:val="0"/>
          <w:sz w:val="22"/>
          <w:szCs w:val="24"/>
          <w:rtl w:val="true"/>
        </w:rPr>
        <w:t>.</w:t>
      </w:r>
      <w:r>
        <w:rPr>
          <w:rFonts w:ascii="Century" w:hAnsi="Century" w:cs="Miriam"/>
          <w:b/>
          <w:b/>
          <w:spacing w:val="0"/>
          <w:sz w:val="22"/>
          <w:sz w:val="22"/>
          <w:szCs w:val="24"/>
          <w:rtl w:val="true"/>
        </w:rPr>
        <w:t>״</w:t>
      </w:r>
      <w:r>
        <w:rPr>
          <w:rtl w:val="true"/>
        </w:rPr>
        <w:t xml:space="preserve"> עוד סבר בית המשפט כי הגם שחלוף הזמן הוא שיקול משמעותי לעניין העונש</w:t>
      </w:r>
      <w:r>
        <w:rPr>
          <w:rtl w:val="true"/>
        </w:rPr>
        <w:t xml:space="preserve">, </w:t>
      </w:r>
      <w:r>
        <w:rPr>
          <w:rtl w:val="true"/>
        </w:rPr>
        <w:t>הרי שבמקרה זה חלוף הזמן נובע מהעובדה שהמתלונן נצר את סודו</w:t>
      </w:r>
      <w:r>
        <w:rPr>
          <w:rtl w:val="true"/>
        </w:rPr>
        <w:t xml:space="preserve">, </w:t>
      </w:r>
      <w:r>
        <w:rPr>
          <w:rtl w:val="true"/>
        </w:rPr>
        <w:t>דבר שמנע ממנו לקבל סיוע נפשי וטיפול</w:t>
      </w:r>
      <w:r>
        <w:rPr>
          <w:rtl w:val="true"/>
        </w:rPr>
        <w:t xml:space="preserve">, </w:t>
      </w:r>
      <w:r>
        <w:rPr>
          <w:rtl w:val="true"/>
        </w:rPr>
        <w:t>ואף העצים את הנזק שנגרם לו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לבסוף</w:t>
      </w:r>
      <w:r>
        <w:rPr>
          <w:rtl w:val="true"/>
        </w:rPr>
        <w:t xml:space="preserve">, </w:t>
      </w:r>
      <w:r>
        <w:rPr>
          <w:rtl w:val="true"/>
        </w:rPr>
        <w:t>דחה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להמשיך</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הטיפולי</w:t>
      </w:r>
      <w:r>
        <w:rPr>
          <w:rFonts w:eastAsia="Arial TUR;Arial" w:cs="Arial TUR;Arial"/>
          <w:rtl w:val="true"/>
        </w:rPr>
        <w:t xml:space="preserve"> </w:t>
      </w:r>
      <w:r>
        <w:rPr>
          <w:rtl w:val="true"/>
        </w:rPr>
        <w:t>שהחל</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התאמתו</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בעבודות</w:t>
      </w:r>
      <w:r>
        <w:rPr>
          <w:rFonts w:eastAsia="Arial TUR;Arial" w:cs="Arial TUR;Arial"/>
          <w:rtl w:val="true"/>
        </w:rPr>
        <w:t xml:space="preserve"> </w:t>
      </w:r>
      <w:r>
        <w:rPr>
          <w:rtl w:val="true"/>
        </w:rPr>
        <w:t>שירות</w:t>
      </w:r>
      <w:r>
        <w:rPr>
          <w:rtl w:val="true"/>
        </w:rPr>
        <w:t xml:space="preserve">. </w:t>
      </w:r>
      <w:r>
        <w:rPr>
          <w:rtl w:val="true"/>
        </w:rPr>
        <w:t>זאת</w:t>
      </w:r>
      <w:r>
        <w:rPr>
          <w:rtl w:val="true"/>
        </w:rPr>
        <w:t xml:space="preserve">, </w:t>
      </w:r>
      <w:r>
        <w:rPr>
          <w:rtl w:val="true"/>
        </w:rPr>
        <w:t>נוכח</w:t>
      </w:r>
      <w:r>
        <w:rPr>
          <w:rFonts w:eastAsia="Arial TUR;Arial" w:cs="Arial TUR;Arial"/>
          <w:rtl w:val="true"/>
        </w:rPr>
        <w:t xml:space="preserve"> </w:t>
      </w:r>
      <w:r>
        <w:rPr>
          <w:rtl w:val="true"/>
        </w:rPr>
        <w:t>החומרה</w:t>
      </w:r>
      <w:r>
        <w:rPr>
          <w:rFonts w:eastAsia="Arial TUR;Arial" w:cs="Arial TUR;Arial"/>
          <w:rtl w:val="true"/>
        </w:rPr>
        <w:t xml:space="preserve"> </w:t>
      </w:r>
      <w:r>
        <w:rPr>
          <w:rtl w:val="true"/>
        </w:rPr>
        <w:t>הרבה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המקרה</w:t>
      </w:r>
      <w:r>
        <w:rPr>
          <w:rFonts w:eastAsia="Arial TUR;Arial" w:cs="Arial TUR;Arial"/>
          <w:rtl w:val="true"/>
        </w:rPr>
        <w:t xml:space="preserve"> </w:t>
      </w:r>
      <w:r>
        <w:rPr>
          <w:rtl w:val="true"/>
        </w:rPr>
        <w:t>דנן</w:t>
      </w:r>
      <w:r>
        <w:rPr>
          <w:rFonts w:eastAsia="Arial TUR;Arial" w:cs="Arial TUR;Arial"/>
          <w:rtl w:val="true"/>
        </w:rPr>
        <w:t xml:space="preserve"> </w:t>
      </w:r>
      <w:r>
        <w:rPr>
          <w:rtl w:val="true"/>
        </w:rPr>
        <w:t>והנזק</w:t>
      </w:r>
      <w:r>
        <w:rPr>
          <w:rFonts w:eastAsia="Arial TUR;Arial" w:cs="Arial TUR;Arial"/>
          <w:rtl w:val="true"/>
        </w:rPr>
        <w:t xml:space="preserve"> </w:t>
      </w:r>
      <w:r>
        <w:rPr>
          <w:rtl w:val="true"/>
        </w:rPr>
        <w:t>הקשה</w:t>
      </w:r>
      <w:r>
        <w:rPr>
          <w:rFonts w:eastAsia="Arial TUR;Arial" w:cs="Arial TUR;Arial"/>
          <w:rtl w:val="true"/>
        </w:rPr>
        <w:t xml:space="preserve"> </w:t>
      </w:r>
      <w:r>
        <w:rPr>
          <w:rtl w:val="true"/>
        </w:rPr>
        <w:t>שנגרם</w:t>
      </w:r>
      <w:r>
        <w:rPr>
          <w:rFonts w:eastAsia="Arial TUR;Arial" w:cs="Arial TUR;Arial"/>
          <w:rtl w:val="true"/>
        </w:rPr>
        <w:t xml:space="preserve"> </w:t>
      </w:r>
      <w:r>
        <w:rPr>
          <w:rtl w:val="true"/>
        </w:rPr>
        <w:t>למתלונן</w:t>
      </w:r>
      <w:r>
        <w:rPr>
          <w:rtl w:val="true"/>
        </w:rPr>
        <w:t xml:space="preserve">, </w:t>
      </w:r>
      <w:r>
        <w:rPr>
          <w:rtl w:val="true"/>
        </w:rPr>
        <w:t>וכן</w:t>
      </w:r>
      <w:r>
        <w:rPr>
          <w:rFonts w:eastAsia="Arial TUR;Arial" w:cs="Arial TUR;Arial"/>
          <w:rtl w:val="true"/>
        </w:rPr>
        <w:t xml:space="preserve"> </w:t>
      </w:r>
      <w:r>
        <w:rPr>
          <w:rtl w:val="true"/>
        </w:rPr>
        <w:t>בהתחשב</w:t>
      </w:r>
      <w:r>
        <w:rPr>
          <w:rFonts w:eastAsia="Arial TUR;Arial" w:cs="Arial TUR;Arial"/>
          <w:rtl w:val="true"/>
        </w:rPr>
        <w:t xml:space="preserve"> </w:t>
      </w:r>
      <w:r>
        <w:rPr>
          <w:rtl w:val="true"/>
        </w:rPr>
        <w:t>בשיקולי</w:t>
      </w:r>
      <w:r>
        <w:rPr>
          <w:rFonts w:eastAsia="Arial TUR;Arial" w:cs="Arial TUR;Arial"/>
          <w:rtl w:val="true"/>
        </w:rPr>
        <w:t xml:space="preserve"> </w:t>
      </w:r>
      <w:r>
        <w:rPr>
          <w:rtl w:val="true"/>
        </w:rPr>
        <w:t>גמול</w:t>
      </w:r>
      <w:r>
        <w:rPr>
          <w:rFonts w:eastAsia="Arial TUR;Arial" w:cs="Arial TUR;Arial"/>
          <w:rtl w:val="true"/>
        </w:rPr>
        <w:t xml:space="preserve"> </w:t>
      </w:r>
      <w:r>
        <w:rPr>
          <w:rtl w:val="true"/>
        </w:rPr>
        <w:t>והרתעה</w:t>
      </w:r>
      <w:r>
        <w:rPr>
          <w:rtl w:val="true"/>
        </w:rPr>
        <w:t xml:space="preserve">. </w:t>
      </w:r>
      <w:r>
        <w:rPr>
          <w:rtl w:val="true"/>
        </w:rPr>
        <w:t>מכל</w:t>
      </w:r>
      <w:r>
        <w:rPr>
          <w:rFonts w:eastAsia="Arial TUR;Arial" w:cs="Arial TUR;Arial"/>
          <w:rtl w:val="true"/>
        </w:rPr>
        <w:t xml:space="preserve"> </w:t>
      </w:r>
      <w:r>
        <w:rPr>
          <w:rtl w:val="true"/>
        </w:rPr>
        <w:t>מקום</w:t>
      </w:r>
      <w:r>
        <w:rPr>
          <w:rtl w:val="true"/>
        </w:rPr>
        <w:t xml:space="preserve">, </w:t>
      </w:r>
      <w:r>
        <w:rPr>
          <w:rtl w:val="true"/>
        </w:rPr>
        <w:t>סבר</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הראוי</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הנוכחי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מאחורי</w:t>
      </w:r>
      <w:r>
        <w:rPr>
          <w:rFonts w:eastAsia="Arial TUR;Arial" w:cs="Arial TUR;Arial"/>
          <w:rtl w:val="true"/>
        </w:rPr>
        <w:t xml:space="preserve"> </w:t>
      </w:r>
      <w:r>
        <w:rPr>
          <w:rtl w:val="true"/>
        </w:rPr>
        <w:t>סורג</w:t>
      </w:r>
      <w:r>
        <w:rPr>
          <w:rFonts w:eastAsia="Arial TUR;Arial" w:cs="Arial TUR;Arial"/>
          <w:rtl w:val="true"/>
        </w:rPr>
        <w:t xml:space="preserve"> </w:t>
      </w:r>
      <w:r>
        <w:rPr>
          <w:rtl w:val="true"/>
        </w:rPr>
        <w:t>ובריח</w:t>
      </w:r>
      <w:r>
        <w:rPr>
          <w:rtl w:val="true"/>
        </w:rPr>
        <w:t xml:space="preserve">, </w:t>
      </w:r>
      <w:r>
        <w:rPr>
          <w:rtl w:val="true"/>
        </w:rPr>
        <w:t>תוך</w:t>
      </w:r>
      <w:r>
        <w:rPr>
          <w:rFonts w:eastAsia="Arial TUR;Arial" w:cs="Arial TUR;Arial"/>
          <w:rtl w:val="true"/>
        </w:rPr>
        <w:t xml:space="preserve"> </w:t>
      </w:r>
      <w:r>
        <w:rPr>
          <w:rtl w:val="true"/>
        </w:rPr>
        <w:t>תקווה</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ישולב</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טיפולי</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שב״ס</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לנוכח כל האמור</w:t>
      </w:r>
      <w:r>
        <w:rPr>
          <w:rFonts w:cs="Century" w:ascii="Century" w:hAnsi="Century"/>
          <w:rtl w:val="true"/>
        </w:rPr>
        <w:t xml:space="preserve">, </w:t>
      </w:r>
      <w:r>
        <w:rPr>
          <w:rFonts w:ascii="Century" w:hAnsi="Century" w:cs="Century"/>
          <w:rtl w:val="true"/>
        </w:rPr>
        <w:t xml:space="preserve">נגזרו על המערער </w:t>
      </w:r>
      <w:r>
        <w:rPr>
          <w:rFonts w:cs="Century" w:ascii="Century" w:hAnsi="Century"/>
        </w:rPr>
        <w:t>21</w:t>
      </w:r>
      <w:r>
        <w:rPr>
          <w:rFonts w:cs="Century" w:ascii="Century" w:hAnsi="Century"/>
          <w:rtl w:val="true"/>
        </w:rPr>
        <w:t xml:space="preserve"> </w:t>
      </w:r>
      <w:r>
        <w:rPr>
          <w:rFonts w:ascii="Century" w:hAnsi="Century" w:cs="Century"/>
          <w:rtl w:val="true"/>
        </w:rPr>
        <w:t>חודשי מאסר בפועל בגין התיק העיקרי</w:t>
      </w:r>
      <w:r>
        <w:rPr>
          <w:rFonts w:cs="Century" w:ascii="Century" w:hAnsi="Century"/>
          <w:rtl w:val="true"/>
        </w:rPr>
        <w:t xml:space="preserve">; </w:t>
      </w:r>
      <w:r>
        <w:rPr>
          <w:rFonts w:cs="Century" w:ascii="Century" w:hAnsi="Century"/>
        </w:rPr>
        <w:t>3</w:t>
      </w:r>
      <w:r>
        <w:rPr>
          <w:rFonts w:cs="Century" w:ascii="Century" w:hAnsi="Century"/>
          <w:rtl w:val="true"/>
        </w:rPr>
        <w:t xml:space="preserve"> </w:t>
      </w:r>
      <w:r>
        <w:rPr>
          <w:rFonts w:ascii="Century" w:hAnsi="Century" w:cs="Century"/>
          <w:rtl w:val="true"/>
        </w:rPr>
        <w:t xml:space="preserve">חודשי מאסר בפועל בגין התיק המצורף שירוצו במצטבר לעונש המאסר בתיק העיקרי </w:t>
      </w:r>
      <w:r>
        <w:rPr>
          <w:rFonts w:cs="Century" w:ascii="Century" w:hAnsi="Century"/>
          <w:rtl w:val="true"/>
        </w:rPr>
        <w:t>(</w:t>
      </w:r>
      <w:r>
        <w:rPr>
          <w:rFonts w:ascii="Century" w:hAnsi="Century" w:cs="Century"/>
          <w:rtl w:val="true"/>
        </w:rPr>
        <w:t xml:space="preserve">סה״כ </w:t>
      </w:r>
      <w:r>
        <w:rPr>
          <w:rFonts w:cs="Century" w:ascii="Century" w:hAnsi="Century"/>
        </w:rPr>
        <w:t>24</w:t>
      </w:r>
      <w:r>
        <w:rPr>
          <w:rFonts w:cs="Century" w:ascii="Century" w:hAnsi="Century"/>
          <w:rtl w:val="true"/>
        </w:rPr>
        <w:t xml:space="preserve"> </w:t>
      </w:r>
      <w:r>
        <w:rPr>
          <w:rFonts w:ascii="Century" w:hAnsi="Century" w:cs="Century"/>
          <w:rtl w:val="true"/>
        </w:rPr>
        <w:t>חודשי מאסר בפועל</w:t>
      </w:r>
      <w:r>
        <w:rPr>
          <w:rFonts w:cs="Century" w:ascii="Century" w:hAnsi="Century"/>
          <w:rtl w:val="true"/>
        </w:rPr>
        <w:t xml:space="preserve">); </w:t>
      </w:r>
      <w:r>
        <w:rPr>
          <w:rFonts w:cs="Century" w:ascii="Century" w:hAnsi="Century"/>
        </w:rPr>
        <w:t>12</w:t>
      </w:r>
      <w:r>
        <w:rPr>
          <w:rFonts w:cs="Century" w:ascii="Century" w:hAnsi="Century"/>
          <w:rtl w:val="true"/>
        </w:rPr>
        <w:t xml:space="preserve"> </w:t>
      </w:r>
      <w:r>
        <w:rPr>
          <w:rFonts w:ascii="Century" w:hAnsi="Century" w:cs="Century"/>
          <w:rtl w:val="true"/>
        </w:rPr>
        <w:t xml:space="preserve">חודשי מאסר על תנאי למשך </w:t>
      </w:r>
      <w:r>
        <w:rPr>
          <w:rFonts w:cs="Century" w:ascii="Century" w:hAnsi="Century"/>
        </w:rPr>
        <w:t>3</w:t>
      </w:r>
      <w:r>
        <w:rPr>
          <w:rFonts w:cs="Century" w:ascii="Century" w:hAnsi="Century"/>
          <w:rtl w:val="true"/>
        </w:rPr>
        <w:t xml:space="preserve"> </w:t>
      </w:r>
      <w:r>
        <w:rPr>
          <w:rFonts w:ascii="Century" w:hAnsi="Century" w:cs="Century"/>
          <w:rtl w:val="true"/>
        </w:rPr>
        <w:t>שנים לבל יעבור עבירת מין מסוג פשע</w:t>
      </w:r>
      <w:r>
        <w:rPr>
          <w:rFonts w:cs="Century" w:ascii="Century" w:hAnsi="Century"/>
          <w:rtl w:val="true"/>
        </w:rPr>
        <w:t xml:space="preserve">; </w:t>
      </w:r>
      <w:r>
        <w:rPr>
          <w:rFonts w:cs="Century" w:ascii="Century" w:hAnsi="Century"/>
        </w:rPr>
        <w:t>6</w:t>
      </w:r>
      <w:r>
        <w:rPr>
          <w:rFonts w:cs="Century" w:ascii="Century" w:hAnsi="Century"/>
          <w:rtl w:val="true"/>
        </w:rPr>
        <w:t xml:space="preserve"> </w:t>
      </w:r>
      <w:r>
        <w:rPr>
          <w:rFonts w:ascii="Century" w:hAnsi="Century" w:cs="Century"/>
          <w:rtl w:val="true"/>
        </w:rPr>
        <w:t xml:space="preserve">חודשי מאסר על תנאי למשך </w:t>
      </w:r>
      <w:r>
        <w:rPr>
          <w:rFonts w:cs="Century" w:ascii="Century" w:hAnsi="Century"/>
        </w:rPr>
        <w:t>3</w:t>
      </w:r>
      <w:r>
        <w:rPr>
          <w:rFonts w:cs="Century" w:ascii="Century" w:hAnsi="Century"/>
          <w:rtl w:val="true"/>
        </w:rPr>
        <w:t xml:space="preserve"> </w:t>
      </w:r>
      <w:r>
        <w:rPr>
          <w:rFonts w:ascii="Century" w:hAnsi="Century" w:cs="Century"/>
          <w:rtl w:val="true"/>
        </w:rPr>
        <w:t>שנים לבל יעבור עבירת מין מסוג עוון</w:t>
      </w:r>
      <w:r>
        <w:rPr>
          <w:rFonts w:cs="Century" w:ascii="Century" w:hAnsi="Century"/>
          <w:rtl w:val="true"/>
        </w:rPr>
        <w:t xml:space="preserve">, </w:t>
      </w:r>
      <w:r>
        <w:rPr>
          <w:rFonts w:ascii="Century" w:hAnsi="Century" w:cs="Century"/>
          <w:rtl w:val="true"/>
        </w:rPr>
        <w:t>לרבות עבירה של פרסום והצגת תועבה</w:t>
      </w:r>
      <w:r>
        <w:rPr>
          <w:rFonts w:cs="Century" w:ascii="Century" w:hAnsi="Century"/>
          <w:rtl w:val="true"/>
        </w:rPr>
        <w:t xml:space="preserve">; </w:t>
      </w:r>
      <w:r>
        <w:rPr>
          <w:rFonts w:ascii="Century" w:hAnsi="Century" w:cs="Century"/>
          <w:rtl w:val="true"/>
        </w:rPr>
        <w:t xml:space="preserve">ופיצוי למתלונן בסך </w:t>
      </w:r>
      <w:r>
        <w:rPr>
          <w:rFonts w:cs="Century" w:ascii="Century" w:hAnsi="Century"/>
        </w:rPr>
        <w:t>150,000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cs="Century" w:ascii="Century" w:hAnsi="Century"/>
          <w:rtl w:val="true"/>
        </w:rPr>
        <w:t xml:space="preserve">.       </w:t>
      </w:r>
    </w:p>
    <w:p>
      <w:pPr>
        <w:pStyle w:val="Ruller41"/>
        <w:ind w:end="0"/>
        <w:jc w:val="both"/>
        <w:rPr>
          <w:rFonts w:ascii="Century" w:hAnsi="Century" w:cs="Century"/>
        </w:rPr>
      </w:pPr>
      <w:r>
        <w:rPr>
          <w:rFonts w:eastAsia="Century"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על גזר דינו של בית משפט קמא הוגש ערעור זה</w:t>
      </w:r>
      <w:r>
        <w:rPr>
          <w:rFonts w:cs="Century" w:ascii="Century" w:hAnsi="Century"/>
          <w:rtl w:val="true"/>
        </w:rPr>
        <w:t xml:space="preserve">, </w:t>
      </w:r>
      <w:r>
        <w:rPr>
          <w:rFonts w:ascii="Century" w:hAnsi="Century" w:cs="Century"/>
          <w:rtl w:val="true"/>
        </w:rPr>
        <w:t>המופנה נגד רכיב עונש המאסר שהושת על המערער</w:t>
      </w:r>
      <w:r>
        <w:rPr>
          <w:rFonts w:cs="Century" w:ascii="Century" w:hAnsi="Century"/>
          <w:rtl w:val="true"/>
        </w:rPr>
        <w:t xml:space="preserve">.   </w:t>
      </w:r>
      <w:r>
        <w:rPr>
          <w:rtl w:val="true"/>
        </w:rPr>
        <w:t xml:space="preserve"> </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hanging="0" w:start="0" w:end="0"/>
        <w:jc w:val="both"/>
        <w:rPr/>
      </w:pPr>
      <w:r>
        <w:rPr>
          <w:rtl w:val="true"/>
        </w:rPr>
        <w:t>המערער טוען כי שגה בית משפט קמא משלא העניק משקל בכורה לשיקולי השיקום וראה במערער כמי שיש סיכוי ממשי שישתקם</w:t>
      </w:r>
      <w:r>
        <w:rPr>
          <w:rtl w:val="true"/>
        </w:rPr>
        <w:t xml:space="preserve">, </w:t>
      </w:r>
      <w:r>
        <w:rPr>
          <w:rtl w:val="true"/>
        </w:rPr>
        <w:t>באופן המצדיק חריגה לקולא ממתחם הענישה</w:t>
      </w:r>
      <w:r>
        <w:rPr>
          <w:rtl w:val="true"/>
        </w:rPr>
        <w:t xml:space="preserve">. </w:t>
      </w:r>
      <w:r>
        <w:rPr>
          <w:rtl w:val="true"/>
        </w:rPr>
        <w:t>נטען כי מעיון בשני התסקירים שהוגשו לבית משפט קמא עולה כי ישנה התקדמות ניכרת ושיפור משמעותי במצבו של המערער</w:t>
      </w:r>
      <w:r>
        <w:rPr>
          <w:rtl w:val="true"/>
        </w:rPr>
        <w:t xml:space="preserve">, </w:t>
      </w:r>
      <w:r>
        <w:rPr>
          <w:rtl w:val="true"/>
        </w:rPr>
        <w:t xml:space="preserve">באופן העולה כדי סיכוי </w:t>
      </w:r>
      <w:r>
        <w:rPr>
          <w:rtl w:val="true"/>
        </w:rPr>
        <w:t>"</w:t>
      </w:r>
      <w:r>
        <w:rPr>
          <w:rtl w:val="true"/>
        </w:rPr>
        <w:t>ממשי לשיקום</w:t>
      </w:r>
      <w:r>
        <w:rPr>
          <w:rtl w:val="true"/>
        </w:rPr>
        <w:t xml:space="preserve">", </w:t>
      </w:r>
      <w:r>
        <w:rPr>
          <w:rtl w:val="true"/>
        </w:rPr>
        <w:t>וכן כי בית המשפט שגה משלא דחה את מתן גזר הדין ב</w:t>
      </w:r>
      <w:r>
        <w:rPr>
          <w:rtl w:val="true"/>
        </w:rPr>
        <w:t>-</w:t>
      </w:r>
      <w:r>
        <w:rPr/>
        <w:t>4</w:t>
      </w:r>
      <w:r>
        <w:rPr>
          <w:rtl w:val="true"/>
        </w:rPr>
        <w:t xml:space="preserve"> </w:t>
      </w:r>
      <w:r>
        <w:rPr>
          <w:rtl w:val="true"/>
        </w:rPr>
        <w:t>חודשים נוספים כדי לאפשר למערער להמשיך בהליך הטיפולי בו הוא משולב</w:t>
      </w:r>
      <w:r>
        <w:rPr>
          <w:rtl w:val="true"/>
        </w:rPr>
        <w:t xml:space="preserve">, </w:t>
      </w:r>
      <w:r>
        <w:rPr>
          <w:rtl w:val="true"/>
        </w:rPr>
        <w:t>כפי שהמליץ שירות המבחן בעניין</w:t>
      </w:r>
      <w:r>
        <w:rPr>
          <w:rtl w:val="true"/>
        </w:rPr>
        <w:t xml:space="preserve">. </w:t>
      </w:r>
      <w:r>
        <w:rPr>
          <w:rtl w:val="true"/>
        </w:rPr>
        <w:t>עוד נטען בהקשר זה כי שילובו של המערער בהליך טיפולי ייעודי לעברייני מין בבית הסוהר אינו ישים בשים לב למשך תקופת המאסר הקצרה יחסית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עוד טוען המערער כי היה מקום להעדיף שיקולי שיקום בנסיבות העניין בשל נסיבותיו האישיות</w:t>
      </w:r>
      <w:r>
        <w:rPr>
          <w:rtl w:val="true"/>
        </w:rPr>
        <w:t xml:space="preserve">, </w:t>
      </w:r>
      <w:r>
        <w:rPr>
          <w:rtl w:val="true"/>
        </w:rPr>
        <w:t>ובכללן</w:t>
      </w:r>
      <w:r>
        <w:rPr>
          <w:rtl w:val="true"/>
        </w:rPr>
        <w:t xml:space="preserve">: </w:t>
      </w:r>
      <w:r>
        <w:rPr>
          <w:rtl w:val="true"/>
        </w:rPr>
        <w:t>מצבו הרפואי</w:t>
      </w:r>
      <w:r>
        <w:rPr>
          <w:rtl w:val="true"/>
        </w:rPr>
        <w:t xml:space="preserve">; </w:t>
      </w:r>
      <w:r>
        <w:rPr>
          <w:rtl w:val="true"/>
        </w:rPr>
        <w:t>גילו</w:t>
      </w:r>
      <w:r>
        <w:rPr>
          <w:rtl w:val="true"/>
        </w:rPr>
        <w:t xml:space="preserve">; </w:t>
      </w:r>
      <w:r>
        <w:rPr>
          <w:rtl w:val="true"/>
        </w:rPr>
        <w:t>חלוף הזמן מאז ביצוע העבירות</w:t>
      </w:r>
      <w:r>
        <w:rPr>
          <w:rtl w:val="true"/>
        </w:rPr>
        <w:t xml:space="preserve">; </w:t>
      </w:r>
      <w:r>
        <w:rPr>
          <w:rtl w:val="true"/>
        </w:rPr>
        <w:t>נטילת האחריות על ידו</w:t>
      </w:r>
      <w:r>
        <w:rPr>
          <w:rtl w:val="true"/>
        </w:rPr>
        <w:t xml:space="preserve">; </w:t>
      </w:r>
      <w:r>
        <w:rPr>
          <w:rtl w:val="true"/>
        </w:rPr>
        <w:t>הפקדת הפיצוי למתלונן</w:t>
      </w:r>
      <w:r>
        <w:rPr>
          <w:rtl w:val="true"/>
        </w:rPr>
        <w:t xml:space="preserve">; </w:t>
      </w:r>
      <w:r>
        <w:rPr>
          <w:rtl w:val="true"/>
        </w:rPr>
        <w:t>ונכונותו להשתלב בהליך טיפולי מיוזמתו עובר להליך הפלילי תוך שהוא נוטל תרופות מרצונו להפחתת הדחף המיני</w:t>
      </w:r>
      <w:r>
        <w:rPr>
          <w:rtl w:val="true"/>
        </w:rPr>
        <w:t xml:space="preserve">. </w:t>
      </w:r>
      <w:r>
        <w:rPr>
          <w:rtl w:val="true"/>
        </w:rPr>
        <w:t>עוד טוען המערער כי העונש שנגזר עליו מחמיר עמו יתר על המידה</w:t>
      </w:r>
      <w:r>
        <w:rPr>
          <w:rtl w:val="true"/>
        </w:rPr>
        <w:t xml:space="preserve">, </w:t>
      </w:r>
      <w:r>
        <w:rPr>
          <w:rtl w:val="true"/>
        </w:rPr>
        <w:t>אף בהשוואה למקרים דומים</w:t>
      </w:r>
      <w:r>
        <w:rPr>
          <w:rtl w:val="true"/>
        </w:rPr>
        <w:t xml:space="preserve">, </w:t>
      </w:r>
      <w:r>
        <w:rPr>
          <w:rtl w:val="true"/>
        </w:rPr>
        <w:t>וכי הוא אינו מתחשב בנסיבותיו האישיות המורכבות</w:t>
      </w:r>
      <w:r>
        <w:rPr>
          <w:rtl w:val="true"/>
        </w:rPr>
        <w:t xml:space="preserve">. </w:t>
      </w:r>
      <w:r>
        <w:rPr>
          <w:rtl w:val="true"/>
        </w:rPr>
        <w:t>עוד טוען המערער כי בגין התיק המצורף היה מקום לגזור עונש מאסר שירוצה על דרך של עבודות שירות</w:t>
      </w:r>
      <w:r>
        <w:rPr>
          <w:rtl w:val="true"/>
        </w:rPr>
        <w:t xml:space="preserve">, </w:t>
      </w:r>
      <w:r>
        <w:rPr>
          <w:rtl w:val="true"/>
        </w:rPr>
        <w:t>שכן המערער לא הבין שביצע עבירות אלו ואת הפסול שבהן</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לפיכך</w:t>
      </w:r>
      <w:r>
        <w:rPr>
          <w:rFonts w:cs="Century" w:ascii="Century" w:hAnsi="Century"/>
          <w:rtl w:val="true"/>
        </w:rPr>
        <w:t xml:space="preserve">, </w:t>
      </w:r>
      <w:r>
        <w:rPr>
          <w:rFonts w:ascii="Century" w:hAnsi="Century" w:cs="Century"/>
          <w:rtl w:val="true"/>
        </w:rPr>
        <w:t>על מנת שיוכל להמשיך בהליך הטיפולי</w:t>
      </w:r>
      <w:r>
        <w:rPr>
          <w:rFonts w:cs="Century" w:ascii="Century" w:hAnsi="Century"/>
          <w:rtl w:val="true"/>
        </w:rPr>
        <w:t xml:space="preserve">, </w:t>
      </w:r>
      <w:r>
        <w:rPr>
          <w:rFonts w:ascii="Century" w:hAnsi="Century" w:cs="Century"/>
          <w:rtl w:val="true"/>
        </w:rPr>
        <w:t>עותר המערער להקלה בעונש המאסר שנגזר עליו כך שזה ירוצה על דרך של עבודות שירות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ב</w:t>
      </w:r>
      <w:r>
        <w:rPr>
          <w:rtl w:val="true"/>
        </w:rPr>
        <w:t>"</w:t>
      </w:r>
      <w:r>
        <w:rPr>
          <w:rtl w:val="true"/>
        </w:rPr>
        <w:t>כ המשיבה טענה מנגד כי אין מקום להתערבות בגזר הדין נוכח הנסיבות החמורות של ביצוע העבירה</w:t>
      </w:r>
      <w:r>
        <w:rPr>
          <w:rtl w:val="true"/>
        </w:rPr>
        <w:t xml:space="preserve">, </w:t>
      </w:r>
      <w:r>
        <w:rPr>
          <w:rtl w:val="true"/>
        </w:rPr>
        <w:t xml:space="preserve">תוך שימת דגש על ניצול האמון שנתן המתלונן במערער שפיתה אותו להגיע לביתו על מנת לראות טלוויזיה </w:t>
      </w:r>
      <w:r>
        <w:rPr>
          <w:rtl w:val="true"/>
        </w:rPr>
        <w:t>–</w:t>
      </w:r>
      <w:r>
        <w:rPr>
          <w:rtl w:val="true"/>
        </w:rPr>
        <w:t xml:space="preserve"> ואז ביצע בו המערער את המעשים החמורים</w:t>
      </w:r>
      <w:r>
        <w:rPr>
          <w:rtl w:val="true"/>
        </w:rPr>
        <w:t xml:space="preserve">. </w:t>
      </w:r>
      <w:r>
        <w:rPr>
          <w:rtl w:val="true"/>
        </w:rPr>
        <w:t>עוד נטען כי מהערכת המסוכנות העדכנית עולה כי חרף הטיפול אותו עובר המערער</w:t>
      </w:r>
      <w:r>
        <w:rPr>
          <w:rtl w:val="true"/>
        </w:rPr>
        <w:t xml:space="preserve">, </w:t>
      </w:r>
      <w:r>
        <w:rPr>
          <w:rtl w:val="true"/>
        </w:rPr>
        <w:t>הרי שמסוכנותו המינית עודנה גבוהה</w:t>
      </w:r>
      <w:r>
        <w:rPr>
          <w:rtl w:val="true"/>
        </w:rPr>
        <w:t xml:space="preserve">, </w:t>
      </w:r>
      <w:r>
        <w:rPr>
          <w:rtl w:val="true"/>
        </w:rPr>
        <w:t>וכי סיכויי השיקום אינם ממשיים באופן המצדיק הקלה בעונש</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hanging="0" w:start="0" w:end="0"/>
        <w:jc w:val="both"/>
        <w:rPr/>
      </w:pPr>
      <w:r>
        <w:rPr>
          <w:rtl w:val="true"/>
        </w:rPr>
        <w:t>לאחר ששמעתי את טענות הצדדים</w:t>
      </w:r>
      <w:r>
        <w:rPr>
          <w:rtl w:val="true"/>
        </w:rPr>
        <w:t xml:space="preserve">, </w:t>
      </w:r>
      <w:r>
        <w:rPr>
          <w:rtl w:val="true"/>
        </w:rPr>
        <w:t>עיינתי בנימוקי הערעור וקראתי בעיון את גזר דינו של בית משפט קמא</w:t>
      </w:r>
      <w:r>
        <w:rPr>
          <w:rtl w:val="true"/>
        </w:rPr>
        <w:t xml:space="preserve">, </w:t>
      </w:r>
      <w:r>
        <w:rPr>
          <w:rtl w:val="true"/>
        </w:rPr>
        <w:t>וכן את חוות הדעת של המרכז להערכת מסוכנות ואת תסקיר שירות המבחן שהוגשו לקראת הדיון בערעור</w:t>
      </w:r>
      <w:r>
        <w:rPr>
          <w:rtl w:val="true"/>
        </w:rPr>
        <w:t xml:space="preserve">, </w:t>
      </w:r>
      <w:r>
        <w:rPr>
          <w:rtl w:val="true"/>
        </w:rPr>
        <w:t>הגעתי לכלל מסקנה כי דין הערעור להידחות</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ab/>
      </w:r>
      <w:r>
        <w:rPr>
          <w:rtl w:val="true"/>
        </w:rPr>
        <w:t>כלל ידוע הוא</w:t>
      </w:r>
      <w:r>
        <w:rPr>
          <w:rtl w:val="true"/>
        </w:rPr>
        <w:t xml:space="preserve">, </w:t>
      </w:r>
      <w:r>
        <w:rPr>
          <w:rtl w:val="true"/>
        </w:rPr>
        <w:t xml:space="preserve">כי ערכאת הערעור אינה נוטה להתערב בגזר דינה של הערכאה הדיונית אלא במקרים חריגים שבהם נפלה טעות מהותית בגזר הדין או מקום שהעונש שנגזר על ידה חורג באופן קיצוני ממדיניות הענישה הנוהגת או הראויה </w:t>
      </w:r>
      <w:r>
        <w:rPr>
          <w:rtl w:val="true"/>
        </w:rPr>
        <w:t>(</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217/13</w:t>
        </w:r>
        <w:r>
          <w:rPr>
            <w:rStyle w:val="Hyperlink"/>
            <w:color w:val="0000FF"/>
            <w:u w:val="single"/>
            <w:rtl w:val="true"/>
          </w:rPr>
          <w:t xml:space="preserve"> </w:t>
        </w:r>
      </w:hyperlink>
      <w:r>
        <w:rPr>
          <w:rtl w:val="true"/>
        </w:rPr>
        <w:t xml:space="preserve"> </w:t>
      </w:r>
      <w:r>
        <w:rPr>
          <w:rFonts w:cs="Miriam"/>
          <w:b/>
          <w:b/>
          <w:spacing w:val="0"/>
          <w:sz w:val="22"/>
          <w:sz w:val="22"/>
          <w:szCs w:val="24"/>
          <w:rtl w:val="true"/>
        </w:rPr>
        <w:t>אלמוני</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13.11.2013</w:t>
      </w:r>
      <w:r>
        <w:rPr>
          <w:rtl w:val="true"/>
        </w:rPr>
        <w:t xml:space="preserve">); </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3259/15</w:t>
        </w:r>
      </w:hyperlink>
      <w:r>
        <w:rPr>
          <w:rtl w:val="true"/>
        </w:rPr>
        <w:t xml:space="preserve"> </w:t>
      </w:r>
      <w:r>
        <w:rPr>
          <w:rFonts w:cs="Miriam"/>
          <w:b/>
          <w:b/>
          <w:spacing w:val="0"/>
          <w:sz w:val="22"/>
          <w:sz w:val="22"/>
          <w:szCs w:val="24"/>
          <w:rtl w:val="true"/>
        </w:rPr>
        <w:t>ברק</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30.3.2016</w:t>
      </w:r>
      <w:r>
        <w:rPr>
          <w:rtl w:val="true"/>
        </w:rPr>
        <w:t xml:space="preserve">)). </w:t>
      </w:r>
      <w:r>
        <w:rPr>
          <w:rtl w:val="true"/>
        </w:rPr>
        <w:t>מעבר לכך</w:t>
      </w:r>
      <w:r>
        <w:rPr>
          <w:rtl w:val="true"/>
        </w:rPr>
        <w:t xml:space="preserve">, </w:t>
      </w:r>
      <w:r>
        <w:rPr>
          <w:rtl w:val="true"/>
        </w:rPr>
        <w:t>נודעת חומרה יתרה בביצוע עבירות מין בקטינים</w:t>
      </w:r>
      <w:r>
        <w:rPr>
          <w:rtl w:val="true"/>
        </w:rPr>
        <w:t xml:space="preserve">, </w:t>
      </w:r>
      <w:r>
        <w:rPr>
          <w:rtl w:val="true"/>
        </w:rPr>
        <w:t>אשר מבוצעות</w:t>
      </w:r>
      <w:r>
        <w:rPr>
          <w:rtl w:val="true"/>
        </w:rPr>
        <w:t xml:space="preserve">, </w:t>
      </w:r>
      <w:r>
        <w:rPr>
          <w:rtl w:val="true"/>
        </w:rPr>
        <w:t>דרך כלל</w:t>
      </w:r>
      <w:r>
        <w:rPr>
          <w:rtl w:val="true"/>
        </w:rPr>
        <w:t xml:space="preserve">, </w:t>
      </w:r>
      <w:r>
        <w:rPr>
          <w:rtl w:val="true"/>
        </w:rPr>
        <w:t xml:space="preserve">תוך ניצול תמימותם </w:t>
      </w:r>
      <w:r>
        <w:rPr>
          <w:rtl w:val="true"/>
        </w:rPr>
        <w:t>(</w:t>
      </w:r>
      <w:hyperlink r:id="rId16">
        <w:bookmarkStart w:id="11" w:name="Text1"/>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5795/16</w:t>
        </w:r>
      </w:hyperlink>
      <w:r>
        <w:rPr>
          <w:rFonts w:cs="FrankRuehl" w:ascii="FrankRuehl" w:hAnsi="FrankRuehl"/>
          <w:color w:val="000000"/>
          <w:sz w:val="28"/>
          <w:rtl w:val="true"/>
        </w:rPr>
        <w:t xml:space="preserve"> </w:t>
      </w:r>
      <w:r>
        <w:rPr>
          <w:rFonts w:ascii="FrankRuehl" w:hAnsi="FrankRuehl" w:cs="Miriam"/>
          <w:color w:val="000000"/>
          <w:szCs w:val="24"/>
          <w:rtl w:val="true"/>
        </w:rPr>
        <w:t>פלוני</w:t>
      </w:r>
      <w:r>
        <w:rPr>
          <w:rFonts w:ascii="FrankRuehl" w:hAnsi="FrankRuehl" w:eastAsia="FrankRuehl" w:cs="FrankRuehl"/>
          <w:color w:val="000000"/>
          <w:szCs w:val="24"/>
          <w:rtl w:val="true"/>
        </w:rPr>
        <w:t xml:space="preserve"> </w:t>
      </w:r>
      <w:r>
        <w:rPr>
          <w:rFonts w:ascii="FrankRuehl" w:hAnsi="FrankRuehl" w:cs="Miriam"/>
          <w:color w:val="000000"/>
          <w:szCs w:val="24"/>
          <w:rtl w:val="true"/>
        </w:rPr>
        <w:t>נ</w:t>
      </w:r>
      <w:r>
        <w:rPr>
          <w:rFonts w:cs="Miriam" w:ascii="FrankRuehl" w:hAnsi="FrankRuehl"/>
          <w:color w:val="000000"/>
          <w:szCs w:val="24"/>
          <w:rtl w:val="true"/>
        </w:rPr>
        <w:t xml:space="preserve">' </w:t>
      </w:r>
      <w:r>
        <w:rPr>
          <w:rFonts w:ascii="FrankRuehl" w:hAnsi="FrankRuehl" w:cs="Miriam"/>
          <w:color w:val="000000"/>
          <w:szCs w:val="24"/>
          <w:rtl w:val="true"/>
        </w:rPr>
        <w:t>מדינת</w:t>
      </w:r>
      <w:r>
        <w:rPr>
          <w:rFonts w:ascii="FrankRuehl" w:hAnsi="FrankRuehl" w:eastAsia="FrankRuehl" w:cs="FrankRuehl"/>
          <w:color w:val="000000"/>
          <w:szCs w:val="24"/>
          <w:rtl w:val="true"/>
        </w:rPr>
        <w:t xml:space="preserve"> </w:t>
      </w:r>
      <w:r>
        <w:rPr>
          <w:rFonts w:ascii="FrankRuehl" w:hAnsi="FrankRuehl" w:cs="Miriam"/>
          <w:color w:val="000000"/>
          <w:szCs w:val="24"/>
          <w:rtl w:val="true"/>
        </w:rPr>
        <w:t>ישראל</w:t>
      </w:r>
      <w:bookmarkEnd w:id="11"/>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10</w:t>
      </w:r>
      <w:r>
        <w:rPr>
          <w:rtl w:val="true"/>
        </w:rPr>
        <w:t xml:space="preserve"> (</w:t>
      </w:r>
      <w:r>
        <w:rPr/>
        <w:t>15.1.2018</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10626/07</w:t>
        </w:r>
      </w:hyperlink>
      <w:r>
        <w:rPr>
          <w:rtl w:val="true"/>
        </w:rPr>
        <w:t xml:space="preserve"> </w:t>
      </w:r>
      <w:r>
        <w:rPr>
          <w:rFonts w:ascii="Century" w:hAnsi="Century" w:cs="Miriam"/>
          <w:b/>
          <w:b/>
          <w:spacing w:val="0"/>
          <w:sz w:val="22"/>
          <w:sz w:val="22"/>
          <w:szCs w:val="24"/>
          <w:rtl w:val="true"/>
        </w:rPr>
        <w:t>אדרי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w:t>
      </w:r>
      <w:r>
        <w:rPr>
          <w:rtl w:val="true"/>
        </w:rPr>
        <w:t xml:space="preserve"> (</w:t>
      </w:r>
      <w:r>
        <w:rPr/>
        <w:t>24.1.2011</w:t>
      </w:r>
      <w:r>
        <w:rPr>
          <w:rtl w:val="true"/>
        </w:rPr>
        <w:t xml:space="preserve">)). </w:t>
      </w:r>
      <w:r>
        <w:rPr>
          <w:rtl w:val="true"/>
        </w:rPr>
        <w:t>כך</w:t>
      </w:r>
      <w:r>
        <w:rPr>
          <w:rtl w:val="true"/>
        </w:rPr>
        <w:t xml:space="preserve">, </w:t>
      </w:r>
      <w:r>
        <w:rPr>
          <w:rtl w:val="true"/>
        </w:rPr>
        <w:t xml:space="preserve">נקבע כי </w:t>
      </w:r>
      <w:r>
        <w:rPr>
          <w:color w:val="000000"/>
          <w:rtl w:val="true"/>
        </w:rPr>
        <w:t>ה</w:t>
      </w:r>
      <w:r>
        <w:rPr>
          <w:rFonts w:ascii="Times New Roman" w:hAnsi="Times New Roman" w:cs="Times New Roman"/>
          <w:rtl w:val="true"/>
        </w:rPr>
        <w:t>שיקולים המרכזיים בענישת עברייני מין שביצעו עבירות מין בקטינים הם שיקולי גמול והרתעה</w:t>
      </w:r>
      <w:r>
        <w:rPr>
          <w:rFonts w:cs="Times New Roman" w:ascii="Times New Roman" w:hAnsi="Times New Roman"/>
          <w:rtl w:val="true"/>
        </w:rPr>
        <w:t xml:space="preserve">, </w:t>
      </w:r>
      <w:r>
        <w:rPr>
          <w:rFonts w:ascii="Times New Roman" w:hAnsi="Times New Roman" w:cs="Times New Roman"/>
          <w:rtl w:val="true"/>
        </w:rPr>
        <w:t>הן כלפי העבריין והן כלפי עבריינים פוטנציאליים</w:t>
      </w:r>
      <w:r>
        <w:rPr>
          <w:rFonts w:cs="Times New Roman" w:ascii="Times New Roman" w:hAnsi="Times New Roman"/>
          <w:rtl w:val="true"/>
        </w:rPr>
        <w:t xml:space="preserve">, </w:t>
      </w:r>
      <w:r>
        <w:rPr>
          <w:rtl w:val="true"/>
        </w:rPr>
        <w:t xml:space="preserve">וכי על העונש לשקף את חומרת המעשים וסלידת החברה ממעשים מיניים מעוותים אלה </w:t>
      </w:r>
      <w:r>
        <w:rPr>
          <w:rtl w:val="true"/>
        </w:rPr>
        <w:t>(</w:t>
      </w:r>
      <w:r>
        <w:rPr>
          <w:rtl w:val="true"/>
        </w:rPr>
        <w:t>ראו</w:t>
      </w:r>
      <w:r>
        <w:rPr>
          <w:rtl w:val="true"/>
        </w:rPr>
        <w:t xml:space="preserve">, </w:t>
      </w:r>
      <w:r>
        <w:rPr>
          <w:rtl w:val="true"/>
        </w:rPr>
        <w:t>למשל</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6690/07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6</w:t>
      </w:r>
      <w:r>
        <w:rPr>
          <w:rtl w:val="true"/>
        </w:rPr>
        <w:t xml:space="preserve"> (</w:t>
      </w:r>
      <w:r>
        <w:rPr/>
        <w:t>10.3.2008</w:t>
      </w:r>
      <w:r>
        <w:rPr>
          <w:rtl w:val="true"/>
        </w:rPr>
        <w:t xml:space="preserve">)). </w:t>
      </w:r>
      <w:r>
        <w:rPr>
          <w:rtl w:val="true"/>
        </w:rPr>
        <w:t>המקרה דנן אינו נמנה על אותם מקרים חריגים המצדיקים התערבות בענישה</w:t>
      </w:r>
      <w:r>
        <w:rPr>
          <w:rtl w:val="true"/>
        </w:rPr>
        <w:t xml:space="preserve">. </w:t>
      </w:r>
      <w:r>
        <w:rPr>
          <w:rtl w:val="true"/>
        </w:rPr>
        <w:t>טיעוני המערער שהונחו לפנינו</w:t>
      </w:r>
      <w:r>
        <w:rPr>
          <w:rtl w:val="true"/>
        </w:rPr>
        <w:t xml:space="preserve">, </w:t>
      </w:r>
      <w:r>
        <w:rPr>
          <w:rtl w:val="true"/>
        </w:rPr>
        <w:t>זהים במהותם לטיעונים שהציג לפני בית משפט קמא</w:t>
      </w:r>
      <w:r>
        <w:rPr>
          <w:rtl w:val="true"/>
        </w:rPr>
        <w:t xml:space="preserve">. </w:t>
      </w:r>
      <w:r>
        <w:rPr>
          <w:rtl w:val="true"/>
        </w:rPr>
        <w:t>בית משפט קמא התחשב בכלל השיקולים הרלוונטיים ושיקלל אותם בצורה נכונה ומדודה במסגרת העונש שגזר על המערער</w:t>
      </w:r>
      <w:r>
        <w:rPr>
          <w:rtl w:val="true"/>
        </w:rPr>
        <w:t xml:space="preserve">, </w:t>
      </w:r>
      <w:r>
        <w:rPr>
          <w:rtl w:val="true"/>
        </w:rPr>
        <w:t>וכידוע</w:t>
      </w:r>
      <w:r>
        <w:rPr>
          <w:rtl w:val="true"/>
        </w:rPr>
        <w:t xml:space="preserve">, </w:t>
      </w:r>
      <w:r>
        <w:rPr>
          <w:rFonts w:ascii="Century" w:hAnsi="Century" w:cs="Century"/>
          <w:sz w:val="22"/>
          <w:sz w:val="22"/>
          <w:rtl w:val="true"/>
        </w:rPr>
        <w:t>ערכאת הערעור אינה גוזרת מחדש את דינו של המערער</w:t>
      </w:r>
      <w:r>
        <w:rPr>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32/14</w:t>
        </w:r>
      </w:hyperlink>
      <w:r>
        <w:rPr>
          <w:rtl w:val="true"/>
        </w:rPr>
        <w:t xml:space="preserve"> </w:t>
      </w:r>
      <w:r>
        <w:rPr>
          <w:rFonts w:ascii="Century" w:hAnsi="Century" w:cs="Miriam"/>
          <w:b/>
          <w:b/>
          <w:spacing w:val="0"/>
          <w:sz w:val="22"/>
          <w:sz w:val="22"/>
          <w:szCs w:val="24"/>
          <w:rtl w:val="true"/>
        </w:rPr>
        <w:t>עמאש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17</w:t>
      </w:r>
      <w:r>
        <w:rPr>
          <w:rtl w:val="true"/>
        </w:rPr>
        <w:t xml:space="preserve"> (</w:t>
      </w:r>
      <w:r>
        <w:rPr/>
        <w:t>17.9.2015</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בענייננו</w:t>
      </w:r>
      <w:r>
        <w:rPr>
          <w:rtl w:val="true"/>
        </w:rPr>
        <w:t xml:space="preserve">, </w:t>
      </w:r>
      <w:r>
        <w:rPr>
          <w:rtl w:val="true"/>
        </w:rPr>
        <w:t>חרף העובדה שהעונש שנגזר על המערער איננו מן הקלים</w:t>
      </w:r>
      <w:r>
        <w:rPr>
          <w:rtl w:val="true"/>
        </w:rPr>
        <w:t xml:space="preserve">, </w:t>
      </w:r>
      <w:r>
        <w:rPr>
          <w:rtl w:val="true"/>
        </w:rPr>
        <w:t xml:space="preserve">הרי שאין מדובר בחריגה המחייבת את התערבותה של ערכאת הערעור </w:t>
      </w:r>
      <w:r>
        <w:rPr>
          <w:rtl w:val="true"/>
        </w:rPr>
        <w:t>(</w:t>
      </w:r>
      <w:r>
        <w:rPr>
          <w:rtl w:val="true"/>
        </w:rPr>
        <w:t>ראו</w:t>
      </w:r>
      <w:r>
        <w:rPr>
          <w:rtl w:val="true"/>
        </w:rPr>
        <w:t xml:space="preserve">, </w:t>
      </w:r>
      <w:r>
        <w:rPr>
          <w:rtl w:val="true"/>
        </w:rPr>
        <w:t>והשוו</w:t>
      </w:r>
      <w:r>
        <w:rPr>
          <w:rtl w:val="true"/>
        </w:rPr>
        <w:t xml:space="preserve">: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3227/10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24.1.2011</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3659/13</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24.3.2014</w:t>
      </w:r>
      <w:r>
        <w:rPr>
          <w:rtl w:val="true"/>
        </w:rPr>
        <w:t xml:space="preserve">)). </w:t>
      </w:r>
      <w:r>
        <w:rPr>
          <w:rtl w:val="true"/>
        </w:rPr>
        <w:t>בית משפט קמא גזר את עונשו של המערער במרכז מתחם הענישה</w:t>
      </w:r>
      <w:r>
        <w:rPr>
          <w:rtl w:val="true"/>
        </w:rPr>
        <w:t xml:space="preserve">, </w:t>
      </w:r>
      <w:r>
        <w:rPr>
          <w:rtl w:val="true"/>
        </w:rPr>
        <w:t>עליו הוסכם בין הצדדים</w:t>
      </w:r>
      <w:r>
        <w:rPr>
          <w:rtl w:val="true"/>
        </w:rPr>
        <w:t xml:space="preserve">, </w:t>
      </w:r>
      <w:r>
        <w:rPr>
          <w:rtl w:val="true"/>
        </w:rPr>
        <w:t>ובהינתן עברו הפלילי הרלוונטי של המערער</w:t>
      </w:r>
      <w:r>
        <w:rPr>
          <w:rtl w:val="true"/>
        </w:rPr>
        <w:t xml:space="preserve">, </w:t>
      </w:r>
      <w:r>
        <w:rPr>
          <w:rtl w:val="true"/>
        </w:rPr>
        <w:t>שהורשע במספר עבירות מאותו סוג שבגינן אף נדון לאחרונה ל</w:t>
      </w:r>
      <w:r>
        <w:rPr>
          <w:rtl w:val="true"/>
        </w:rPr>
        <w:t>-</w:t>
      </w:r>
      <w:r>
        <w:rPr/>
        <w:t>30</w:t>
      </w:r>
      <w:r>
        <w:rPr>
          <w:rtl w:val="true"/>
        </w:rPr>
        <w:t xml:space="preserve"> </w:t>
      </w:r>
      <w:r>
        <w:rPr>
          <w:rtl w:val="true"/>
        </w:rPr>
        <w:t>חודשי מאסר</w:t>
      </w:r>
      <w:r>
        <w:rPr>
          <w:rtl w:val="true"/>
        </w:rPr>
        <w:t xml:space="preserve">, </w:t>
      </w:r>
      <w:r>
        <w:rPr>
          <w:rtl w:val="true"/>
        </w:rPr>
        <w:t xml:space="preserve">העונש שהוטל הולם ואינו סוטה לחומרה </w:t>
      </w:r>
      <w:r>
        <w:rPr>
          <w:rtl w:val="true"/>
        </w:rPr>
        <w:t>–</w:t>
      </w:r>
      <w:r>
        <w:rPr>
          <w:rtl w:val="true"/>
        </w:rPr>
        <w:t xml:space="preserve"> נהפוך הוא</w:t>
      </w:r>
      <w:r>
        <w:rPr>
          <w:rtl w:val="true"/>
        </w:rPr>
        <w:t xml:space="preserve">. </w:t>
      </w:r>
      <w:r>
        <w:rPr>
          <w:rtl w:val="true"/>
        </w:rPr>
        <w:t>המערער מיקד את טיעוניו בסיכויי שיקומו ובהליך הטיפולי אותו החל</w:t>
      </w:r>
      <w:r>
        <w:rPr>
          <w:rtl w:val="true"/>
        </w:rPr>
        <w:t xml:space="preserve">. </w:t>
      </w:r>
      <w:r>
        <w:rPr>
          <w:rtl w:val="true"/>
        </w:rPr>
        <w:t>ואכן</w:t>
      </w:r>
      <w:r>
        <w:rPr>
          <w:rtl w:val="true"/>
        </w:rPr>
        <w:t xml:space="preserve">, </w:t>
      </w:r>
      <w:r>
        <w:rPr>
          <w:rtl w:val="true"/>
        </w:rPr>
        <w:t>דומה כי המערער מודע לבעיותיו ועושה מאמצים כדי להתגבר עליהן</w:t>
      </w:r>
      <w:r>
        <w:rPr>
          <w:rtl w:val="true"/>
        </w:rPr>
        <w:t xml:space="preserve">, </w:t>
      </w:r>
      <w:r>
        <w:rPr>
          <w:rtl w:val="true"/>
        </w:rPr>
        <w:t>אך סבורני כי אין די באלה כדי להצדיק הקלה נוספת בעונשו</w:t>
      </w:r>
      <w:r>
        <w:rPr>
          <w:rtl w:val="true"/>
        </w:rPr>
        <w:t xml:space="preserve">. </w:t>
      </w:r>
      <w:r>
        <w:rPr>
          <w:rtl w:val="true"/>
        </w:rPr>
        <w:t>עיון בתסקיר המשלים שהוגש בעניינו של המערער לקראת הדיון בערעור כמו גם בחוות דעת מהמרכז להערכת מסוכנות עולה כי המערער מצוי עדיין בעיצומו של התהליך</w:t>
      </w:r>
      <w:r>
        <w:rPr>
          <w:rtl w:val="true"/>
        </w:rPr>
        <w:t xml:space="preserve">, </w:t>
      </w:r>
      <w:r>
        <w:rPr>
          <w:rtl w:val="true"/>
        </w:rPr>
        <w:t>וכי הדרך לפניו עוד ארוכה</w:t>
      </w:r>
      <w:r>
        <w:rPr>
          <w:rtl w:val="true"/>
        </w:rPr>
        <w:t xml:space="preserve">. </w:t>
      </w:r>
      <w:r>
        <w:rPr>
          <w:rtl w:val="true"/>
        </w:rPr>
        <w:t>כך</w:t>
      </w:r>
      <w:r>
        <w:rPr>
          <w:rtl w:val="true"/>
        </w:rPr>
        <w:t xml:space="preserve">, </w:t>
      </w:r>
      <w:r>
        <w:rPr>
          <w:rtl w:val="true"/>
        </w:rPr>
        <w:t>מחוות הדעת מהמרכז להערכת מסוכנות עולה כי המערער ממשיך להחזיק בעיוותי חשיבה</w:t>
      </w:r>
      <w:r>
        <w:rPr>
          <w:rtl w:val="true"/>
        </w:rPr>
        <w:t xml:space="preserve">, </w:t>
      </w:r>
      <w:r>
        <w:rPr>
          <w:rtl w:val="true"/>
        </w:rPr>
        <w:t>נוקשות חשיבתית ויכולת מוגבלת בגילוי אמפתיה</w:t>
      </w:r>
      <w:r>
        <w:rPr>
          <w:rtl w:val="true"/>
        </w:rPr>
        <w:t xml:space="preserve">, </w:t>
      </w:r>
      <w:r>
        <w:rPr>
          <w:rtl w:val="true"/>
        </w:rPr>
        <w:t>וכי חרף העובדה שהוא נוטל תרופות להפחתת הדחף המיני</w:t>
      </w:r>
      <w:r>
        <w:rPr>
          <w:rtl w:val="true"/>
        </w:rPr>
        <w:t xml:space="preserve">, </w:t>
      </w:r>
      <w:r>
        <w:rPr>
          <w:rtl w:val="true"/>
        </w:rPr>
        <w:t>הטיפול אינו מפחית מרמת מסוכנותו המינית שהוערכה כגבוהה</w:t>
      </w:r>
      <w:r>
        <w:rPr>
          <w:rtl w:val="true"/>
        </w:rPr>
        <w:t xml:space="preserve">. </w:t>
      </w:r>
      <w:r>
        <w:rPr>
          <w:rtl w:val="true"/>
        </w:rPr>
        <w:t>עוד עולה כי בשל מאפייני הסטייה</w:t>
      </w:r>
      <w:r>
        <w:rPr>
          <w:rtl w:val="true"/>
        </w:rPr>
        <w:t xml:space="preserve">, </w:t>
      </w:r>
      <w:r>
        <w:rPr>
          <w:rtl w:val="true"/>
        </w:rPr>
        <w:t>האישיות וההתנהגות של המערער</w:t>
      </w:r>
      <w:r>
        <w:rPr>
          <w:rtl w:val="true"/>
        </w:rPr>
        <w:t xml:space="preserve">, </w:t>
      </w:r>
      <w:r>
        <w:rPr>
          <w:rtl w:val="true"/>
        </w:rPr>
        <w:t>נדרשת עוד עבודה טיפולית ממושכת כדי להביא לשינוי ממשי במצבו</w:t>
      </w:r>
      <w:r>
        <w:rPr>
          <w:rtl w:val="true"/>
        </w:rPr>
        <w:t xml:space="preserve">. </w:t>
      </w:r>
      <w:r>
        <w:rPr>
          <w:rtl w:val="true"/>
        </w:rPr>
        <w:t>מהתסקיר המשלים עולה כי התקדמותו של המערער הדרגתית ואיטית בשל מאפייניו האישיותיים וההתנהגותיים</w:t>
      </w:r>
      <w:r>
        <w:rPr>
          <w:rtl w:val="true"/>
        </w:rPr>
        <w:t xml:space="preserve">, </w:t>
      </w:r>
      <w:r>
        <w:rPr>
          <w:rtl w:val="true"/>
        </w:rPr>
        <w:t>וכי הטיפול בעניינו עשוי להימשך עוד תקופת זמן ממושכת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מכל מקום</w:t>
      </w:r>
      <w:r>
        <w:rPr>
          <w:rtl w:val="true"/>
        </w:rPr>
        <w:t xml:space="preserve">, </w:t>
      </w:r>
      <w:r>
        <w:rPr>
          <w:rtl w:val="true"/>
        </w:rPr>
        <w:t>שיקולי השיקום אינם בלעדיים</w:t>
      </w:r>
      <w:r>
        <w:rPr>
          <w:rtl w:val="true"/>
        </w:rPr>
        <w:t xml:space="preserve">, </w:t>
      </w:r>
      <w:r>
        <w:rPr>
          <w:rtl w:val="true"/>
        </w:rPr>
        <w:t>ויש לאזנם אל מול יתר שיקולי הענישה הרלוונטיים</w:t>
      </w:r>
      <w:r>
        <w:rPr>
          <w:rtl w:val="true"/>
        </w:rPr>
        <w:t xml:space="preserve">, </w:t>
      </w:r>
      <w:r>
        <w:rPr>
          <w:rtl w:val="true"/>
        </w:rPr>
        <w:t>לרבות גמול</w:t>
      </w:r>
      <w:r>
        <w:rPr>
          <w:rtl w:val="true"/>
        </w:rPr>
        <w:t xml:space="preserve">, </w:t>
      </w:r>
      <w:r>
        <w:rPr>
          <w:rtl w:val="true"/>
        </w:rPr>
        <w:t>הרתעה והנזק שנגרם לנפגע העבירה</w:t>
      </w:r>
      <w:r>
        <w:rPr>
          <w:rtl w:val="true"/>
        </w:rPr>
        <w:t xml:space="preserve">. </w:t>
      </w:r>
      <w:r>
        <w:rPr>
          <w:rtl w:val="true"/>
        </w:rPr>
        <w:t>התחשבות בשיקולים אלו אף מחזקת את דעתי כי אין מקום להקל בעונשו של המערער מעבר להקלה לה זכה בבית משפט קמא</w:t>
      </w:r>
      <w:r>
        <w:rPr>
          <w:rtl w:val="true"/>
        </w:rPr>
        <w:t xml:space="preserve">. </w:t>
      </w:r>
      <w:r>
        <w:rPr>
          <w:rtl w:val="true"/>
        </w:rPr>
        <w:t>כך</w:t>
      </w:r>
      <w:r>
        <w:rPr>
          <w:rtl w:val="true"/>
        </w:rPr>
        <w:t xml:space="preserve">, </w:t>
      </w:r>
      <w:r>
        <w:rPr>
          <w:rtl w:val="true"/>
        </w:rPr>
        <w:t>יש לתת את הדעת לחומרת מעשי המערער ולנסיבות ביצוען</w:t>
      </w:r>
      <w:r>
        <w:rPr>
          <w:rtl w:val="true"/>
        </w:rPr>
        <w:t xml:space="preserve">. </w:t>
      </w:r>
      <w:r>
        <w:rPr>
          <w:rtl w:val="true"/>
        </w:rPr>
        <w:t>המערער</w:t>
      </w:r>
      <w:r>
        <w:rPr>
          <w:rtl w:val="true"/>
        </w:rPr>
        <w:t xml:space="preserve">, </w:t>
      </w:r>
      <w:r>
        <w:rPr>
          <w:rtl w:val="true"/>
        </w:rPr>
        <w:t>שהיה מיודד עם משפחת המתלונן שפתחה את ביתה לפניו ואירחה אותו כדבר שבשגרה</w:t>
      </w:r>
      <w:r>
        <w:rPr>
          <w:rtl w:val="true"/>
        </w:rPr>
        <w:t xml:space="preserve">, </w:t>
      </w:r>
      <w:r>
        <w:rPr>
          <w:rtl w:val="true"/>
        </w:rPr>
        <w:t>ניצל את תמימותו של המתלונן ופיתה אותו שיגיע לביתו כדי לצפות בסרטים ובטלוויזיה</w:t>
      </w:r>
      <w:r>
        <w:rPr>
          <w:rtl w:val="true"/>
        </w:rPr>
        <w:t xml:space="preserve">, </w:t>
      </w:r>
      <w:r>
        <w:rPr>
          <w:rtl w:val="true"/>
        </w:rPr>
        <w:t>או אז ביצע בו ב</w:t>
      </w:r>
      <w:r>
        <w:rPr>
          <w:rtl w:val="true"/>
        </w:rPr>
        <w:t>-</w:t>
      </w:r>
      <w:r>
        <w:rPr/>
        <w:t>11</w:t>
      </w:r>
      <w:r>
        <w:rPr>
          <w:rtl w:val="true"/>
        </w:rPr>
        <w:t xml:space="preserve"> </w:t>
      </w:r>
      <w:r>
        <w:rPr>
          <w:rtl w:val="true"/>
        </w:rPr>
        <w:t>הזדמנויות שונות את המעשים החמורים</w:t>
      </w:r>
      <w:r>
        <w:rPr>
          <w:rtl w:val="true"/>
        </w:rPr>
        <w:t xml:space="preserve">. </w:t>
      </w:r>
      <w:r>
        <w:rPr>
          <w:rtl w:val="true"/>
        </w:rPr>
        <w:t>ויודגש</w:t>
      </w:r>
      <w:r>
        <w:rPr>
          <w:rtl w:val="true"/>
        </w:rPr>
        <w:t xml:space="preserve">, </w:t>
      </w:r>
      <w:r>
        <w:rPr>
          <w:rtl w:val="true"/>
        </w:rPr>
        <w:t xml:space="preserve">כי עת בוצעו המעשים האמורים המתלונן היה כבן </w:t>
      </w:r>
      <w:r>
        <w:rPr/>
        <w:t>8</w:t>
      </w:r>
      <w:r>
        <w:rPr>
          <w:rtl w:val="true"/>
        </w:rPr>
        <w:t xml:space="preserve"> </w:t>
      </w:r>
      <w:r>
        <w:rPr>
          <w:rtl w:val="true"/>
        </w:rPr>
        <w:t>שנים בלבד</w:t>
      </w:r>
      <w:r>
        <w:rPr>
          <w:rtl w:val="true"/>
        </w:rPr>
        <w:t xml:space="preserve">, </w:t>
      </w:r>
      <w:r>
        <w:rPr>
          <w:rtl w:val="true"/>
        </w:rPr>
        <w:t>כאשר המערער מבוגר ממנו ביותר מ</w:t>
      </w:r>
      <w:r>
        <w:rPr>
          <w:rtl w:val="true"/>
        </w:rPr>
        <w:t>-</w:t>
      </w:r>
      <w:r>
        <w:rPr/>
        <w:t>50</w:t>
      </w:r>
      <w:r>
        <w:rPr>
          <w:rtl w:val="true"/>
        </w:rPr>
        <w:t xml:space="preserve"> </w:t>
      </w:r>
      <w:r>
        <w:rPr>
          <w:rtl w:val="true"/>
        </w:rPr>
        <w:t>שנה</w:t>
      </w:r>
      <w:r>
        <w:rPr>
          <w:rtl w:val="true"/>
        </w:rPr>
        <w:t xml:space="preserve">. </w:t>
      </w:r>
      <w:r>
        <w:rPr>
          <w:rtl w:val="true"/>
        </w:rPr>
        <w:t>תמונת הנזק שנגרם למתלונן עקב הפגיעה בו</w:t>
      </w:r>
      <w:r>
        <w:rPr>
          <w:rtl w:val="true"/>
        </w:rPr>
        <w:t xml:space="preserve">, </w:t>
      </w:r>
      <w:r>
        <w:rPr>
          <w:rtl w:val="true"/>
        </w:rPr>
        <w:t>כעולה מתסקיר נפגע העבירה</w:t>
      </w:r>
      <w:r>
        <w:rPr>
          <w:rtl w:val="true"/>
        </w:rPr>
        <w:t xml:space="preserve">, </w:t>
      </w:r>
      <w:r>
        <w:rPr>
          <w:rtl w:val="true"/>
        </w:rPr>
        <w:t>היא קשה מאוד</w:t>
      </w:r>
      <w:r>
        <w:rPr>
          <w:rtl w:val="true"/>
        </w:rPr>
        <w:t xml:space="preserve">, </w:t>
      </w:r>
      <w:r>
        <w:rPr>
          <w:rtl w:val="true"/>
        </w:rPr>
        <w:t>ותוצאותיה ימשיכו ללוות אותו למשך תקופה ארוכה</w:t>
      </w:r>
      <w:r>
        <w:rPr>
          <w:rtl w:val="true"/>
        </w:rPr>
        <w:t xml:space="preserve">. </w:t>
      </w:r>
      <w:r>
        <w:rPr>
          <w:rtl w:val="true"/>
        </w:rPr>
        <w:t>מעשיו החמורים של המערער הסבו למתלונן נזקים קשים מנשוא</w:t>
      </w:r>
      <w:r>
        <w:rPr>
          <w:rtl w:val="true"/>
        </w:rPr>
        <w:t xml:space="preserve">, </w:t>
      </w:r>
      <w:r>
        <w:rPr>
          <w:rtl w:val="true"/>
        </w:rPr>
        <w:t>והדרך השיקומית העומדת לפניו עוד ארוכה ומורכבת</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ויוער</w:t>
      </w:r>
      <w:r>
        <w:rPr>
          <w:rtl w:val="true"/>
        </w:rPr>
        <w:t xml:space="preserve">, </w:t>
      </w:r>
      <w:r>
        <w:rPr>
          <w:rtl w:val="true"/>
        </w:rPr>
        <w:t>כי בית משפט קמא לא התעלם בגזר דינו מן השיקולים השונים לקולא עליהם הצביע המערער בערעורו</w:t>
      </w:r>
      <w:r>
        <w:rPr>
          <w:rtl w:val="true"/>
        </w:rPr>
        <w:t xml:space="preserve">, </w:t>
      </w:r>
      <w:r>
        <w:rPr>
          <w:rtl w:val="true"/>
        </w:rPr>
        <w:t xml:space="preserve">ואף סבר כי </w:t>
      </w:r>
      <w:r>
        <w:rPr>
          <w:rtl w:val="true"/>
        </w:rPr>
        <w:t>"</w:t>
      </w:r>
      <w:r>
        <w:rPr>
          <w:rFonts w:ascii="Century" w:hAnsi="Century" w:cs="Miriam"/>
          <w:b/>
          <w:b/>
          <w:spacing w:val="0"/>
          <w:sz w:val="22"/>
          <w:sz w:val="22"/>
          <w:szCs w:val="24"/>
          <w:rtl w:val="true"/>
        </w:rPr>
        <w:t>אלמלא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הייחודיות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להטיל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cs="Century" w:ascii="Century" w:hAnsi="Century"/>
          <w:sz w:val="22"/>
          <w:rtl w:val="true"/>
        </w:rPr>
        <w:t>[</w:t>
      </w:r>
      <w:r>
        <w:rPr>
          <w:rFonts w:ascii="Century" w:hAnsi="Century" w:cs="Century"/>
          <w:sz w:val="22"/>
          <w:sz w:val="22"/>
          <w:rtl w:val="true"/>
        </w:rPr>
        <w:t xml:space="preserve">המערער </w:t>
      </w:r>
      <w:r>
        <w:rPr>
          <w:rFonts w:ascii="Century" w:hAnsi="Century" w:cs="Century"/>
          <w:sz w:val="22"/>
          <w:sz w:val="22"/>
          <w:rtl w:val="true"/>
        </w:rPr>
        <w:t>–</w:t>
      </w:r>
      <w:r>
        <w:rPr>
          <w:rFonts w:ascii="Century" w:hAnsi="Century" w:cs="Century"/>
          <w:sz w:val="22"/>
          <w:sz w:val="22"/>
          <w:rtl w:val="true"/>
        </w:rPr>
        <w:t xml:space="preserve"> ג</w:t>
      </w:r>
      <w:r>
        <w:rPr>
          <w:rFonts w:cs="Century" w:ascii="Century" w:hAnsi="Century"/>
          <w:sz w:val="22"/>
          <w:rtl w:val="true"/>
        </w:rPr>
        <w:t>'.</w:t>
      </w:r>
      <w:r>
        <w:rPr>
          <w:rFonts w:ascii="Century" w:hAnsi="Century" w:cs="Century"/>
          <w:sz w:val="22"/>
          <w:sz w:val="22"/>
          <w:rtl w:val="true"/>
        </w:rPr>
        <w:t>ק</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בפועל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משמעותי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שנים</w:t>
      </w:r>
      <w:r>
        <w:rPr>
          <w:rFonts w:cs="Miriam" w:ascii="Century" w:hAnsi="Century"/>
          <w:b/>
          <w:spacing w:val="0"/>
          <w:sz w:val="22"/>
          <w:szCs w:val="24"/>
          <w:rtl w:val="true"/>
        </w:rPr>
        <w:t>).</w:t>
      </w:r>
      <w:r>
        <w:rPr>
          <w:rtl w:val="true"/>
        </w:rPr>
        <w:t xml:space="preserve">" </w:t>
      </w:r>
      <w:r>
        <w:rPr>
          <w:rtl w:val="true"/>
        </w:rPr>
        <w:t>כך</w:t>
      </w:r>
      <w:r>
        <w:rPr>
          <w:rtl w:val="true"/>
        </w:rPr>
        <w:t xml:space="preserve">, </w:t>
      </w:r>
      <w:r>
        <w:rPr>
          <w:rtl w:val="true"/>
        </w:rPr>
        <w:t>התחשב בית משפט קמא בכך שהמערער הודה ושהודייתו ייתרה את עדות המתלונן</w:t>
      </w:r>
      <w:r>
        <w:rPr>
          <w:rtl w:val="true"/>
        </w:rPr>
        <w:t xml:space="preserve">; </w:t>
      </w:r>
      <w:r>
        <w:rPr>
          <w:rtl w:val="true"/>
        </w:rPr>
        <w:t>בגילו המבוגר</w:t>
      </w:r>
      <w:r>
        <w:rPr>
          <w:rtl w:val="true"/>
        </w:rPr>
        <w:t xml:space="preserve">; </w:t>
      </w:r>
      <w:r>
        <w:rPr>
          <w:rtl w:val="true"/>
        </w:rPr>
        <w:t>בנסיבותיו האישיות המורכבות</w:t>
      </w:r>
      <w:r>
        <w:rPr>
          <w:rtl w:val="true"/>
        </w:rPr>
        <w:t xml:space="preserve">, </w:t>
      </w:r>
      <w:r>
        <w:rPr>
          <w:rtl w:val="true"/>
        </w:rPr>
        <w:t>וביניהן בעיותיו הרפואיות</w:t>
      </w:r>
      <w:r>
        <w:rPr>
          <w:rtl w:val="true"/>
        </w:rPr>
        <w:t xml:space="preserve">; </w:t>
      </w:r>
      <w:r>
        <w:rPr>
          <w:rtl w:val="true"/>
        </w:rPr>
        <w:t>בסכום הפיצוי למתלונן שהפקיד המערער מראש בקופת בית המשפט</w:t>
      </w:r>
      <w:r>
        <w:rPr>
          <w:rtl w:val="true"/>
        </w:rPr>
        <w:t xml:space="preserve">; </w:t>
      </w:r>
      <w:r>
        <w:rPr>
          <w:rtl w:val="true"/>
        </w:rPr>
        <w:t>וכן בהליך הטיפולי המשמעותי שעבר</w:t>
      </w:r>
      <w:r>
        <w:rPr>
          <w:rtl w:val="true"/>
        </w:rPr>
        <w:t xml:space="preserve">. </w:t>
      </w:r>
      <w:r>
        <w:rPr>
          <w:rtl w:val="true"/>
        </w:rPr>
        <w:t>ואולם</w:t>
      </w:r>
      <w:r>
        <w:rPr>
          <w:rtl w:val="true"/>
        </w:rPr>
        <w:t xml:space="preserve">, </w:t>
      </w:r>
      <w:r>
        <w:rPr>
          <w:rtl w:val="true"/>
        </w:rPr>
        <w:t xml:space="preserve">בעת גזירת עונשו של נאשם בביצוע עבירות מין בקטינים יש לבכר שיקולי גמול והרתעה על פני נסיבותיו האישיות של הנאשם </w:t>
      </w:r>
      <w:r>
        <w:rPr>
          <w:rtl w:val="true"/>
        </w:rPr>
        <w:t>(</w:t>
      </w:r>
      <w:r>
        <w:rPr>
          <w:rtl w:val="true"/>
        </w:rPr>
        <w:t>ראו</w:t>
      </w:r>
      <w:r>
        <w:rPr>
          <w:rtl w:val="true"/>
        </w:rPr>
        <w:t xml:space="preserve">, </w:t>
      </w:r>
      <w:r>
        <w:rPr>
          <w:rtl w:val="true"/>
        </w:rPr>
        <w:t>למשל</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4583/13</w:t>
        </w:r>
      </w:hyperlink>
      <w:r>
        <w:rPr>
          <w:rFonts w:cs="FrankRuehl" w:ascii="FrankRuehl" w:hAnsi="FrankRuehl"/>
          <w:color w:val="000000"/>
          <w:sz w:val="28"/>
          <w:rtl w:val="true"/>
        </w:rPr>
        <w:t xml:space="preserve"> </w:t>
      </w:r>
      <w:r>
        <w:rPr>
          <w:rFonts w:cs="Miriam"/>
          <w:b/>
          <w:b/>
          <w:spacing w:val="0"/>
          <w:szCs w:val="24"/>
          <w:rtl w:val="true"/>
        </w:rPr>
        <w:t>סץ</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cs="Miriam"/>
          <w:b/>
          <w:spacing w:val="0"/>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b/>
          <w:b/>
          <w:spacing w:val="0"/>
          <w:sz w:val="28"/>
          <w:sz w:val="28"/>
          <w:rtl w:val="true"/>
        </w:rPr>
        <w:t xml:space="preserve">פסקה </w:t>
      </w:r>
      <w:r>
        <w:rPr>
          <w:b/>
          <w:spacing w:val="0"/>
          <w:sz w:val="28"/>
        </w:rPr>
        <w:t>60</w:t>
      </w:r>
      <w:r>
        <w:rPr>
          <w:rFonts w:cs="David" w:ascii="Times New Roman" w:hAnsi="Times New Roman"/>
          <w:spacing w:val="0"/>
          <w:szCs w:val="24"/>
          <w:rtl w:val="true"/>
        </w:rPr>
        <w:t xml:space="preserve"> </w:t>
      </w:r>
      <w:r>
        <w:rPr>
          <w:rtl w:val="true"/>
        </w:rPr>
        <w:t>(</w:t>
      </w:r>
      <w:r>
        <w:rPr/>
        <w:t>21.9.2015</w:t>
      </w:r>
      <w:r>
        <w:rPr>
          <w:rtl w:val="true"/>
        </w:rPr>
        <w:t xml:space="preserve">);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1287/14</w:t>
        </w:r>
      </w:hyperlink>
      <w:r>
        <w:rPr>
          <w:rtl w:val="true"/>
        </w:rPr>
        <w:t xml:space="preserve"> </w:t>
      </w:r>
      <w:r>
        <w:rPr>
          <w:rFonts w:cs="Miriam"/>
          <w:b/>
          <w:b/>
          <w:spacing w:val="0"/>
          <w:szCs w:val="24"/>
          <w:rtl w:val="true"/>
        </w:rPr>
        <w:t>פלוני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14</w:t>
      </w:r>
      <w:r>
        <w:rPr>
          <w:rtl w:val="true"/>
        </w:rPr>
        <w:t xml:space="preserve"> (</w:t>
      </w:r>
      <w:r>
        <w:rPr/>
        <w:t>5.8.2015</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4327/12</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פלוני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cs="Times New Roman" w:ascii="Times New Roman" w:hAnsi="Times New Roman"/>
          <w:rtl w:val="true"/>
        </w:rPr>
        <w:t>,</w:t>
      </w:r>
      <w:r>
        <w:rPr>
          <w:rFonts w:cs="David" w:ascii="Times New Roman" w:hAnsi="Times New Roman"/>
          <w:spacing w:val="0"/>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Times New Roman" w:hAnsi="Times New Roman" w:cs="Times New Roman"/>
          <w:rtl w:val="true"/>
        </w:rPr>
        <w:t xml:space="preserve">פסקה </w:t>
      </w:r>
      <w:r>
        <w:rPr>
          <w:rFonts w:cs="Times New Roman" w:ascii="Times New Roman" w:hAnsi="Times New Roman"/>
        </w:rPr>
        <w:t>35</w:t>
      </w:r>
      <w:r>
        <w:rPr>
          <w:rFonts w:cs="Times New Roman" w:ascii="Times New Roman" w:hAnsi="Times New Roman"/>
          <w:rtl w:val="true"/>
        </w:rPr>
        <w:t xml:space="preserve"> (</w:t>
      </w:r>
      <w:r>
        <w:rPr>
          <w:rFonts w:cs="Times New Roman" w:ascii="Times New Roman" w:hAnsi="Times New Roman"/>
        </w:rPr>
        <w:t>5.6.2013</w:t>
      </w:r>
      <w:r>
        <w:rPr>
          <w:rtl w:val="true"/>
        </w:rPr>
        <w:t xml:space="preserve">)). </w:t>
      </w:r>
      <w:r>
        <w:rPr>
          <w:rtl w:val="true"/>
        </w:rPr>
        <w:t>לפיכך</w:t>
      </w:r>
      <w:r>
        <w:rPr>
          <w:rtl w:val="true"/>
        </w:rPr>
        <w:t xml:space="preserve">, </w:t>
      </w:r>
      <w:r>
        <w:rPr>
          <w:rtl w:val="true"/>
        </w:rPr>
        <w:t>סבור אני כי העונש שהוטל על המערער הינו הולם</w:t>
      </w:r>
      <w:r>
        <w:rPr>
          <w:rtl w:val="true"/>
        </w:rPr>
        <w:t xml:space="preserve">, </w:t>
      </w:r>
      <w:r>
        <w:rPr>
          <w:rtl w:val="true"/>
        </w:rPr>
        <w:t>ראוי ומאזן בין מכלול השיקולים כולם</w:t>
      </w:r>
      <w:r>
        <w:rPr>
          <w:rtl w:val="true"/>
        </w:rPr>
        <w:t xml:space="preserve">, </w:t>
      </w:r>
      <w:r>
        <w:rPr>
          <w:rtl w:val="true"/>
        </w:rPr>
        <w:t>ואינני מוצא כל מקום להתערב בו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אשר על כן</w:t>
      </w:r>
      <w:r>
        <w:rPr>
          <w:rtl w:val="true"/>
        </w:rPr>
        <w:t xml:space="preserve">, </w:t>
      </w:r>
      <w:r>
        <w:rPr>
          <w:rtl w:val="true"/>
        </w:rPr>
        <w:t>הערעור נדחה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Arial" w:cs="Arial TUR;Arial"/>
          <w:rtl w:val="true"/>
        </w:rPr>
        <w:t xml:space="preserve"> </w:t>
      </w:r>
      <w:r>
        <w:rPr>
          <w:rtl w:val="true"/>
        </w:rPr>
        <w:t>יתייצב</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בימ</w:t>
      </w:r>
      <w:r>
        <w:rPr>
          <w:rtl w:val="true"/>
        </w:rPr>
        <w:t>"</w:t>
      </w:r>
      <w:r>
        <w:rPr>
          <w:rtl w:val="true"/>
        </w:rPr>
        <w:t>ר</w:t>
      </w:r>
      <w:r>
        <w:rPr>
          <w:rFonts w:eastAsia="Arial TUR;Arial" w:cs="Arial TUR;Arial"/>
          <w:rtl w:val="true"/>
        </w:rPr>
        <w:t xml:space="preserve"> </w:t>
      </w:r>
      <w:r>
        <w:rPr>
          <w:rtl w:val="true"/>
        </w:rPr>
        <w:t>הדרים</w:t>
      </w:r>
      <w:r>
        <w:rPr>
          <w:rFonts w:eastAsia="Arial TUR;Arial" w:cs="Arial TUR;Arial"/>
          <w:rtl w:val="true"/>
        </w:rPr>
        <w:t xml:space="preserve"> </w:t>
      </w:r>
      <w:r>
        <w:rPr>
          <w:rtl w:val="true"/>
        </w:rPr>
        <w:t>ביום</w:t>
      </w:r>
      <w:r>
        <w:rPr>
          <w:rFonts w:eastAsia="Arial TUR;Arial" w:cs="Arial TUR;Arial"/>
          <w:rtl w:val="true"/>
        </w:rPr>
        <w:t xml:space="preserve"> </w:t>
      </w:r>
      <w:r>
        <w:rPr/>
        <w:t>3.11.2019</w:t>
      </w:r>
      <w:r>
        <w:rPr>
          <w:rtl w:val="true"/>
        </w:rPr>
        <w:t xml:space="preserve"> </w:t>
      </w:r>
      <w:r>
        <w:rPr>
          <w:rtl w:val="true"/>
        </w:rPr>
        <w:t>עד</w:t>
      </w:r>
      <w:r>
        <w:rPr>
          <w:rFonts w:eastAsia="Arial TUR;Arial" w:cs="Arial TUR;Arial"/>
          <w:rtl w:val="true"/>
        </w:rPr>
        <w:t xml:space="preserve"> </w:t>
      </w:r>
      <w:r>
        <w:rPr>
          <w:rtl w:val="true"/>
        </w:rPr>
        <w:t>לשעה</w:t>
      </w:r>
      <w:r>
        <w:rPr>
          <w:rFonts w:eastAsia="Arial TUR;Arial" w:cs="Arial TUR;Arial"/>
          <w:rtl w:val="true"/>
        </w:rPr>
        <w:t xml:space="preserve"> </w:t>
      </w:r>
      <w:r>
        <w:rPr/>
        <w:t>10:00</w:t>
      </w:r>
      <w:r>
        <w:rPr>
          <w:rtl w:val="true"/>
        </w:rPr>
        <w:t xml:space="preserve">, </w:t>
      </w:r>
      <w:r>
        <w:rPr>
          <w:rtl w:val="true"/>
        </w:rPr>
        <w:t>שברשותו</w:t>
      </w:r>
      <w:r>
        <w:rPr>
          <w:rFonts w:eastAsia="Arial TUR;Arial" w:cs="Arial TUR;Arial"/>
          <w:rtl w:val="true"/>
        </w:rPr>
        <w:t xml:space="preserve"> </w:t>
      </w:r>
      <w:r>
        <w:rPr>
          <w:rtl w:val="true"/>
        </w:rPr>
        <w:t>תעודת</w:t>
      </w:r>
      <w:r>
        <w:rPr>
          <w:rFonts w:eastAsia="Arial TUR;Arial" w:cs="Arial TUR;Arial"/>
          <w:rtl w:val="true"/>
        </w:rPr>
        <w:t xml:space="preserve"> </w:t>
      </w:r>
      <w:r>
        <w:rPr>
          <w:rtl w:val="true"/>
        </w:rPr>
        <w:t>זהות</w:t>
      </w:r>
      <w:r>
        <w:rPr>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לתאם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הכניסה</w:t>
      </w:r>
      <w:r>
        <w:rPr>
          <w:rFonts w:eastAsia="Arial TUR;Arial" w:cs="Arial TUR;Arial"/>
          <w:rtl w:val="true"/>
        </w:rPr>
        <w:t xml:space="preserve"> </w:t>
      </w:r>
      <w:r>
        <w:rPr>
          <w:rtl w:val="true"/>
        </w:rPr>
        <w:t>למאסר</w:t>
      </w:r>
      <w:r>
        <w:rPr>
          <w:rFonts w:eastAsia="Arial TUR;Arial" w:cs="Arial TUR;Arial"/>
          <w:rtl w:val="true"/>
        </w:rPr>
        <w:t xml:space="preserve"> </w:t>
      </w:r>
      <w:r>
        <w:rPr>
          <w:rtl w:val="true"/>
        </w:rPr>
        <w:t>כולל</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למיון</w:t>
      </w:r>
      <w:r>
        <w:rPr>
          <w:rFonts w:eastAsia="Arial TUR;Arial" w:cs="Arial TUR;Arial"/>
          <w:rtl w:val="true"/>
        </w:rPr>
        <w:t xml:space="preserve"> </w:t>
      </w:r>
      <w:r>
        <w:rPr>
          <w:rtl w:val="true"/>
        </w:rPr>
        <w:t>מוקדם</w:t>
      </w:r>
      <w:r>
        <w:rPr>
          <w:rtl w:val="true"/>
        </w:rPr>
        <w:t xml:space="preserve">, </w:t>
      </w:r>
      <w:r>
        <w:rPr>
          <w:rtl w:val="true"/>
        </w:rPr>
        <w:t>עם</w:t>
      </w:r>
      <w:r>
        <w:rPr>
          <w:rFonts w:eastAsia="Arial TUR;Arial" w:cs="Arial TUR;Arial"/>
          <w:rtl w:val="true"/>
        </w:rPr>
        <w:t xml:space="preserve"> </w:t>
      </w:r>
      <w:r>
        <w:rPr>
          <w:rtl w:val="true"/>
        </w:rPr>
        <w:t>ענף</w:t>
      </w:r>
      <w:r>
        <w:rPr>
          <w:rFonts w:eastAsia="Arial TUR;Arial" w:cs="Arial TUR;Arial"/>
          <w:rtl w:val="true"/>
        </w:rPr>
        <w:t xml:space="preserve"> </w:t>
      </w:r>
      <w:r>
        <w:rPr>
          <w:rtl w:val="true"/>
        </w:rPr>
        <w:t>אבחון</w:t>
      </w:r>
      <w:r>
        <w:rPr>
          <w:rFonts w:eastAsia="Arial TUR;Arial" w:cs="Arial TUR;Arial"/>
          <w:rtl w:val="true"/>
        </w:rPr>
        <w:t xml:space="preserve"> </w:t>
      </w:r>
      <w:r>
        <w:rPr>
          <w:rtl w:val="true"/>
        </w:rPr>
        <w:t>ומיון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שב</w:t>
      </w:r>
      <w:r>
        <w:rPr>
          <w:rtl w:val="true"/>
        </w:rPr>
        <w:t>"</w:t>
      </w:r>
      <w:r>
        <w:rPr>
          <w:rtl w:val="true"/>
        </w:rPr>
        <w:t>ס</w:t>
      </w:r>
      <w:r>
        <w:rPr>
          <w:rtl w:val="true"/>
        </w:rPr>
        <w:t xml:space="preserve">, </w:t>
      </w:r>
      <w:r>
        <w:rPr>
          <w:rtl w:val="true"/>
        </w:rPr>
        <w:t>טלפונים</w:t>
      </w:r>
      <w:r>
        <w:rPr>
          <w:rFonts w:eastAsia="Arial TUR;Arial" w:cs="Arial TUR;Arial"/>
          <w:rtl w:val="true"/>
        </w:rPr>
        <w:t xml:space="preserve"> </w:t>
      </w:r>
      <w:r>
        <w:rPr/>
        <w:t>08-9787377</w:t>
      </w:r>
      <w:r>
        <w:rPr>
          <w:rtl w:val="true"/>
        </w:rPr>
        <w:t xml:space="preserve">, </w:t>
      </w:r>
      <w:r>
        <w:rPr/>
        <w:t>08-9787336</w:t>
      </w:r>
      <w:r>
        <w:rPr>
          <w:rtl w:val="true"/>
        </w:rPr>
        <w:t>.</w:t>
      </w:r>
    </w:p>
    <w:p>
      <w:pPr>
        <w:pStyle w:val="Ruller41"/>
        <w:ind w:end="0"/>
        <w:jc w:val="both"/>
        <w:rPr/>
      </w:pPr>
      <w:r>
        <w:rPr>
          <w:rtl w:val="true"/>
        </w:rPr>
      </w:r>
    </w:p>
    <w:p>
      <w:pPr>
        <w:pStyle w:val="Ruller41"/>
        <w:ind w:end="0"/>
        <w:jc w:val="both"/>
        <w:rPr/>
      </w:pPr>
      <w:bookmarkStart w:id="12"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ד</w:t>
      </w:r>
      <w:r>
        <w:rPr>
          <w:rtl w:val="true"/>
        </w:rPr>
        <w:t xml:space="preserve">' </w:t>
      </w:r>
      <w:r>
        <w:rPr>
          <w:rtl w:val="true"/>
        </w:rPr>
        <w:t>בתשרי</w:t>
      </w:r>
      <w:r>
        <w:rPr>
          <w:rFonts w:eastAsia="Arial TUR;Arial" w:cs="Arial TUR;Arial"/>
          <w:rtl w:val="true"/>
        </w:rPr>
        <w:t xml:space="preserve"> </w:t>
      </w:r>
      <w:r>
        <w:rPr>
          <w:rtl w:val="true"/>
        </w:rPr>
        <w:t>התש</w:t>
      </w:r>
      <w:r>
        <w:rPr>
          <w:rtl w:val="true"/>
        </w:rPr>
        <w:t>"</w:t>
      </w:r>
      <w:r>
        <w:rPr>
          <w:rtl w:val="true"/>
        </w:rPr>
        <w:t>פ</w:t>
      </w:r>
      <w:r>
        <w:rPr>
          <w:rFonts w:eastAsia="Arial TUR;Arial" w:cs="Arial TUR;Arial"/>
          <w:rtl w:val="true"/>
        </w:rPr>
        <w:t xml:space="preserve"> </w:t>
      </w:r>
      <w:r>
        <w:rPr>
          <w:rtl w:val="true"/>
        </w:rPr>
        <w:t>(‏</w:t>
      </w:r>
      <w:r>
        <w:rPr/>
        <w:t>3.10.2019</w:t>
      </w:r>
      <w:r>
        <w:rPr>
          <w:rtl w:val="true"/>
        </w:rPr>
        <w:t xml:space="preserve">). </w:t>
      </w:r>
      <w:bookmarkEnd w:id="12"/>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19047310</w:t>
      </w:r>
      <w:r>
        <w:rPr>
          <w:sz w:val="16"/>
          <w:rtl w:val="true"/>
        </w:rPr>
        <w:t>_</w:t>
      </w:r>
      <w:r>
        <w:rPr>
          <w:sz w:val="16"/>
        </w:rPr>
        <w:t>Q05.docx</w:t>
      </w:r>
      <w:r>
        <w:rPr>
          <w:sz w:val="16"/>
          <w:rtl w:val="true"/>
        </w:rPr>
        <w:t xml:space="preserve">   </w:t>
      </w:r>
      <w:r>
        <w:rPr>
          <w:sz w:val="16"/>
          <w:sz w:val="16"/>
          <w:rtl w:val="true"/>
        </w:rPr>
        <w:t>עצ</w:t>
      </w:r>
      <w:r>
        <w:rPr>
          <w:rtl w:val="true"/>
        </w:rPr>
        <w:t>+</w:t>
      </w:r>
      <w:r>
        <w:rPr>
          <w:rtl w:val="true"/>
        </w:rPr>
        <w:t>סח</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5">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54678313-4731/19</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6">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7"/>
      <w:footerReference w:type="default" r:id="rId28"/>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Century">
    <w:charset w:val="00" w:characterSet="windows-1252"/>
    <w:family w:val="roman"/>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10</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4731/19</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Ruller4">
    <w:name w:val="Ruller4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214.b3" TargetMode="External"/><Relationship Id="rId5" Type="http://schemas.openxmlformats.org/officeDocument/2006/relationships/hyperlink" Target="http://www.nevo.co.il/law/70301/345.a.3" TargetMode="External"/><Relationship Id="rId6" Type="http://schemas.openxmlformats.org/officeDocument/2006/relationships/hyperlink" Target="http://www.nevo.co.il/law/70301/348.a" TargetMode="External"/><Relationship Id="rId7" Type="http://schemas.openxmlformats.org/officeDocument/2006/relationships/hyperlink" Target="http://www.nevo.co.il/law/70301/348.a" TargetMode="External"/><Relationship Id="rId8" Type="http://schemas.openxmlformats.org/officeDocument/2006/relationships/hyperlink" Target="http://www.nevo.co.il/law/70301/345.a.3"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214.b3"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214.b3" TargetMode="External"/><Relationship Id="rId13" Type="http://schemas.openxmlformats.org/officeDocument/2006/relationships/hyperlink" Target="http://www.nevo.co.il/law/70301/25" TargetMode="External"/><Relationship Id="rId14" Type="http://schemas.openxmlformats.org/officeDocument/2006/relationships/hyperlink" Target="http://www.nevo.co.il/case/6244063" TargetMode="External"/><Relationship Id="rId15" Type="http://schemas.openxmlformats.org/officeDocument/2006/relationships/hyperlink" Target="http://www.nevo.co.il/case/20267026" TargetMode="External"/><Relationship Id="rId16" Type="http://schemas.openxmlformats.org/officeDocument/2006/relationships/hyperlink" Target="http://www.nevo.co.il/case/21478626" TargetMode="External"/><Relationship Id="rId17" Type="http://schemas.openxmlformats.org/officeDocument/2006/relationships/hyperlink" Target="http://www.nevo.co.il/case/5988374" TargetMode="External"/><Relationship Id="rId18" Type="http://schemas.openxmlformats.org/officeDocument/2006/relationships/hyperlink" Target="http://www.nevo.co.il/case/6234386" TargetMode="External"/><Relationship Id="rId19" Type="http://schemas.openxmlformats.org/officeDocument/2006/relationships/hyperlink" Target="http://www.nevo.co.il/case/20291305" TargetMode="External"/><Relationship Id="rId20" Type="http://schemas.openxmlformats.org/officeDocument/2006/relationships/hyperlink" Target="http://www.nevo.co.il/case/6244782" TargetMode="External"/><Relationship Id="rId21" Type="http://schemas.openxmlformats.org/officeDocument/2006/relationships/hyperlink" Target="http://www.nevo.co.il/case/10442539" TargetMode="External"/><Relationship Id="rId22" Type="http://schemas.openxmlformats.org/officeDocument/2006/relationships/hyperlink" Target="http://www.nevo.co.il/case/7697245" TargetMode="External"/><Relationship Id="rId23" Type="http://schemas.openxmlformats.org/officeDocument/2006/relationships/hyperlink" Target="http://www.nevo.co.il/case/20489990" TargetMode="External"/><Relationship Id="rId24" Type="http://schemas.openxmlformats.org/officeDocument/2006/relationships/hyperlink" Target="http://www.nevo.co.il/case/5583846" TargetMode="External"/><Relationship Id="rId25" Type="http://schemas.openxmlformats.org/officeDocument/2006/relationships/hyperlink" Target="http://supreme.court.gov.il/" TargetMode="External"/><Relationship Id="rId26" Type="http://schemas.openxmlformats.org/officeDocument/2006/relationships/hyperlink" Target="http://www.nevo.co.il/advertisements/nevo-100.doc"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2020-01-15T14:46:00Z</dcterms:created>
  <dc:creator>h4</dc:creator>
  <dc:description/>
  <cp:keywords/>
  <dc:language>en-IL</dc:language>
  <cp:lastModifiedBy>hofit</cp:lastModifiedBy>
  <cp:lastPrinted>2019-10-03T09:50:00Z</cp:lastPrinted>
  <dcterms:modified xsi:type="dcterms:W3CDTF">2020-01-15T14:46:00Z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6244063;20267026;21478626;5988374;6234386;20291305;6244782;10442539;7697245;20489990;5583846</vt:lpwstr>
  </property>
  <property fmtid="{D5CDD505-2E9C-101B-9397-08002B2CF9AE}" pid="9" name="CITY">
    <vt:lpwstr/>
  </property>
  <property fmtid="{D5CDD505-2E9C-101B-9397-08002B2CF9AE}" pid="10" name="DATE">
    <vt:lpwstr>20191003</vt:lpwstr>
  </property>
  <property fmtid="{D5CDD505-2E9C-101B-9397-08002B2CF9AE}" pid="11" name="DELEMATA">
    <vt:lpwstr/>
  </property>
  <property fmtid="{D5CDD505-2E9C-101B-9397-08002B2CF9AE}" pid="12" name="ISABSTRACT">
    <vt:lpwstr>Y</vt:lpwstr>
  </property>
  <property fmtid="{D5CDD505-2E9C-101B-9397-08002B2CF9AE}" pid="13" name="JUDGE">
    <vt:lpwstr>נ' הנדל;ג' קרא;ע' גרוסקופף</vt:lpwstr>
  </property>
  <property fmtid="{D5CDD505-2E9C-101B-9397-08002B2CF9AE}" pid="14" name="LAWLISTTMP1">
    <vt:lpwstr>70301/348.a;345.a.3;214.b3:2;025</vt:lpwstr>
  </property>
  <property fmtid="{D5CDD505-2E9C-101B-9397-08002B2CF9AE}" pid="15" name="LAWYER">
    <vt:lpwstr>אלון אייזנברג;טל אדיר כהן;ברכה וייס</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פאני</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1446;1446;1446</vt:lpwstr>
  </property>
  <property fmtid="{D5CDD505-2E9C-101B-9397-08002B2CF9AE}" pid="48" name="NOSE31">
    <vt:lpwstr>מדיניות ענישה: עבירות מין בקטינים</vt:lpwstr>
  </property>
  <property fmtid="{D5CDD505-2E9C-101B-9397-08002B2CF9AE}" pid="49" name="NOSE310">
    <vt:lpwstr/>
  </property>
  <property fmtid="{D5CDD505-2E9C-101B-9397-08002B2CF9AE}" pid="50" name="NOSE32">
    <vt:lpwstr>מדיניות ענישה: התערבות ערכאת ערעור</vt:lpwstr>
  </property>
  <property fmtid="{D5CDD505-2E9C-101B-9397-08002B2CF9AE}" pid="51" name="NOSE33">
    <vt:lpwstr>מדיניות ענישה: שיקולים</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16970;8982;8994</vt:lpwstr>
  </property>
  <property fmtid="{D5CDD505-2E9C-101B-9397-08002B2CF9AE}" pid="59" name="PADIDATE">
    <vt:lpwstr>20191006</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4731</vt:lpwstr>
  </property>
  <property fmtid="{D5CDD505-2E9C-101B-9397-08002B2CF9AE}" pid="65" name="PROCYEAR">
    <vt:lpwstr>19</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410120191003</vt:lpwstr>
  </property>
  <property fmtid="{D5CDD505-2E9C-101B-9397-08002B2CF9AE}" pid="69" name="TYPE_N_DATE">
    <vt:lpwstr>41020191003</vt:lpwstr>
  </property>
  <property fmtid="{D5CDD505-2E9C-101B-9397-08002B2CF9AE}" pid="70" name="VOLUME">
    <vt:lpwstr/>
  </property>
  <property fmtid="{D5CDD505-2E9C-101B-9397-08002B2CF9AE}" pid="71" name="WORDNUMPAGES">
    <vt:lpwstr>9</vt:lpwstr>
  </property>
</Properties>
</file>