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4737/17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באסם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55739-08-16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25.04.2017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186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800" w:leader="none"/>
        </w:tabs>
        <w:spacing w:before="0" w:after="120"/>
        <w:ind w:end="0"/>
        <w:jc w:val="both"/>
        <w:rPr>
          <w:rFonts w:ascii="FrankRuehl" w:hAnsi="FrankRuehl" w:cs="FrankRuehl"/>
          <w:bCs/>
          <w:spacing w:val="0"/>
          <w:sz w:val="26"/>
          <w:szCs w:val="26"/>
          <w:u w:val="none"/>
        </w:rPr>
      </w:pPr>
      <w:r>
        <w:rPr>
          <w:rFonts w:cs="FrankRuehl" w:ascii="FrankRuehl" w:hAnsi="FrankRuehl"/>
          <w:bCs/>
          <w:spacing w:val="0"/>
          <w:sz w:val="26"/>
          <w:szCs w:val="26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כשמועלית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מחציתו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וביניהן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שחיובו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הסולחה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איזון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ולחומרא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מלפניו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כדבעי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הצריכות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ומכאן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>.</w:t>
      </w:r>
      <w:bookmarkStart w:id="6" w:name="ABSTRACT_END"/>
      <w:bookmarkEnd w:id="6"/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center"/>
        <w:rPr>
          <w:b/>
          <w:bCs/>
        </w:rPr>
      </w:pPr>
      <w:r>
        <w:rPr>
          <w:b/>
          <w:b/>
          <w:bCs/>
          <w:sz w:val="26"/>
          <w:sz w:val="26"/>
          <w:szCs w:val="32"/>
          <w:rtl w:val="true"/>
        </w:rPr>
        <w:t>פסק</w:t>
      </w:r>
      <w:r>
        <w:rPr>
          <w:b/>
          <w:bCs/>
          <w:sz w:val="26"/>
          <w:szCs w:val="32"/>
          <w:rtl w:val="true"/>
        </w:rPr>
        <w:t>-</w:t>
      </w:r>
      <w:r>
        <w:rPr>
          <w:b/>
          <w:b/>
          <w:bCs/>
          <w:sz w:val="26"/>
          <w:sz w:val="26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7" w:name="Writer_Name"/>
      <w:bookmarkEnd w:id="7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8" w:name="Start_Write"/>
      <w:bookmarkStart w:id="9" w:name="Start_Write"/>
      <w:bookmarkEnd w:id="9"/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Miriam"/>
          <w:b/>
          <w:color w:val="000000"/>
          <w:spacing w:val="0"/>
          <w:sz w:val="22"/>
          <w:szCs w:val="24"/>
        </w:rPr>
      </w:pPr>
      <w:r>
        <w:rPr>
          <w:rtl w:val="true"/>
        </w:rPr>
        <w:t xml:space="preserve">בפנינו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55739-08-16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מתאריך </w:t>
      </w:r>
      <w:r>
        <w:rPr/>
        <w:t>25.04.2017</w:t>
      </w:r>
      <w:r>
        <w:rPr>
          <w:rtl w:val="true"/>
        </w:rPr>
        <w:t xml:space="preserve">, </w:t>
      </w:r>
      <w:r>
        <w:rPr>
          <w:rtl w:val="true"/>
        </w:rPr>
        <w:t>במסגרתו הושתו על המערער העונשים הבאים</w:t>
      </w:r>
      <w:r>
        <w:rPr>
          <w:rtl w:val="true"/>
        </w:rPr>
        <w:t xml:space="preserve">: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החל מיום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מעצרו</w:t>
      </w:r>
      <w:r>
        <w:rPr>
          <w:rFonts w:cs="Times New Roman" w:ascii="Times New Roman" w:hAnsi="Times New Roman"/>
          <w:sz w:val="22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תוך הפעלת עונש מאסר מותנה בן </w:t>
      </w:r>
      <w:r>
        <w:rPr>
          <w:rFonts w:cs="Times New Roman" w:ascii="Times New Roman" w:hAnsi="Times New Roman"/>
          <w:sz w:val="22"/>
        </w:rPr>
        <w:t>12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חודשים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כאשר מחציתו יופעל במצטבר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כך שעל המערער לרצות בסך הכל </w:t>
      </w:r>
      <w:r>
        <w:rPr>
          <w:rFonts w:cs="Times New Roman" w:ascii="Times New Roman" w:hAnsi="Times New Roman"/>
          <w:sz w:val="22"/>
        </w:rPr>
        <w:t>42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חודשי מאסר בפועל</w:t>
      </w:r>
      <w:r>
        <w:rPr>
          <w:rFonts w:cs="Times New Roman" w:ascii="Times New Roman" w:hAnsi="Times New Roman"/>
          <w:sz w:val="22"/>
          <w:rtl w:val="true"/>
        </w:rPr>
        <w:t xml:space="preserve">; </w:t>
      </w:r>
      <w:r>
        <w:rPr>
          <w:rFonts w:cs="Times New Roman" w:ascii="Times New Roman" w:hAnsi="Times New Roman"/>
          <w:sz w:val="22"/>
        </w:rPr>
        <w:t>12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חודשי מאסר על תנאי</w:t>
      </w:r>
      <w:r>
        <w:rPr>
          <w:rFonts w:cs="Times New Roman" w:ascii="Times New Roman" w:hAnsi="Times New Roman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לבל יעבור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במשך שלוש שנים מיום </w:t>
      </w:r>
      <w:r>
        <w:rPr>
          <w:color w:val="000000"/>
          <w:rtl w:val="true"/>
        </w:rPr>
        <w:t>שחרורו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 עבירה שיש</w:t>
      </w:r>
      <w:r>
        <w:rPr>
          <w:rFonts w:ascii="Century" w:hAnsi="Century" w:cs="Century"/>
          <w:sz w:val="22"/>
          <w:sz w:val="22"/>
          <w:rtl w:val="true"/>
        </w:rPr>
        <w:t xml:space="preserve"> בה יסוד של אלימות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color w:val="000000"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2"/>
        </w:rPr>
        <w:t>3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חודשי מאסר על תנאי</w:t>
      </w:r>
      <w:r>
        <w:rPr>
          <w:rFonts w:cs="Times New Roman" w:ascii="Times New Roman" w:hAnsi="Times New Roman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לבל יעבור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במשך שנתיים מיום </w:t>
      </w:r>
      <w:r>
        <w:rPr>
          <w:color w:val="000000"/>
          <w:rtl w:val="true"/>
        </w:rPr>
        <w:t>שחרורו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עבירה שעניינה החזק סכין שלא כדין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ופיצוי למתלונן בסך </w:t>
      </w:r>
      <w:r>
        <w:rPr>
          <w:rFonts w:cs="Century" w:ascii="Century" w:hAnsi="Century"/>
          <w:sz w:val="22"/>
        </w:rPr>
        <w:t>25,000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מעבר לסכומים שהועברו למתלונן במסגרת הסכם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הסולחה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שנערך בין הצדדים</w:t>
      </w:r>
      <w:r>
        <w:rPr>
          <w:rFonts w:cs="Miriam" w:ascii="Century" w:hAnsi="Century"/>
          <w:b/>
          <w:color w:val="000000"/>
          <w:spacing w:val="0"/>
          <w:sz w:val="22"/>
          <w:szCs w:val="24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color w:val="000000"/>
          <w:spacing w:val="0"/>
          <w:sz w:val="16"/>
          <w:szCs w:val="18"/>
        </w:rPr>
      </w:pPr>
      <w:r>
        <w:rPr>
          <w:rFonts w:cs="Miriam" w:ascii="Century" w:hAnsi="Century"/>
          <w:b/>
          <w:color w:val="000000"/>
          <w:spacing w:val="0"/>
          <w:sz w:val="16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color w:val="000000"/>
          <w:spacing w:val="0"/>
          <w:sz w:val="2"/>
          <w:szCs w:val="6"/>
        </w:rPr>
      </w:pPr>
      <w:r>
        <w:rPr>
          <w:rFonts w:cs="Miriam" w:ascii="Century" w:hAnsi="Century"/>
          <w:b/>
          <w:color w:val="000000"/>
          <w:spacing w:val="0"/>
          <w:sz w:val="2"/>
          <w:szCs w:val="6"/>
          <w:rtl w:val="true"/>
        </w:rPr>
      </w:r>
    </w:p>
    <w:p>
      <w:pPr>
        <w:pStyle w:val="Ruller41"/>
        <w:ind w:end="0"/>
        <w:jc w:val="both"/>
        <w:rPr/>
      </w:pPr>
      <w:r>
        <w:rPr>
          <w:rStyle w:val="Strong"/>
          <w:rtl w:val="true"/>
        </w:rPr>
        <w:tab/>
      </w:r>
      <w:r>
        <w:rPr>
          <w:rStyle w:val="Strong"/>
          <w:rtl w:val="true"/>
        </w:rPr>
        <w:t>להלן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נפרט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בקצרה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את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הנתונים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הדרושים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להכרעה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במכלול</w:t>
      </w:r>
      <w:r>
        <w:rPr>
          <w:rStyle w:val="Strong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2"/>
        </w:rPr>
      </w:pPr>
      <w:r>
        <w:rPr>
          <w:rFonts w:cs="Miriam" w:ascii="Century" w:hAnsi="Century"/>
          <w:b/>
          <w:spacing w:val="0"/>
          <w:sz w:val="20"/>
          <w:szCs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6"/>
          <w:szCs w:val="18"/>
        </w:rPr>
      </w:pPr>
      <w:r>
        <w:rPr>
          <w:rFonts w:cs="Miriam" w:ascii="Century" w:hAnsi="Century"/>
          <w:b/>
          <w:spacing w:val="0"/>
          <w:sz w:val="16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כנגד המערער </w:t>
      </w:r>
      <w:r>
        <w:rPr>
          <w:rtl w:val="true"/>
        </w:rPr>
        <w:t>(</w:t>
      </w:r>
      <w:r>
        <w:rPr>
          <w:rtl w:val="true"/>
        </w:rPr>
        <w:t>ונאשם נוסף</w:t>
      </w:r>
      <w:r>
        <w:rPr>
          <w:rtl w:val="true"/>
        </w:rPr>
        <w:t xml:space="preserve">) </w:t>
      </w:r>
      <w:r>
        <w:rPr>
          <w:rtl w:val="true"/>
        </w:rPr>
        <w:t xml:space="preserve">הוגש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מתוקן</w:t>
      </w:r>
      <w:r>
        <w:rPr>
          <w:rtl w:val="true"/>
        </w:rPr>
        <w:t xml:space="preserve"> במסגרת הסדר טיעון</w:t>
      </w:r>
      <w:r>
        <w:rPr>
          <w:rtl w:val="true"/>
        </w:rPr>
        <w:t xml:space="preserve">, </w:t>
      </w:r>
      <w:r>
        <w:rPr>
          <w:rtl w:val="true"/>
        </w:rPr>
        <w:t>שייחס לו את העבירות הבאות</w:t>
      </w:r>
      <w:r>
        <w:rPr>
          <w:rtl w:val="true"/>
        </w:rPr>
        <w:t xml:space="preserve">: </w:t>
      </w:r>
      <w:r>
        <w:rPr>
          <w:rtl w:val="true"/>
        </w:rPr>
        <w:t>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והחזקת סכין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color w:val="000000"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color w:val="000000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4"/>
          <w:szCs w:val="8"/>
        </w:rPr>
      </w:pPr>
      <w:r>
        <w:rPr>
          <w:sz w:val="4"/>
          <w:szCs w:val="8"/>
          <w:rtl w:val="true"/>
        </w:rPr>
      </w:r>
    </w:p>
    <w:p>
      <w:pPr>
        <w:pStyle w:val="Ruller41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הוא אביו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  <w:r>
        <w:rPr>
          <w:rtl w:val="true"/>
        </w:rPr>
        <w:t>השניים גרים בעיר העתיקה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 xml:space="preserve">מר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 xml:space="preserve"> הוא שכנם של השניים ומתגורר בבניין  סמוך</w:t>
      </w:r>
      <w:r>
        <w:rPr>
          <w:rtl w:val="true"/>
        </w:rPr>
        <w:t xml:space="preserve">. </w:t>
      </w:r>
      <w:r>
        <w:rPr>
          <w:rtl w:val="true"/>
        </w:rPr>
        <w:t>המתלונן נהג להחליף את בגדיו כשחלון חדרו פתוח וניתן היה להבחין בו עושה כן מבחוץ</w:t>
      </w:r>
      <w:r>
        <w:rPr>
          <w:rtl w:val="true"/>
        </w:rPr>
        <w:t xml:space="preserve">. </w:t>
      </w:r>
      <w:r>
        <w:rPr>
          <w:rtl w:val="true"/>
        </w:rPr>
        <w:t>המערער ביקש מהמתלונן מספר פעמים לחדול מלעשות זאת</w:t>
      </w:r>
      <w:r>
        <w:rPr>
          <w:rtl w:val="true"/>
        </w:rPr>
        <w:t xml:space="preserve">. </w:t>
      </w:r>
      <w:r>
        <w:rPr>
          <w:rtl w:val="true"/>
        </w:rPr>
        <w:t>על רקע זה התגלע ביניהם ויכוח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05.06.2016</w:t>
      </w:r>
      <w:r>
        <w:rPr>
          <w:rtl w:val="true"/>
        </w:rPr>
        <w:t xml:space="preserve">, </w:t>
      </w:r>
      <w:r>
        <w:rPr>
          <w:rtl w:val="true"/>
        </w:rPr>
        <w:t>בשעת ערב</w:t>
      </w:r>
      <w:r>
        <w:rPr>
          <w:rtl w:val="true"/>
        </w:rPr>
        <w:t xml:space="preserve">, </w:t>
      </w:r>
      <w:r>
        <w:rPr>
          <w:rtl w:val="true"/>
        </w:rPr>
        <w:t>המתלונן התארגן ליציאה לבילוי והחליף את חולצתו בסמוך לחלון דירתו תוך כדי שיחה עם חבריו</w:t>
      </w:r>
      <w:r>
        <w:rPr>
          <w:rtl w:val="true"/>
        </w:rPr>
        <w:t xml:space="preserve">, </w:t>
      </w:r>
      <w:r>
        <w:rPr>
          <w:rtl w:val="true"/>
        </w:rPr>
        <w:t>אשר שהו בחוץ ברחוב</w:t>
      </w:r>
      <w:r>
        <w:rPr>
          <w:rtl w:val="true"/>
        </w:rPr>
        <w:t xml:space="preserve">. </w:t>
      </w:r>
      <w:r>
        <w:rPr>
          <w:rtl w:val="true"/>
        </w:rPr>
        <w:t>באותו זמן עמדו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בחלון ביתם וצעקו לעברו של המתלונן שייכנס פנימה ושיתלבש שם</w:t>
      </w:r>
      <w:r>
        <w:rPr>
          <w:rtl w:val="true"/>
        </w:rPr>
        <w:t xml:space="preserve">. </w:t>
      </w:r>
      <w:r>
        <w:rPr>
          <w:rtl w:val="true"/>
        </w:rPr>
        <w:t>המתלונן צעק למערער</w:t>
      </w:r>
      <w:r>
        <w:rPr>
          <w:rtl w:val="true"/>
        </w:rPr>
        <w:t>: "</w:t>
      </w:r>
      <w:r>
        <w:rPr>
          <w:rtl w:val="true"/>
        </w:rPr>
        <w:t>מה אתה מדבר איתי</w:t>
      </w:r>
      <w:r>
        <w:rPr>
          <w:rtl w:val="true"/>
        </w:rPr>
        <w:t xml:space="preserve">".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>החלו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לקלל את 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החל ויכוח קולני בין הצדדים</w:t>
      </w:r>
      <w:r>
        <w:rPr>
          <w:rtl w:val="true"/>
        </w:rPr>
        <w:t xml:space="preserve">. </w:t>
      </w:r>
      <w:r>
        <w:rPr>
          <w:rtl w:val="true"/>
        </w:rPr>
        <w:t>המתלונן ירד מדירתו והחל מתקדם לעבר ביתם של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  <w:r>
        <w:rPr>
          <w:rtl w:val="true"/>
        </w:rPr>
        <w:t>חבריו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אשר היו עדים לוויכוח </w:t>
      </w:r>
      <w:r>
        <w:rPr>
          <w:rtl w:val="true"/>
        </w:rPr>
        <w:t>–</w:t>
      </w:r>
      <w:r>
        <w:rPr>
          <w:rtl w:val="true"/>
        </w:rPr>
        <w:t xml:space="preserve"> אחזו בו ומנעו ממנו את התקדמותו</w:t>
      </w:r>
      <w:r>
        <w:rPr>
          <w:rtl w:val="true"/>
        </w:rPr>
        <w:t xml:space="preserve">, </w:t>
      </w:r>
      <w:r>
        <w:rPr>
          <w:rtl w:val="true"/>
        </w:rPr>
        <w:t>ואולם המתלונן החל צועק ומקלל את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בהמשך למתואר בפיסקה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שלעיל </w:t>
      </w:r>
      <w:r>
        <w:rPr>
          <w:rtl w:val="true"/>
        </w:rPr>
        <w:t>–</w:t>
      </w:r>
      <w:r>
        <w:rPr>
          <w:rtl w:val="true"/>
        </w:rPr>
        <w:t xml:space="preserve">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יצאו מביתם והלכו לעברו של המתלונן כשהם מצוידים בסכינים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אחז בסכין בידו</w:t>
      </w:r>
      <w:r>
        <w:rPr>
          <w:rtl w:val="true"/>
        </w:rPr>
        <w:t xml:space="preserve">, </w:t>
      </w:r>
      <w:r>
        <w:rPr>
          <w:rtl w:val="true"/>
        </w:rPr>
        <w:t>כשלהב הסכין מופנית כלפי מטה</w:t>
      </w:r>
      <w:r>
        <w:rPr>
          <w:rtl w:val="true"/>
        </w:rPr>
        <w:t xml:space="preserve">, </w:t>
      </w:r>
      <w:r>
        <w:rPr>
          <w:rtl w:val="true"/>
        </w:rPr>
        <w:t>במגמה להסתירה</w:t>
      </w:r>
      <w:r>
        <w:rPr>
          <w:rtl w:val="true"/>
        </w:rPr>
        <w:t xml:space="preserve">, </w:t>
      </w:r>
      <w:r>
        <w:rPr>
          <w:rtl w:val="true"/>
        </w:rPr>
        <w:t>ואילו המערער החזיק ברשותו סכין אחרת</w:t>
      </w:r>
      <w:r>
        <w:rPr>
          <w:rtl w:val="true"/>
        </w:rPr>
        <w:t xml:space="preserve">, </w:t>
      </w:r>
      <w:r>
        <w:rPr>
          <w:rtl w:val="true"/>
        </w:rPr>
        <w:t>ארוכה יותר</w:t>
      </w:r>
      <w:r>
        <w:rPr>
          <w:rtl w:val="true"/>
        </w:rPr>
        <w:t xml:space="preserve">, </w:t>
      </w:r>
      <w:r>
        <w:rPr>
          <w:rtl w:val="true"/>
        </w:rPr>
        <w:t>שאותה הוא הסתיר באזור הקדמי של מכנסיו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כאשר הבחין אחד מחבריו של המתלונן בכך שהמערער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מתקדמים לעברו </w:t>
      </w:r>
      <w:r>
        <w:rPr>
          <w:rtl w:val="true"/>
        </w:rPr>
        <w:t>–</w:t>
      </w:r>
      <w:r>
        <w:rPr>
          <w:rtl w:val="true"/>
        </w:rPr>
        <w:t>הוא אחז במתלונן כדי להרגיעו</w:t>
      </w:r>
      <w:r>
        <w:rPr>
          <w:rtl w:val="true"/>
        </w:rPr>
        <w:t xml:space="preserve">, </w:t>
      </w:r>
      <w:r>
        <w:rPr>
          <w:rtl w:val="true"/>
        </w:rPr>
        <w:t>בעוד שאחד מחבריו האחרים של המתלונן ניגש אל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ואמר להם שאין צורך לריב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אמר המערער שברצונו רק לשוחח עם המתלונן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שלף המערער את הסכין מתוך מכנסיו והתקדם במהירות לעבר 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המתלונן ניסה להימלט מהמקום</w:t>
      </w:r>
      <w:r>
        <w:rPr>
          <w:rtl w:val="true"/>
        </w:rPr>
        <w:t xml:space="preserve">, </w:t>
      </w:r>
      <w:r>
        <w:rPr>
          <w:rtl w:val="true"/>
        </w:rPr>
        <w:t>אך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תפסו אותו באזור חדר</w:t>
      </w:r>
      <w:r>
        <w:rPr>
          <w:rtl w:val="true"/>
        </w:rPr>
        <w:t>-</w:t>
      </w:r>
      <w:r>
        <w:rPr>
          <w:rtl w:val="true"/>
        </w:rPr>
        <w:t xml:space="preserve">המדרגות שאליו נס </w:t>
      </w:r>
      <w:r>
        <w:rPr>
          <w:rtl w:val="true"/>
        </w:rPr>
        <w:t>–</w:t>
      </w:r>
      <w:r>
        <w:rPr>
          <w:rtl w:val="true"/>
        </w:rPr>
        <w:t xml:space="preserve"> תוך שהמערער ניסה לדקרו באמצעות הסכין</w:t>
      </w:r>
      <w:r>
        <w:rPr>
          <w:rtl w:val="true"/>
        </w:rPr>
        <w:t xml:space="preserve">. </w:t>
      </w:r>
      <w:r>
        <w:rPr>
          <w:rtl w:val="true"/>
        </w:rPr>
        <w:t>המתלונן הצליח לאחוז בידו של המערער וכך להימנע מדקירה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 xml:space="preserve">ניגש אליו 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>אשר דקרו בבית החזה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המתלונן הצליח להשתחרר מתקיפתם של השניים וברח להמשך הרחוב</w:t>
      </w:r>
      <w:r>
        <w:rPr>
          <w:rtl w:val="true"/>
        </w:rPr>
        <w:t xml:space="preserve">, </w:t>
      </w:r>
      <w:r>
        <w:rPr>
          <w:rtl w:val="true"/>
        </w:rPr>
        <w:t>תוך שהמערער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דולקים אחריו</w:t>
      </w:r>
      <w:r>
        <w:rPr>
          <w:rtl w:val="true"/>
        </w:rPr>
        <w:t xml:space="preserve">. </w:t>
      </w:r>
      <w:r>
        <w:rPr>
          <w:rtl w:val="true"/>
        </w:rPr>
        <w:t>במהלך מנוסתו המתלונן נפל</w:t>
      </w:r>
      <w:r>
        <w:rPr>
          <w:rtl w:val="true"/>
        </w:rPr>
        <w:t xml:space="preserve">, </w:t>
      </w:r>
      <w:r>
        <w:rPr>
          <w:rtl w:val="true"/>
        </w:rPr>
        <w:t>והמערער ניגש אליו ודקר אותו מספר דקירות נוספות באזור החזה</w:t>
      </w:r>
      <w:r>
        <w:rPr>
          <w:rtl w:val="true"/>
        </w:rPr>
        <w:t xml:space="preserve">, </w:t>
      </w:r>
      <w:r>
        <w:rPr>
          <w:rtl w:val="true"/>
        </w:rPr>
        <w:t>בעודו מוטל על הארץ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אחז בראשו של המתלונן</w:t>
      </w:r>
      <w:r>
        <w:rPr>
          <w:rtl w:val="true"/>
        </w:rPr>
        <w:t xml:space="preserve">, </w:t>
      </w:r>
      <w:r>
        <w:rPr>
          <w:rtl w:val="true"/>
        </w:rPr>
        <w:t>הרימו ואמר לו שברצונו לחתוך אותו בצוואר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החזיק בידו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ומנע ממנו בכך גישה לצווארו</w:t>
      </w:r>
      <w:r>
        <w:rPr>
          <w:rtl w:val="true"/>
        </w:rPr>
        <w:t xml:space="preserve">, </w:t>
      </w:r>
      <w:r>
        <w:rPr>
          <w:rtl w:val="true"/>
        </w:rPr>
        <w:t xml:space="preserve">כך שלבסוף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חתך מספר חתכים בפניו של המתלונן באמצעות הסכין</w:t>
      </w:r>
      <w:r>
        <w:rPr>
          <w:rtl w:val="true"/>
        </w:rPr>
        <w:t xml:space="preserve">, </w:t>
      </w:r>
      <w:r>
        <w:rPr>
          <w:rtl w:val="true"/>
        </w:rPr>
        <w:t>תוך שהוא אומר לו כי מטרת המעשה</w:t>
      </w:r>
      <w:r>
        <w:rPr>
          <w:rtl w:val="true"/>
        </w:rPr>
        <w:t>: "</w:t>
      </w:r>
      <w:r>
        <w:rPr>
          <w:rtl w:val="true"/>
        </w:rPr>
        <w:t>שיזכור אותו כל החיים ושכל האנשים יֵדעו שסימן אותו בפנים</w:t>
      </w:r>
      <w:r>
        <w:rPr>
          <w:rtl w:val="true"/>
        </w:rPr>
        <w:t xml:space="preserve">".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בני משפחתו של המתלונן ועוברי אורח הגיעו למקום ונחלצו לעזרתו של המתלונן</w:t>
      </w:r>
      <w:r>
        <w:rPr>
          <w:rtl w:val="true"/>
        </w:rPr>
        <w:t xml:space="preserve">. </w:t>
      </w:r>
      <w:r>
        <w:rPr>
          <w:rtl w:val="true"/>
        </w:rPr>
        <w:t>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ברחו בשלב זה מהמקום</w:t>
      </w:r>
      <w:r>
        <w:rPr>
          <w:rtl w:val="true"/>
        </w:rPr>
        <w:t xml:space="preserve">, </w:t>
      </w:r>
      <w:r>
        <w:rPr>
          <w:rtl w:val="true"/>
        </w:rPr>
        <w:t>והמתלונן פונה בידי אביו ברכבו לתחנת מגן דוד אדום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עכו</w:t>
      </w:r>
      <w:r>
        <w:rPr>
          <w:rtl w:val="true"/>
        </w:rPr>
        <w:t xml:space="preserve"> ומשם</w:t>
      </w:r>
      <w:r>
        <w:rPr>
          <w:rtl w:val="true"/>
        </w:rPr>
        <w:t xml:space="preserve">, </w:t>
      </w:r>
      <w:r>
        <w:rPr>
          <w:rtl w:val="true"/>
        </w:rPr>
        <w:t>באמבולנס למרכז הרפואי גליל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נהריה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כתוצאה ממעשיהם של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tl w:val="true"/>
        </w:rPr>
        <w:t>נגרם למתלונן</w:t>
      </w:r>
      <w:r>
        <w:rPr>
          <w:rtl w:val="true"/>
        </w:rPr>
        <w:t xml:space="preserve">: </w:t>
      </w:r>
      <w:r>
        <w:rPr>
          <w:rtl w:val="true"/>
        </w:rPr>
        <w:t xml:space="preserve">קרע בסרעפת </w:t>
      </w:r>
      <w:r>
        <w:rPr>
          <w:rtl w:val="true"/>
        </w:rPr>
        <w:t>(</w:t>
      </w:r>
      <w:r>
        <w:rPr>
          <w:rtl w:val="true"/>
        </w:rPr>
        <w:t>מימין</w:t>
      </w:r>
      <w:r>
        <w:rPr>
          <w:rtl w:val="true"/>
        </w:rPr>
        <w:t xml:space="preserve">) </w:t>
      </w:r>
      <w:r>
        <w:rPr>
          <w:rtl w:val="true"/>
        </w:rPr>
        <w:t xml:space="preserve">שמקורו בדקירה באזור מעבר חזה בטן ימני בעומק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וברוחב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קרע מזערי בריאה השמאלית בעקבות דקירה בבית חזה שמאל</w:t>
      </w:r>
      <w:r>
        <w:rPr>
          <w:rtl w:val="true"/>
        </w:rPr>
        <w:t xml:space="preserve">, </w:t>
      </w:r>
      <w:r>
        <w:rPr>
          <w:rtl w:val="true"/>
        </w:rPr>
        <w:t>אשר חדרה את כל דופן בית</w:t>
      </w:r>
      <w:r>
        <w:rPr>
          <w:rtl w:val="true"/>
        </w:rPr>
        <w:t>-</w:t>
      </w:r>
      <w:r>
        <w:rPr>
          <w:rtl w:val="true"/>
        </w:rPr>
        <w:t xml:space="preserve">החזה בעומק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שתי דקירות נוספות באזור זה חדרו את שכבת תת</w:t>
      </w:r>
      <w:r>
        <w:rPr>
          <w:rtl w:val="true"/>
        </w:rPr>
        <w:t>-</w:t>
      </w:r>
      <w:r>
        <w:rPr>
          <w:rtl w:val="true"/>
        </w:rPr>
        <w:t xml:space="preserve">העור בעומק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לפחות</w:t>
      </w:r>
      <w:r>
        <w:rPr>
          <w:rtl w:val="true"/>
        </w:rPr>
        <w:t xml:space="preserve">; </w:t>
      </w:r>
      <w:r>
        <w:rPr>
          <w:rtl w:val="true"/>
        </w:rPr>
        <w:t>דקירה נוספת במרכז בית</w:t>
      </w:r>
      <w:r>
        <w:rPr>
          <w:rtl w:val="true"/>
        </w:rPr>
        <w:t>-</w:t>
      </w:r>
      <w:r>
        <w:rPr>
          <w:rtl w:val="true"/>
        </w:rPr>
        <w:t>החזה במעבר חזה</w:t>
      </w:r>
      <w:r>
        <w:rPr>
          <w:rtl w:val="true"/>
        </w:rPr>
        <w:t>-</w:t>
      </w:r>
      <w:r>
        <w:rPr>
          <w:rtl w:val="true"/>
        </w:rPr>
        <w:t xml:space="preserve">בטן חדרה לעומק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נגרמו למתלונן שני חתכים בפניו בעומק של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 xml:space="preserve">האחד </w:t>
      </w:r>
      <w:r>
        <w:rPr>
          <w:rtl w:val="true"/>
        </w:rPr>
        <w:t>–</w:t>
      </w:r>
      <w:r>
        <w:rPr>
          <w:rtl w:val="true"/>
        </w:rPr>
        <w:t xml:space="preserve"> במצח מעל הגבה השמאלית והשני</w:t>
      </w:r>
      <w:r>
        <w:rPr>
          <w:rtl w:val="true"/>
        </w:rPr>
        <w:t xml:space="preserve">, </w:t>
      </w:r>
      <w:r>
        <w:rPr>
          <w:rtl w:val="true"/>
        </w:rPr>
        <w:t>בצד שמאל של ראשו מהקרקפת דרך הלחי ועד לאוזן שמאל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הפציעות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–</w:t>
      </w:r>
      <w:r>
        <w:rPr>
          <w:rtl w:val="true"/>
        </w:rPr>
        <w:t xml:space="preserve"> המתלונן עבר החדרה של נקז בין</w:t>
      </w:r>
      <w:r>
        <w:rPr>
          <w:rtl w:val="true"/>
        </w:rPr>
        <w:t>-</w:t>
      </w:r>
      <w:r>
        <w:rPr>
          <w:rtl w:val="true"/>
        </w:rPr>
        <w:t>צלעי משמאל לצורך טיפול בקרע בריאה וניתוח אבחנתי לצורך אבחון הקרע בסרעפת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המתלונן עבר טיפולים מקומיים של חיטוי</w:t>
      </w:r>
      <w:r>
        <w:rPr>
          <w:rtl w:val="true"/>
        </w:rPr>
        <w:t xml:space="preserve">, </w:t>
      </w:r>
      <w:r>
        <w:rPr>
          <w:rtl w:val="true"/>
        </w:rPr>
        <w:t>ניקוי וסגירה ראשונית לשאר הדקירות והחתכים שבגופו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14"/>
          <w:szCs w:val="18"/>
          <w:u w:val="single"/>
        </w:rPr>
      </w:pPr>
      <w:r>
        <w:rPr>
          <w:b/>
          <w:bCs/>
          <w:sz w:val="14"/>
          <w:szCs w:val="1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14"/>
          <w:u w:val="single"/>
        </w:rPr>
      </w:pPr>
      <w:r>
        <w:rPr>
          <w:b/>
          <w:bCs/>
          <w:sz w:val="6"/>
          <w:szCs w:val="1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25.12.2016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</w:t>
      </w:r>
      <w:r>
        <w:rPr>
          <w:sz w:val="28"/>
          <w:sz w:val="28"/>
          <w:rtl w:val="true"/>
        </w:rPr>
        <w:t>בבית המשפט המחוזי הנכבד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 פי 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בעקבות הסדר הטיעון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ל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בעבירות שיוחסו לו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בין הצדדים לא נקבע כל סיכום לעניין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זה המקום לציין כי טרם שמיעת הטיעונים לעונש </w:t>
      </w:r>
      <w:r>
        <w:rPr>
          <w:rtl w:val="true"/>
        </w:rPr>
        <w:t>–</w:t>
      </w:r>
      <w:r>
        <w:rPr>
          <w:rtl w:val="true"/>
        </w:rPr>
        <w:t xml:space="preserve"> הוגש </w:t>
      </w:r>
      <w:r>
        <w:rPr>
          <w:rtl w:val="true"/>
        </w:rPr>
        <w:t>"</w:t>
      </w:r>
      <w:r>
        <w:rPr>
          <w:rtl w:val="true"/>
        </w:rPr>
        <w:t>הסכם סולחה והבנות</w:t>
      </w:r>
      <w:r>
        <w:rPr>
          <w:rtl w:val="true"/>
        </w:rPr>
        <w:t xml:space="preserve">" </w:t>
      </w:r>
      <w:r>
        <w:rPr>
          <w:rtl w:val="true"/>
        </w:rPr>
        <w:t xml:space="preserve">שנערך בתאריך </w:t>
      </w:r>
      <w:r>
        <w:rPr/>
        <w:t>21.08.2016</w:t>
      </w:r>
      <w:r>
        <w:rPr>
          <w:rtl w:val="true"/>
        </w:rPr>
        <w:t xml:space="preserve"> </w:t>
      </w:r>
      <w:r>
        <w:rPr>
          <w:rtl w:val="true"/>
        </w:rPr>
        <w:t>בין המתלונן ומשפחתו</w:t>
      </w:r>
      <w:r>
        <w:rPr>
          <w:rtl w:val="true"/>
        </w:rPr>
        <w:t xml:space="preserve">, </w:t>
      </w:r>
      <w:r>
        <w:rPr>
          <w:rtl w:val="true"/>
        </w:rPr>
        <w:t>לבין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ובני משפחותיהם במטה מחוז חוף של משטרת ישראל</w:t>
      </w:r>
      <w:r>
        <w:rPr>
          <w:rtl w:val="true"/>
        </w:rPr>
        <w:t xml:space="preserve">. </w:t>
      </w:r>
      <w:r>
        <w:rPr>
          <w:rtl w:val="true"/>
        </w:rPr>
        <w:t>במסגרת הסכם זה המערער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שילמו למתלונן 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 </w:t>
      </w:r>
      <w:r>
        <w:rPr>
          <w:rtl w:val="true"/>
        </w:rPr>
        <w:t>כפיצוי על הפציעה והחבלות</w:t>
      </w:r>
      <w:r>
        <w:rPr>
          <w:rtl w:val="true"/>
        </w:rPr>
        <w:t xml:space="preserve">. </w:t>
      </w:r>
      <w:r>
        <w:rPr>
          <w:rtl w:val="true"/>
        </w:rPr>
        <w:t>כן הוסכם על השכנת שלום בין המשפחות ועל הסדרת היחסים ביניהם</w:t>
      </w:r>
      <w:r>
        <w:rPr>
          <w:rtl w:val="true"/>
        </w:rPr>
        <w:t xml:space="preserve">. </w:t>
      </w:r>
      <w:r>
        <w:rPr>
          <w:rtl w:val="true"/>
        </w:rPr>
        <w:t>הצדדים אף התחייבו לפנות למשטרת ישראל ולבקש את ביטול התלונות שהוגשו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Miriam"/>
          <w:b/>
          <w:color w:val="000000"/>
          <w:spacing w:val="0"/>
          <w:sz w:val="22"/>
          <w:szCs w:val="24"/>
        </w:rPr>
      </w:pPr>
      <w:r>
        <w:rPr>
          <w:rtl w:val="true"/>
        </w:rPr>
        <w:t xml:space="preserve">בתאריך </w:t>
      </w:r>
      <w:r>
        <w:rPr/>
        <w:t>25.04.2017</w:t>
      </w:r>
      <w:r>
        <w:rPr>
          <w:rtl w:val="true"/>
        </w:rPr>
        <w:t xml:space="preserve">, </w:t>
      </w:r>
      <w:r>
        <w:rPr>
          <w:rtl w:val="true"/>
        </w:rPr>
        <w:t>בית המשפט המחוזי הנכבד גזר את דינו של 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ascii="Century" w:hAnsi="Century" w:cs="Century"/>
          <w:sz w:val="22"/>
          <w:sz w:val="22"/>
          <w:rtl w:val="true"/>
        </w:rPr>
        <w:t xml:space="preserve"> קביעת מתחם העונש ההולם בעניינו של המערער – בית המשפט המחוזי הנכבד </w:t>
      </w:r>
      <w:r>
        <w:rPr>
          <w:rtl w:val="true"/>
        </w:rPr>
        <w:t>עמד בהרחבה על הערך החברתי שנפגע מביצוע העבירה</w:t>
      </w:r>
      <w:r>
        <w:rPr>
          <w:rtl w:val="true"/>
        </w:rPr>
        <w:t xml:space="preserve">, </w:t>
      </w:r>
      <w:r>
        <w:rPr>
          <w:rtl w:val="true"/>
        </w:rPr>
        <w:t>על מדיניות הענישה הנהוגה בעבירות דומות</w:t>
      </w:r>
      <w:r>
        <w:rPr>
          <w:rtl w:val="true"/>
        </w:rPr>
        <w:t xml:space="preserve">, </w:t>
      </w:r>
      <w:r>
        <w:rPr>
          <w:rtl w:val="true"/>
        </w:rPr>
        <w:t>ועל הנסיבות הקשורות בביצוע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color w:val="000000"/>
          <w:spacing w:val="0"/>
          <w:sz w:val="22"/>
          <w:szCs w:val="24"/>
        </w:rPr>
      </w:pPr>
      <w:r>
        <w:rPr>
          <w:rFonts w:cs="Miriam" w:ascii="Century" w:hAnsi="Century"/>
          <w:b/>
          <w:color w:val="000000"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באשר לערך החברתי שנפגע מביצוע עבירות האלימות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נקבע כי מעשיו של </w:t>
      </w:r>
      <w:r>
        <w:rPr>
          <w:rtl w:val="true"/>
        </w:rPr>
        <w:t>המערער פגעו בערך קדושת החיים ובזכותו של אדם לשלמות גופו</w:t>
      </w:r>
      <w:r>
        <w:rPr>
          <w:rtl w:val="true"/>
        </w:rPr>
        <w:t xml:space="preserve">, </w:t>
      </w:r>
      <w:r>
        <w:rPr>
          <w:rtl w:val="true"/>
        </w:rPr>
        <w:t>כאשר במעשיו היה כדי לסכן חיי אדם</w:t>
      </w:r>
      <w:r>
        <w:rPr>
          <w:rtl w:val="true"/>
        </w:rPr>
        <w:t xml:space="preserve">. </w:t>
      </w:r>
      <w:r>
        <w:rPr>
          <w:rtl w:val="true"/>
        </w:rPr>
        <w:t>כן נקבע כי מעשיו של המערער אף פגעו בסדר הציבורי ובשלטון החוק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לעניין מדיניות הענישה הנהוגה – בית המשפט המחוזי הנכבד בחן את מדיניות </w:t>
      </w:r>
      <w:r>
        <w:rPr>
          <w:rtl w:val="true"/>
        </w:rPr>
        <w:t>הענישה הנוהגת בעבירות גרימת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r>
        <w:rPr>
          <w:rFonts w:ascii="Century" w:hAnsi="Century" w:cs="Century"/>
          <w:sz w:val="22"/>
          <w:sz w:val="22"/>
          <w:rtl w:val="true"/>
        </w:rPr>
        <w:t>בעבירות דקירה באמצעות כלי נשק קר בהן נדקרו קורבנות חסרי הגנה באורח קשה</w:t>
      </w:r>
      <w:r>
        <w:rPr>
          <w:rFonts w:cs="Century" w:ascii="Century" w:hAnsi="Century"/>
          <w:sz w:val="22"/>
          <w:rtl w:val="true"/>
        </w:rPr>
        <w:t xml:space="preserve">,  </w:t>
      </w:r>
      <w:r>
        <w:rPr>
          <w:rFonts w:ascii="Century" w:hAnsi="Century" w:cs="Century"/>
          <w:sz w:val="22"/>
          <w:sz w:val="22"/>
          <w:rtl w:val="true"/>
        </w:rPr>
        <w:t>מן הסוג מושא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וקבע כי מתחם העונש ההולם בעניינו של המערער נע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הנסיבות הקשורות לביצוע העבירה – בית משפט המחוזי הנכבד עמד על כך כי מעשיו של המערער היו מתוכננים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ובוצעו לאחר דין ודברים עם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הצטיידות בכלי הנשק הקרים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רדיפה אחר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והשמעת איומים בפניו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בבואו לקבוע את עונשו של המערער בתוך מתחם הענישה – בית המשפט המחוזי הנכבד קבע </w:t>
      </w:r>
      <w:r>
        <w:rPr>
          <w:rFonts w:ascii="Century" w:hAnsi="Century" w:cs="Century"/>
          <w:sz w:val="22"/>
          <w:sz w:val="22"/>
          <w:rtl w:val="true"/>
        </w:rPr>
        <w:t xml:space="preserve">כי במסגרת הנסיבות שאינן קשורות בביצוע העבירה יש לזקוף לזכותו של </w:t>
      </w:r>
      <w:r>
        <w:rPr>
          <w:rtl w:val="true"/>
        </w:rPr>
        <w:t>המערער את השיקולים הבאים</w:t>
      </w:r>
      <w:r>
        <w:rPr>
          <w:rtl w:val="true"/>
        </w:rPr>
        <w:t xml:space="preserve">: </w:t>
      </w:r>
      <w:r>
        <w:rPr>
          <w:rtl w:val="true"/>
        </w:rPr>
        <w:t>את הודאתו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את האחריות שנטל למעשיו</w:t>
      </w:r>
      <w:r>
        <w:rPr>
          <w:rtl w:val="true"/>
        </w:rPr>
        <w:t xml:space="preserve">, </w:t>
      </w:r>
      <w:r>
        <w:rPr>
          <w:rtl w:val="true"/>
        </w:rPr>
        <w:t>את הפגיעה שתיגרם לבני משפחתו</w:t>
      </w:r>
      <w:r>
        <w:rPr>
          <w:rtl w:val="true"/>
        </w:rPr>
        <w:t xml:space="preserve">, </w:t>
      </w:r>
      <w:r>
        <w:rPr>
          <w:rtl w:val="true"/>
        </w:rPr>
        <w:t xml:space="preserve">ואת הסכם </w:t>
      </w:r>
      <w:r>
        <w:rPr>
          <w:rtl w:val="true"/>
        </w:rPr>
        <w:t>"</w:t>
      </w:r>
      <w:r>
        <w:rPr>
          <w:rtl w:val="true"/>
        </w:rPr>
        <w:t>הסולחה</w:t>
      </w:r>
      <w:r>
        <w:rPr>
          <w:rtl w:val="true"/>
        </w:rPr>
        <w:t xml:space="preserve">" </w:t>
      </w:r>
      <w:r>
        <w:rPr>
          <w:rtl w:val="true"/>
        </w:rPr>
        <w:t>שנערך בין הצדדים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 המשפט המחוזי הנכבד שקל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לחומרא את עברו הפלילי המכביד של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הכולל</w:t>
      </w:r>
      <w:r>
        <w:rPr>
          <w:rtl w:val="true"/>
        </w:rPr>
        <w:t xml:space="preserve"> הרשעות בעבירות אלימות</w:t>
      </w:r>
      <w:r>
        <w:rPr>
          <w:rtl w:val="true"/>
        </w:rPr>
        <w:t xml:space="preserve">, </w:t>
      </w:r>
      <w:r>
        <w:rPr>
          <w:rtl w:val="true"/>
        </w:rPr>
        <w:t>בגינן ריצה עונשי מאסר ממושכים</w:t>
      </w:r>
      <w:r>
        <w:rPr>
          <w:rtl w:val="true"/>
        </w:rPr>
        <w:t xml:space="preserve">, </w:t>
      </w:r>
      <w:r>
        <w:rPr>
          <w:rtl w:val="true"/>
        </w:rPr>
        <w:t xml:space="preserve">ואת עונש המאסר המותנה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החודשים שהיה תלוי ועומד כנגדו </w:t>
      </w:r>
      <w:r>
        <w:rPr>
          <w:rtl w:val="true"/>
        </w:rPr>
        <w:t>–</w:t>
      </w:r>
      <w:r>
        <w:rPr>
          <w:rtl w:val="true"/>
        </w:rPr>
        <w:t xml:space="preserve"> שלא הרתיעו מלשוב ולבצע עבירות נוספות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לנוכח כל האמור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ולאחר שאיזן בין כל השיקולים הרלבנטיים – בית המשפט המחוזי הנכבד השית על המערער את העונשים המפורטים בפיסקה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שלעיל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שבפנינו המכוון כנגד גזר דינו של בית המשפט המחוזי הנכבד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sz w:val="28"/>
          <w:sz w:val="28"/>
          <w:rtl w:val="true"/>
        </w:rPr>
        <w:t>המערער השיג בתחילה על הן על חומרת עונש המאסר שהושת עליו בגזר הדין והן על השתת הפיצוי הכספי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ואולם במהלך הדיון שנערך בפנינו בתאריך </w:t>
      </w:r>
      <w:r>
        <w:rPr>
          <w:sz w:val="28"/>
        </w:rPr>
        <w:t>15.04.2018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כוחו של המערער חזר בו מטענותיו לעניין חומרת עונש המאסר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וכעת הוא מלין על רכיב הפיצוי בלבד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לשיטתו של המערער בית המשפט המחוזי הנכבד שגה בכך שהשית עליו תשלום פיצוי בסך של </w:t>
      </w:r>
      <w:r>
        <w:rPr>
          <w:sz w:val="28"/>
        </w:rPr>
        <w:t>25,000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בנוסף לסכום ששולם למתלונן במסגרת הסכם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הסולחה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לשיטתו של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סכום הפיצוי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אליו הגיעו הצדדים במסגרת הסכם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הסולחה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מגלם בתוכו גם את רכיב הפיצוי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 שהוא מפנה ל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בהסכם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הסולחה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לפיו</w:t>
      </w:r>
      <w:r>
        <w:rPr>
          <w:rFonts w:cs="Century" w:ascii="Century" w:hAnsi="Century"/>
          <w:rtl w:val="true"/>
        </w:rPr>
        <w:t xml:space="preserve">: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כל צד קיבל מה את מה שמגיע לו</w:t>
      </w:r>
      <w:r>
        <w:rPr>
          <w:rFonts w:ascii="Century" w:hAnsi="Century" w:cs="Century"/>
          <w:rtl w:val="true"/>
        </w:rPr>
        <w:t xml:space="preserve"> ואת זכויותיו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ושאין לצד אחד הזכות לטעון כל טענה כלפי הצד האחר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עוד טען 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 של המערער בהקשר זה כי</w:t>
      </w:r>
      <w:r>
        <w:rPr>
          <w:rtl w:val="true"/>
        </w:rPr>
        <w:t xml:space="preserve"> בית המשפט המחוזי הנכבד לא נתן את המשקל הראוי להסכם </w:t>
      </w:r>
      <w:r>
        <w:rPr>
          <w:rtl w:val="true"/>
        </w:rPr>
        <w:t>"</w:t>
      </w:r>
      <w:r>
        <w:rPr>
          <w:rtl w:val="true"/>
        </w:rPr>
        <w:t>הסולחה</w:t>
      </w:r>
      <w:r>
        <w:rPr>
          <w:rtl w:val="true"/>
        </w:rPr>
        <w:t xml:space="preserve">" </w:t>
      </w:r>
      <w:r>
        <w:rPr>
          <w:rtl w:val="true"/>
        </w:rPr>
        <w:t>שנערך בין הצדדים</w:t>
      </w:r>
      <w:r>
        <w:rPr>
          <w:rtl w:val="true"/>
        </w:rPr>
        <w:t xml:space="preserve">, </w:t>
      </w:r>
      <w:r>
        <w:rPr>
          <w:rtl w:val="true"/>
        </w:rPr>
        <w:t>לנסיבותיו האישיות המו</w:t>
      </w:r>
      <w:r>
        <w:rPr>
          <w:rtl w:val="true"/>
        </w:rPr>
        <w:t>רכבות</w:t>
      </w:r>
      <w:r>
        <w:rPr>
          <w:rtl w:val="true"/>
        </w:rPr>
        <w:t xml:space="preserve"> של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ולמצבו הכלכלי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 בא</w:t>
      </w:r>
      <w:r>
        <w:rPr>
          <w:rtl w:val="true"/>
        </w:rPr>
        <w:t>-</w:t>
      </w:r>
      <w:r>
        <w:rPr>
          <w:rtl w:val="true"/>
        </w:rPr>
        <w:t>כוחו של המערער כי הערעור יתקבל לעניין רכיב הפיצוי</w:t>
      </w:r>
      <w:r>
        <w:rPr>
          <w:rtl w:val="true"/>
        </w:rPr>
        <w:t xml:space="preserve">, </w:t>
      </w:r>
      <w:r>
        <w:rPr>
          <w:rtl w:val="true"/>
        </w:rPr>
        <w:t>כך שהפיצוי יבוטל</w:t>
      </w:r>
      <w:r>
        <w:rPr>
          <w:rtl w:val="true"/>
        </w:rPr>
        <w:t xml:space="preserve">, </w:t>
      </w:r>
      <w:r>
        <w:rPr>
          <w:rtl w:val="true"/>
        </w:rPr>
        <w:t>או שיופחת משמעותית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 המשיבה טענה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גזר דינו של בית המשפט המחוזי הנכבד הולם את חומרת העבירות בהן המערער 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 מבטא איזון ראוי בין מכלול השיקולים הרלבנטיים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בחומרה היתרה הגלומה בעבירות אלימות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 המשיבה ציינה בנוסף כי בית המשפט המחוזי הנכבד היה מודע היטב להסכם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הסולחה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 xml:space="preserve">וכי השיקולים ביסוד הסכם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הסולחה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שעשויים להביא להקלה בעונש המאסר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שונים מהשיקולים במסגרת פסיקת פיצוי כספי למתלונן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ומשכך יש להותיר את הפיצוי על כנו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כן נמסר לנו בעת הדיון כי המתלונן </w:t>
      </w:r>
      <w:r>
        <w:rPr>
          <w:rtl w:val="true"/>
        </w:rPr>
        <w:t>(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איננו מוכן לוותר על הפיצויים שנפסקו לטובתו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"/>
          <w:szCs w:val="4"/>
        </w:rPr>
      </w:pPr>
      <w:r>
        <w:rPr>
          <w:rFonts w:cs="Miriam" w:ascii="Times New Roman" w:hAnsi="Times New Roman"/>
          <w:spacing w:val="0"/>
          <w:sz w:val="2"/>
          <w:szCs w:val="4"/>
          <w:rtl w:val="true"/>
        </w:rPr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sz w:val="28"/>
          <w:rtl w:val="true"/>
        </w:rPr>
        <w:t xml:space="preserve"> </w:t>
      </w:r>
      <w:r>
        <w:rPr>
          <w:rtl w:val="true"/>
        </w:rPr>
        <w:t>לאחר עיון במכלול החומר ושמיעת טיעוני באי</w:t>
      </w:r>
      <w:r>
        <w:rPr>
          <w:rtl w:val="true"/>
        </w:rPr>
        <w:t>-</w:t>
      </w:r>
      <w:r>
        <w:rPr>
          <w:rtl w:val="true"/>
        </w:rPr>
        <w:t xml:space="preserve">כוח הצדדים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 הערעור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הטעמים לכך יובאו בקצרה להלן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Times New Roman" w:hAnsi="Times New Roman" w:cs="Times New Roman"/>
          <w:rtl w:val="true"/>
        </w:rPr>
        <w:t>הלכה היא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ערכאת הערעור לא תתערב בשיקול דעתה של הערכאה הדיונית בקביעת הפיצוי אלא במקרים יוצאי דופן בהם חרגה באופן קיצוני משיעור הפיצוי הראוי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bookmarkStart w:id="10" w:name="Links_Start"/>
      <w:r>
        <w:rPr>
          <w:rFonts w:cs="Times New Roman" w:ascii="Times New Roman" w:hAnsi="Times New Roman"/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2605/12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אלמחתסב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05.03.2013</w:t>
      </w:r>
      <w:r>
        <w:rPr>
          <w:rFonts w:cs="Arial TUR;Arial" w:ascii="Arial TUR;Arial" w:hAnsi="Arial TUR;Arial"/>
          <w:sz w:val="22"/>
          <w:rtl w:val="true"/>
        </w:rPr>
        <w:t>);</w:t>
      </w:r>
      <w:r>
        <w:rPr>
          <w:rFonts w:cs="Arimo;Times New Roman" w:ascii="Arimo;Times New Roman" w:hAnsi="Arimo;Times New Roman"/>
          <w:sz w:val="21"/>
          <w:szCs w:val="21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קאסם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23.11.2009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כך גם כאשר מועלית טענה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שעושה המערער 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בדבר קיומם של קשיים כלכליים</w:t>
      </w:r>
      <w:bookmarkEnd w:id="10"/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ביאדסה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2.08.2012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הפיצוי לטובת המתלונן </w:t>
      </w:r>
      <w:r>
        <w:rPr>
          <w:rtl w:val="true"/>
        </w:rPr>
        <w:t>(</w:t>
      </w:r>
      <w:r>
        <w:rPr>
          <w:rtl w:val="true"/>
        </w:rPr>
        <w:t>נפגע העבירה</w:t>
      </w:r>
      <w:r>
        <w:rPr>
          <w:rtl w:val="true"/>
        </w:rPr>
        <w:t xml:space="preserve">) </w:t>
      </w:r>
      <w:r>
        <w:rPr>
          <w:rtl w:val="true"/>
        </w:rPr>
        <w:t xml:space="preserve">נפסק מכוחו של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מורה 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גביה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;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ייזקף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בהקשר זה נקבע נקבע כי הפיצוי שנפסק מכוח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איננו בבחינת עונש נוסף המוטל על הנאשם בגין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כי אם בבחינת פיצוי לנפגע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הפיצוי האמור יש לו מספר תכליות שונות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מתן סעד מהיר לנפגע העבירה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הכרה חברתית בסבלו של הנפגע</w:t>
      </w:r>
      <w:r>
        <w:rPr>
          <w:rtl w:val="true"/>
        </w:rPr>
        <w:t xml:space="preserve">; </w:t>
      </w:r>
      <w:r>
        <w:rPr>
          <w:rtl w:val="true"/>
        </w:rPr>
        <w:t>העלאת מעמדו של קורבן העבירה בהליך הפלילי</w:t>
      </w:r>
      <w:r>
        <w:rPr>
          <w:rtl w:val="true"/>
        </w:rPr>
        <w:t xml:space="preserve">, </w:t>
      </w:r>
      <w:r>
        <w:rPr>
          <w:rtl w:val="true"/>
        </w:rPr>
        <w:t>כחלק מהמגמה לשלבו בהליך הפלילי ולהכיר בזכויותיו במסגרת הליך זה ואף יסוד של היטהרות לעבריין עצמו</w:t>
      </w:r>
      <w:r>
        <w:rPr>
          <w:rtl w:val="true"/>
        </w:rPr>
        <w:t xml:space="preserve">, </w:t>
      </w:r>
      <w:r>
        <w:rPr>
          <w:rtl w:val="true"/>
        </w:rPr>
        <w:t xml:space="preserve">שחיובו בפיצוי לטובת הנפגע עשוי לתרום לשיקומו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08.08.2007</w:t>
      </w:r>
      <w:r>
        <w:rPr>
          <w:rtl w:val="true"/>
        </w:rPr>
        <w:t xml:space="preserve">);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6897/06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בודגזר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26.02.2008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לא שוכנענו כי במקרה שלפנינו מוצדקת התערבות בית משפט זה</w:t>
      </w:r>
      <w:r>
        <w:rPr>
          <w:rFonts w:ascii="Times New Roman" w:hAnsi="Times New Roman" w:cs="Times New Roman"/>
          <w:rtl w:val="true"/>
        </w:rPr>
        <w:t xml:space="preserve"> בשיעור הפיצוי שנפסק על ידי בית המשפט המחוזי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הנכבד זקף לקולת המערער את הסכם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הסולחה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שנערך בין הצדדים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בציינו כי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הסולחה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>"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הנכבד קבע כי על המערער </w:t>
      </w:r>
      <w:r>
        <w:rPr>
          <w:rFonts w:ascii="Times New Roman" w:hAnsi="Times New Roman" w:cs="Times New Roman"/>
          <w:rtl w:val="true"/>
        </w:rPr>
        <w:t xml:space="preserve">לפצות את המתלונן בסך של </w:t>
      </w:r>
      <w:r>
        <w:rPr>
          <w:rFonts w:cs="Times New Roman" w:ascii="Times New Roman" w:hAnsi="Times New Roman"/>
        </w:rPr>
        <w:t>25,000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וזאת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לסכומים שהועברו לו במסגרת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הסכם הסולחה</w:t>
      </w:r>
      <w:r>
        <w:rPr>
          <w:rFonts w:cs="Times New Roman" w:ascii="Times New Roman" w:hAnsi="Times New Roman"/>
          <w:rtl w:val="true"/>
        </w:rPr>
        <w:t xml:space="preserve">".  </w:t>
      </w:r>
      <w:r>
        <w:rPr>
          <w:rtl w:val="true"/>
        </w:rPr>
        <w:t>ואכן סכום הפיצוי נתון לשיקול דעת בית המשפט ואין הוא מוגבל לסכום שנקצב על</w:t>
      </w:r>
      <w:r>
        <w:rPr>
          <w:rtl w:val="true"/>
        </w:rPr>
        <w:t>-</w:t>
      </w:r>
      <w:r>
        <w:rPr>
          <w:rtl w:val="true"/>
        </w:rPr>
        <w:t xml:space="preserve">ידי הצדדים </w:t>
      </w:r>
      <w:r>
        <w:rPr>
          <w:rtl w:val="true"/>
        </w:rPr>
        <w:t>"</w:t>
      </w:r>
      <w:r>
        <w:rPr>
          <w:rtl w:val="true"/>
        </w:rPr>
        <w:t>בהסכם הסולחה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מה גם שבעת הדיון נמסר לנו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שהמתלונן איננו מוכן לוותר על הפיצויים שנפסקו לטובתו</w:t>
      </w:r>
      <w:r>
        <w:rPr>
          <w:rtl w:val="true"/>
        </w:rPr>
        <w:t xml:space="preserve">. </w:t>
      </w:r>
      <w:r>
        <w:rPr>
          <w:rtl w:val="true"/>
        </w:rPr>
        <w:t xml:space="preserve">אם נאמר אחרת </w:t>
      </w:r>
      <w:r>
        <w:rPr>
          <w:rtl w:val="true"/>
        </w:rPr>
        <w:t>–</w:t>
      </w:r>
      <w:r>
        <w:rPr>
          <w:rtl w:val="true"/>
        </w:rPr>
        <w:t xml:space="preserve"> יאוין כוחו של בית המשפט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ובנושא זה כמו גם בשאלות של ביטול תלונה והפסקת הליכים</w:t>
      </w:r>
      <w:r>
        <w:rPr>
          <w:rtl w:val="true"/>
        </w:rPr>
        <w:t>–</w:t>
      </w:r>
      <w:r>
        <w:rPr>
          <w:rtl w:val="true"/>
        </w:rPr>
        <w:t xml:space="preserve"> אין רשויות האכיפה ובתי המשפט תלויים ברצונם הבלעדי של הצדדים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זאת ועוד </w:t>
      </w:r>
      <w:r>
        <w:rPr>
          <w:rtl w:val="true"/>
        </w:rPr>
        <w:t>–</w:t>
      </w:r>
      <w:r>
        <w:rPr>
          <w:rtl w:val="true"/>
        </w:rPr>
        <w:t xml:space="preserve"> אחרת</w:t>
      </w:r>
      <w:r>
        <w:rPr>
          <w:rtl w:val="true"/>
        </w:rPr>
        <w:t xml:space="preserve">. </w:t>
      </w:r>
      <w:r>
        <w:rPr>
          <w:rtl w:val="true"/>
        </w:rPr>
        <w:t xml:space="preserve">לאחר שבחנו הדברים גם לגופם </w:t>
      </w:r>
      <w:r>
        <w:rPr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הגענו למסקנה כי בית משפט המחוזי הנכבד ערך איזון ראוי בין כלל השיקולים לקולא ולחומרא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וגזר הדין אשר יצא מלפניו שיקלל כדבעי את כלל הנסיבות הצריכות לעניין</w:t>
      </w:r>
      <w:r>
        <w:rPr>
          <w:rtl w:val="true"/>
        </w:rPr>
        <w:t xml:space="preserve">, </w:t>
      </w:r>
      <w:r>
        <w:rPr>
          <w:rtl w:val="true"/>
        </w:rPr>
        <w:t>ומכאן שאין עילה להתערב ברכיב הפיצוי שהושת על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נוכח כל האמור לעיל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לא מצאנו כי יש לשנות מגזר דינו של 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 xml:space="preserve">ועל כן החלטנו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ט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באייר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24.04.2018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17047370</w:t>
      </w:r>
      <w:r>
        <w:rPr>
          <w:sz w:val="16"/>
          <w:rtl w:val="true"/>
        </w:rPr>
        <w:t>_</w:t>
      </w:r>
      <w:r>
        <w:rPr>
          <w:sz w:val="16"/>
        </w:rPr>
        <w:t>K08.doc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שח</w:t>
      </w:r>
      <w:r>
        <w:rPr>
          <w:rtl w:val="true"/>
        </w:rPr>
        <w:t>+</w:t>
      </w:r>
      <w:r>
        <w:rPr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54678313-4737/17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mo">
    <w:altName w:val="arial"/>
    <w:charset w:val="00" w:characterSet="windows-1252"/>
    <w:family w:val="auto"/>
    <w:pitch w:val="default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4737/17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אחמד שחאדה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cs="FrankRuehl"/>
      <w:b w:val="false"/>
      <w:bCs w:val="false"/>
      <w:sz w:val="28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4776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case/22047765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case/5580943" TargetMode="External"/><Relationship Id="rId18" Type="http://schemas.openxmlformats.org/officeDocument/2006/relationships/hyperlink" Target="http://www.nevo.co.il/case/5685874" TargetMode="External"/><Relationship Id="rId19" Type="http://schemas.openxmlformats.org/officeDocument/2006/relationships/hyperlink" Target="http://www.nevo.co.il/case/6245504" TargetMode="External"/><Relationship Id="rId20" Type="http://schemas.openxmlformats.org/officeDocument/2006/relationships/hyperlink" Target="http://www.nevo.co.il/case/5581520" TargetMode="External"/><Relationship Id="rId21" Type="http://schemas.openxmlformats.org/officeDocument/2006/relationships/hyperlink" Target="http://www.nevo.co.il/law/70301/77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7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68564" TargetMode="External"/><Relationship Id="rId26" Type="http://schemas.openxmlformats.org/officeDocument/2006/relationships/hyperlink" Target="http://www.nevo.co.il/case/6158650" TargetMode="External"/><Relationship Id="rId27" Type="http://schemas.openxmlformats.org/officeDocument/2006/relationships/hyperlink" Target="http://www.nevo.co.il/case/5727030" TargetMode="External"/><Relationship Id="rId28" Type="http://schemas.openxmlformats.org/officeDocument/2006/relationships/hyperlink" Target="http://www.nevo.co.il/law/70301/7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2018-05-20T13:14:00Z</dcterms:created>
  <dc:creator> </dc:creator>
  <dc:description/>
  <cp:keywords/>
  <dc:language>en-IL</dc:language>
  <cp:lastModifiedBy>orly</cp:lastModifiedBy>
  <cp:lastPrinted>2018-04-22T13:35:00Z</cp:lastPrinted>
  <dcterms:modified xsi:type="dcterms:W3CDTF">2018-05-20T13:14:00Z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שחאדה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ישראל;חן (באסם) 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22047765:2;5580943;5685874;6245504;5581520;5868564;6158650;5727030</vt:lpwstr>
  </property>
  <property fmtid="{D5CDD505-2E9C-101B-9397-08002B2CF9AE}" pid="9" name="CITY">
    <vt:lpwstr/>
  </property>
  <property fmtid="{D5CDD505-2E9C-101B-9397-08002B2CF9AE}" pid="10" name="DATE">
    <vt:lpwstr>20180424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אלרון;ח' מלצר</vt:lpwstr>
  </property>
  <property fmtid="{D5CDD505-2E9C-101B-9397-08002B2CF9AE}" pid="14" name="LAWLISTTMP1">
    <vt:lpwstr>70301/333;335.a.1;335.a.2;029;186.a;077:3</vt:lpwstr>
  </property>
  <property fmtid="{D5CDD505-2E9C-101B-9397-08002B2CF9AE}" pid="15" name="LAWYER">
    <vt:lpwstr>נעימה חנאווי כראם;סאהר פאר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פיצויים והוצאות</vt:lpwstr>
  </property>
  <property fmtid="{D5CDD505-2E9C-101B-9397-08002B2CF9AE}" pid="38" name="NOSE210">
    <vt:lpwstr/>
  </property>
  <property fmtid="{D5CDD505-2E9C-101B-9397-08002B2CF9AE}" pid="39" name="NOSE22">
    <vt:lpwstr>פיצויים והוצאות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1447;1447;504</vt:lpwstr>
  </property>
  <property fmtid="{D5CDD505-2E9C-101B-9397-08002B2CF9AE}" pid="48" name="NOSE31">
    <vt:lpwstr>פיצויו של מי שניזוק על-ידי העבירה</vt:lpwstr>
  </property>
  <property fmtid="{D5CDD505-2E9C-101B-9397-08002B2CF9AE}" pid="49" name="NOSE310">
    <vt:lpwstr/>
  </property>
  <property fmtid="{D5CDD505-2E9C-101B-9397-08002B2CF9AE}" pid="50" name="NOSE32">
    <vt:lpwstr>פיצויים לקורבן</vt:lpwstr>
  </property>
  <property fmtid="{D5CDD505-2E9C-101B-9397-08002B2CF9AE}" pid="51" name="NOSE33">
    <vt:lpwstr>על חיוב בפיצוי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9011;9013;17833</vt:lpwstr>
  </property>
  <property fmtid="{D5CDD505-2E9C-101B-9397-08002B2CF9AE}" pid="59" name="PADIDATE">
    <vt:lpwstr>20180426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4737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410120180424</vt:lpwstr>
  </property>
  <property fmtid="{D5CDD505-2E9C-101B-9397-08002B2CF9AE}" pid="69" name="TYPE_N_DATE">
    <vt:lpwstr>41020180424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