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4751/17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11452-01-16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27.6.2018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ארמלי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336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383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451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452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2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1981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5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11" w:name="ABSTRACT_START"/>
      <w:bookmarkEnd w:id="11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נפלה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שגגה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נימקה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כנדרש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טעמיה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למתחמי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קשורות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הובאו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בחשבון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יחד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שגגה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כגון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מצדיקה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בוחנת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בהתייחס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למכלול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ובודקת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בתוצאתו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הסופית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נמצא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מחוזי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בגדרו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לרצות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7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בנוסף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חויב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אחייניתו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ילידת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1998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ניתנה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spacing w:val="0"/>
          <w:sz w:val="24"/>
          <w:sz w:val="24"/>
          <w:szCs w:val="26"/>
          <w:rtl w:val="true"/>
        </w:rPr>
        <w:t>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כספי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75,000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rFonts w:eastAsia="FrankRuehl" w:ascii="FrankRuehl" w:hAnsi="FrankRuehl"/>
          <w:spacing w:val="0"/>
          <w:sz w:val="24"/>
          <w:szCs w:val="26"/>
          <w:rtl w:val="true"/>
        </w:rPr>
        <w:t>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בעקבות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עפ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הודאתו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הסדר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טיעון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מגונים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מספר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spacing w:val="0"/>
          <w:sz w:val="24"/>
          <w:szCs w:val="26"/>
          <w:rtl w:val="true"/>
        </w:rPr>
        <w:t xml:space="preserve">); </w:t>
      </w:r>
      <w:r>
        <w:rPr>
          <w:spacing w:val="0"/>
          <w:sz w:val="24"/>
          <w:sz w:val="24"/>
          <w:szCs w:val="26"/>
          <w:rtl w:val="true"/>
        </w:rPr>
        <w:t>שימוש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מסוכן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בפרטיות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גניבה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איומים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היזק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חיים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היזק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בזדון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סולברג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בהסכמת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וילנר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מהטעמים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הבאים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הלכה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פסוקה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גוזרת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מחדש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ותתערב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מהותית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חורג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מהמקובל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קיצוני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בנדון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דידן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נפלה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שגגה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נימקה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כנדרש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טעמיה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למתחמי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קשורות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הובאו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בחשבון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יחד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שגגה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כגון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מצדיקה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בוחנת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בהתייחס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למכלול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ובודקת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בתוצאתו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הסופית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טיעוניו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זהים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במהותם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לטיעוניו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תוצאת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התחשב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הטיעונים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שהובאו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לפניו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ושיקלל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משכך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לטענת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גובהם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היחסי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שנקבעו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ניצל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האמון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לפגוע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בפרטיותה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ולהטיל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לשבש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אורחות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בדרכים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ומשונות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מסכת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שנחשפה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במתלוננת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והשפעותיה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ניכרות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היום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השפעה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הועצמה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המשפחתי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ותחושת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הזרות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הבסיסית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חווה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בישראל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מוטלת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להוקיע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שכאלה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הולמת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ומתחמי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שנקבעו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הולמים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היטב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השפעת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זרותו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בישראל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ופערי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האסירים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ראויים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קביעת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לציין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לחיוב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שיתוף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הפעולה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רשויות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החוק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הודייתו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במהלך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וחרטתו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עליהם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תוצאת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התחשבות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אלה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2" w:name="ABSTRACT_END"/>
      <w:bookmarkStart w:id="13" w:name="ABSTRACT_END"/>
      <w:bookmarkEnd w:id="13"/>
    </w:p>
    <w:p>
      <w:pPr>
        <w:pStyle w:val="BODYVERDICT"/>
        <w:ind w:end="0"/>
        <w:jc w:val="center"/>
        <w:rPr>
          <w:sz w:val="32"/>
          <w:szCs w:val="32"/>
        </w:rPr>
      </w:pPr>
      <w:bookmarkStart w:id="14" w:name="PsakDin"/>
      <w:bookmarkStart w:id="15" w:name="LawTable_End"/>
      <w:bookmarkEnd w:id="14"/>
      <w:bookmarkEnd w:id="15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6" w:name="PsakDin"/>
      <w:bookmarkStart w:id="17" w:name="PsakDin"/>
      <w:bookmarkEnd w:id="17"/>
    </w:p>
    <w:p>
      <w:pPr>
        <w:pStyle w:val="BODYVERDICT"/>
        <w:ind w:end="0"/>
        <w:jc w:val="start"/>
        <w:rPr/>
      </w:pPr>
      <w:bookmarkStart w:id="18" w:name="Writer_Name"/>
      <w:bookmarkEnd w:id="18"/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cs="Times New Roman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נ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 w:val="24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11452-01-16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26.4.2017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cs="Miriam"/>
          <w:b/>
          <w:spacing w:val="0"/>
          <w:sz w:val="20"/>
          <w:szCs w:val="24"/>
        </w:rPr>
      </w:pPr>
      <w:r>
        <w:rPr>
          <w:rFonts w:cs="Miriam"/>
          <w:b/>
          <w:spacing w:val="0"/>
          <w:sz w:val="20"/>
          <w:szCs w:val="24"/>
          <w:rtl w:val="true"/>
        </w:rPr>
      </w:r>
    </w:p>
    <w:p>
      <w:pPr>
        <w:pStyle w:val="Ruller41"/>
        <w:spacing w:lineRule="auto" w:line="480"/>
        <w:ind w:end="0"/>
        <w:jc w:val="both"/>
        <w:rPr>
          <w:sz w:val="20"/>
        </w:rPr>
      </w:pP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רקע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ועיקרי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הפרטיות</w:t>
      </w:r>
      <w:r>
        <w:rPr>
          <w:rtl w:val="true"/>
        </w:rPr>
        <w:t xml:space="preserve">);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ששכבה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18.3.2013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בונדורמין</w:t>
      </w:r>
      <w:r>
        <w:rPr>
          <w:rtl w:val="true"/>
        </w:rPr>
        <w:t xml:space="preserve">" </w:t>
      </w:r>
      <w:r>
        <w:rPr>
          <w:rtl w:val="true"/>
        </w:rPr>
        <w:t>המיועדת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למשקאות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שנרדמו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ולאחיה</w:t>
      </w:r>
      <w:r>
        <w:rPr>
          <w:rtl w:val="true"/>
        </w:rPr>
        <w:t xml:space="preserve">, </w:t>
      </w:r>
      <w:r>
        <w:rPr>
          <w:rtl w:val="true"/>
        </w:rPr>
        <w:t>וביים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לגניבה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שגנב</w:t>
      </w:r>
      <w:r>
        <w:rPr>
          <w:rtl w:val="true"/>
        </w:rPr>
        <w:t xml:space="preserve">, </w:t>
      </w:r>
      <w:r>
        <w:rPr>
          <w:rtl w:val="true"/>
        </w:rPr>
        <w:t>וחילץ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26.5.2013</w:t>
      </w:r>
      <w:r>
        <w:rPr>
          <w:rtl w:val="true"/>
        </w:rPr>
        <w:t xml:space="preserve">, </w:t>
      </w:r>
      <w:r>
        <w:rPr>
          <w:rtl w:val="true"/>
        </w:rPr>
        <w:t>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התוכי</w:t>
      </w:r>
      <w:r>
        <w:rPr>
          <w:rtl w:val="true"/>
        </w:rPr>
        <w:t xml:space="preserve">,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/>
        <w:t>next your head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פיזר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להתרועע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הראה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לאמהּ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להתרועע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.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צילם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מתקלחת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פייסבוק</w:t>
      </w:r>
      <w:r>
        <w:rPr>
          <w:rtl w:val="true"/>
        </w:rPr>
        <w:t xml:space="preserve">'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פייסבוק</w:t>
      </w:r>
      <w:r>
        <w:rPr>
          <w:rtl w:val="true"/>
        </w:rPr>
        <w:t xml:space="preserve">' </w:t>
      </w:r>
      <w:r>
        <w:rPr>
          <w:rtl w:val="true"/>
        </w:rPr>
        <w:t>ובאתר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אינסטגרם</w:t>
      </w:r>
      <w:r>
        <w:rPr>
          <w:rtl w:val="true"/>
        </w:rPr>
        <w:t xml:space="preserve">' </w:t>
      </w:r>
      <w:r>
        <w:rPr>
          <w:rtl w:val="true"/>
        </w:rPr>
        <w:t>בשמה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המשפט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לאישומים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והצטברות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7-4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18-6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חלחלה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לדמיין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12-8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24-8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הוודאות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תמונותיה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לזרים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בשקלול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ולנוכח התוצאות הקשות שנגרמו כתוצאה ממסכת האירועים בכללותה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מבדידותו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27.6.2018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שכזאת</w:t>
      </w:r>
      <w:r>
        <w:rPr>
          <w:rtl w:val="true"/>
        </w:rPr>
        <w:t xml:space="preserve">,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, </w:t>
      </w:r>
      <w:r>
        <w:rPr>
          <w:rtl w:val="true"/>
        </w:rPr>
        <w:t>החשה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  <w:tab/>
      </w:r>
    </w:p>
    <w:p>
      <w:pPr>
        <w:pStyle w:val="Ruller41"/>
        <w:ind w:end="0"/>
        <w:jc w:val="both"/>
        <w:rPr>
          <w:rFonts w:cs="Miriam"/>
          <w:b/>
          <w:highlight w:val="yellow"/>
        </w:rPr>
      </w:pPr>
      <w:r>
        <w:rPr>
          <w:rFonts w:eastAsia="Arial TUR;Arial" w:cs="Arial TUR;Arial"/>
          <w:rtl w:val="true"/>
        </w:rPr>
        <w:t xml:space="preserve">   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וראו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1167/17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z w:val="18"/>
          <w:sz w:val="18"/>
          <w:szCs w:val="24"/>
          <w:rtl w:val="true"/>
        </w:rPr>
        <w:t>פלוני</w:t>
      </w:r>
      <w:r>
        <w:rPr>
          <w:rFonts w:eastAsia="Arial TUR;Arial" w:cs="Arial TUR;Arial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/>
          <w:b/>
          <w:sz w:val="18"/>
          <w:szCs w:val="24"/>
          <w:rtl w:val="true"/>
        </w:rPr>
        <w:t xml:space="preserve">' </w:t>
      </w:r>
      <w:r>
        <w:rPr>
          <w:rFonts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cs="Miriam"/>
          <w:b/>
          <w:b/>
          <w:sz w:val="18"/>
          <w:sz w:val="18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/>
        <w:t>7.3.2018</w:t>
      </w:r>
      <w:r>
        <w:rPr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rtl w:val="true"/>
        </w:rPr>
        <w:t>בנדון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ובודקת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 w:val="18"/>
          <w:sz w:val="18"/>
          <w:szCs w:val="24"/>
          <w:rtl w:val="true"/>
        </w:rPr>
        <w:t>גבאי</w:t>
      </w:r>
      <w:r>
        <w:rPr>
          <w:rFonts w:eastAsia="Arial TUR;Arial" w:cs="Arial TUR;Arial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/>
          <w:b/>
          <w:sz w:val="18"/>
          <w:szCs w:val="24"/>
          <w:rtl w:val="true"/>
        </w:rPr>
        <w:t xml:space="preserve">' </w:t>
      </w:r>
      <w:r>
        <w:rPr>
          <w:rFonts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cs="Miriam"/>
          <w:b/>
          <w:b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2.7.2018</w:t>
      </w:r>
      <w:r>
        <w:rPr>
          <w:rtl w:val="true"/>
        </w:rPr>
        <w:t xml:space="preserve">)). </w:t>
      </w:r>
      <w:r>
        <w:rPr>
          <w:rtl w:val="true"/>
        </w:rPr>
        <w:t>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ושיקלל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ומשונות</w:t>
      </w:r>
      <w:r>
        <w:rPr>
          <w:rtl w:val="true"/>
        </w:rPr>
        <w:t xml:space="preserve">.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והשפעותיה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ומתחמי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17.7.2018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17047510</w:t>
      </w:r>
      <w:r>
        <w:rPr>
          <w:sz w:val="16"/>
          <w:rtl w:val="true"/>
        </w:rPr>
        <w:t>_</w:t>
      </w:r>
      <w:r>
        <w:rPr>
          <w:sz w:val="16"/>
        </w:rPr>
        <w:t>O01.doc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54678313-4751/17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3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4751/17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6261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6" TargetMode="External"/><Relationship Id="rId5" Type="http://schemas.openxmlformats.org/officeDocument/2006/relationships/hyperlink" Target="http://www.nevo.co.il/law/70301/345.a.3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0301/351.c.1" TargetMode="External"/><Relationship Id="rId8" Type="http://schemas.openxmlformats.org/officeDocument/2006/relationships/hyperlink" Target="http://www.nevo.co.il/law/70301/383.a.1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01/451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1631" TargetMode="External"/><Relationship Id="rId13" Type="http://schemas.openxmlformats.org/officeDocument/2006/relationships/hyperlink" Target="http://www.nevo.co.il/law/71631/2.1" TargetMode="External"/><Relationship Id="rId14" Type="http://schemas.openxmlformats.org/officeDocument/2006/relationships/hyperlink" Target="http://www.nevo.co.il/law/71631/2.3" TargetMode="External"/><Relationship Id="rId15" Type="http://schemas.openxmlformats.org/officeDocument/2006/relationships/hyperlink" Target="http://www.nevo.co.il/law/71631/2.4" TargetMode="External"/><Relationship Id="rId16" Type="http://schemas.openxmlformats.org/officeDocument/2006/relationships/hyperlink" Target="http://www.nevo.co.il/law/71631/5" TargetMode="External"/><Relationship Id="rId17" Type="http://schemas.openxmlformats.org/officeDocument/2006/relationships/hyperlink" Target="http://www.nevo.co.il/case/20862619" TargetMode="External"/><Relationship Id="rId18" Type="http://schemas.openxmlformats.org/officeDocument/2006/relationships/hyperlink" Target="http://www.nevo.co.il/law/70301/351.c.1" TargetMode="External"/><Relationship Id="rId19" Type="http://schemas.openxmlformats.org/officeDocument/2006/relationships/hyperlink" Target="http://www.nevo.co.il/law/70301/348.a" TargetMode="External"/><Relationship Id="rId20" Type="http://schemas.openxmlformats.org/officeDocument/2006/relationships/hyperlink" Target="http://www.nevo.co.il/law/70301/345.a.3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36" TargetMode="External"/><Relationship Id="rId23" Type="http://schemas.openxmlformats.org/officeDocument/2006/relationships/hyperlink" Target="http://www.nevo.co.il/law/71631/5" TargetMode="External"/><Relationship Id="rId24" Type="http://schemas.openxmlformats.org/officeDocument/2006/relationships/hyperlink" Target="http://www.nevo.co.il/law/71631/2.1" TargetMode="External"/><Relationship Id="rId25" Type="http://schemas.openxmlformats.org/officeDocument/2006/relationships/hyperlink" Target="http://www.nevo.co.il/law/71631" TargetMode="External"/><Relationship Id="rId26" Type="http://schemas.openxmlformats.org/officeDocument/2006/relationships/hyperlink" Target="http://www.nevo.co.il/law/70301/383.a.1" TargetMode="External"/><Relationship Id="rId27" Type="http://schemas.openxmlformats.org/officeDocument/2006/relationships/hyperlink" Target="http://www.nevo.co.il/law/70301/451" TargetMode="External"/><Relationship Id="rId28" Type="http://schemas.openxmlformats.org/officeDocument/2006/relationships/hyperlink" Target="http://www.nevo.co.il/law/70301/451" TargetMode="External"/><Relationship Id="rId29" Type="http://schemas.openxmlformats.org/officeDocument/2006/relationships/hyperlink" Target="http://www.nevo.co.il/law/70301/452" TargetMode="External"/><Relationship Id="rId30" Type="http://schemas.openxmlformats.org/officeDocument/2006/relationships/hyperlink" Target="http://www.nevo.co.il/law/71631/5" TargetMode="External"/><Relationship Id="rId31" Type="http://schemas.openxmlformats.org/officeDocument/2006/relationships/hyperlink" Target="http://www.nevo.co.il/law/71631/2.3" TargetMode="External"/><Relationship Id="rId32" Type="http://schemas.openxmlformats.org/officeDocument/2006/relationships/hyperlink" Target="http://www.nevo.co.il/law/71631/2.4" TargetMode="External"/><Relationship Id="rId33" Type="http://schemas.openxmlformats.org/officeDocument/2006/relationships/hyperlink" Target="http://www.nevo.co.il/law/70301/40jc.b" TargetMode="External"/><Relationship Id="rId34" Type="http://schemas.openxmlformats.org/officeDocument/2006/relationships/hyperlink" Target="http://www.nevo.co.il/case/22303542" TargetMode="External"/><Relationship Id="rId35" Type="http://schemas.openxmlformats.org/officeDocument/2006/relationships/hyperlink" Target="http://www.nevo.co.il/case/23539576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2018-07-18T15:44:00Z</dcterms:created>
  <dc:creator> </dc:creator>
  <dc:description/>
  <cp:keywords/>
  <dc:language>en-IL</dc:language>
  <cp:lastModifiedBy>orly</cp:lastModifiedBy>
  <cp:lastPrinted>2018-07-16T13:53:00Z</cp:lastPrinted>
  <dcterms:modified xsi:type="dcterms:W3CDTF">2018-07-18T15:44:00Z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20862619:2;22303542;23539576</vt:lpwstr>
  </property>
  <property fmtid="{D5CDD505-2E9C-101B-9397-08002B2CF9AE}" pid="9" name="CITY">
    <vt:lpwstr/>
  </property>
  <property fmtid="{D5CDD505-2E9C-101B-9397-08002B2CF9AE}" pid="10" name="DATE">
    <vt:lpwstr>20180717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אלרון;י' וילנר</vt:lpwstr>
  </property>
  <property fmtid="{D5CDD505-2E9C-101B-9397-08002B2CF9AE}" pid="14" name="LAWLISTTMP1">
    <vt:lpwstr>70301/351.c.1;348.a;345.a.3;336;383.a.1;451:2;452;40jc.b</vt:lpwstr>
  </property>
  <property fmtid="{D5CDD505-2E9C-101B-9397-08002B2CF9AE}" pid="15" name="LAWLISTTMP2">
    <vt:lpwstr>71631/005:2;002.1;002.3;002.4</vt:lpwstr>
  </property>
  <property fmtid="{D5CDD505-2E9C-101B-9397-08002B2CF9AE}" pid="16" name="LAWYER">
    <vt:lpwstr>חיים שוייצר;בני ברקי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עבירות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1446;1446;1443</vt:lpwstr>
  </property>
  <property fmtid="{D5CDD505-2E9C-101B-9397-08002B2CF9AE}" pid="49" name="NOSE31">
    <vt:lpwstr>מדיניות ענישה: התערבות ערכאת ערעור</vt:lpwstr>
  </property>
  <property fmtid="{D5CDD505-2E9C-101B-9397-08002B2CF9AE}" pid="50" name="NOSE310">
    <vt:lpwstr/>
  </property>
  <property fmtid="{D5CDD505-2E9C-101B-9397-08002B2CF9AE}" pid="51" name="NOSE32">
    <vt:lpwstr>מתחם הענישה</vt:lpwstr>
  </property>
  <property fmtid="{D5CDD505-2E9C-101B-9397-08002B2CF9AE}" pid="52" name="NOSE33">
    <vt:lpwstr>עבירות מין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8982;14985;8884</vt:lpwstr>
  </property>
  <property fmtid="{D5CDD505-2E9C-101B-9397-08002B2CF9AE}" pid="60" name="PADIDATE">
    <vt:lpwstr>20180719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4751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410120180717</vt:lpwstr>
  </property>
  <property fmtid="{D5CDD505-2E9C-101B-9397-08002B2CF9AE}" pid="70" name="TYPE_N_DATE">
    <vt:lpwstr>41020180717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