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4762/22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4915/22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rFonts w:cs="Miriam"/>
          <w:sz w:val="24"/>
          <w:szCs w:val="32"/>
        </w:rPr>
      </w:pPr>
      <w:r>
        <w:rPr>
          <w:rFonts w:cs="Miriam"/>
          <w:sz w:val="24"/>
          <w:szCs w:val="32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rFonts w:cs="Miriam"/>
          <w:sz w:val="24"/>
          <w:szCs w:val="32"/>
        </w:rPr>
      </w:pPr>
      <w:r>
        <w:rPr>
          <w:rFonts w:cs="Miriam"/>
          <w:sz w:val="24"/>
          <w:szCs w:val="32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4762/22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עמרם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כנפו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rFonts w:cs="Miriam"/>
          <w:sz w:val="24"/>
          <w:szCs w:val="32"/>
        </w:rPr>
      </w:pPr>
      <w:r>
        <w:rPr>
          <w:rFonts w:cs="Miriam"/>
          <w:sz w:val="24"/>
          <w:szCs w:val="32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המערערים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4915/22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יצחק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דרי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כד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גל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rFonts w:cs="Miriam"/>
          <w:sz w:val="24"/>
          <w:szCs w:val="32"/>
        </w:rPr>
      </w:pPr>
      <w:r>
        <w:rPr>
          <w:rFonts w:cs="Miriam"/>
          <w:sz w:val="24"/>
          <w:szCs w:val="3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rFonts w:cs="Miriam"/>
          <w:sz w:val="24"/>
          <w:szCs w:val="32"/>
        </w:rPr>
      </w:pPr>
      <w:r>
        <w:rPr>
          <w:rFonts w:cs="Miriam"/>
          <w:sz w:val="24"/>
          <w:szCs w:val="32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4762/22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4915/22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rFonts w:cs="Miriam"/>
          <w:sz w:val="24"/>
          <w:szCs w:val="32"/>
        </w:rPr>
      </w:pPr>
      <w:r>
        <w:rPr>
          <w:rFonts w:cs="Miriam"/>
          <w:sz w:val="24"/>
          <w:szCs w:val="32"/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טולילה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28095-04-17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24.2.2022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21.6.2022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rFonts w:cs="Miriam"/>
          <w:sz w:val="24"/>
          <w:szCs w:val="32"/>
        </w:rPr>
      </w:pPr>
      <w:r>
        <w:rPr>
          <w:rFonts w:cs="Miriam"/>
          <w:sz w:val="24"/>
          <w:szCs w:val="3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</w:t>
            </w:r>
            <w:r>
              <w:rPr>
                <w:sz w:val="24"/>
                <w:sz w:val="24"/>
                <w:szCs w:val="24"/>
                <w:rtl w:val="true"/>
              </w:rPr>
              <w:t>ות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Cs w:val="22"/>
                <w:rtl w:val="true"/>
              </w:rPr>
              <w:t>(</w:t>
            </w:r>
            <w:r>
              <w:rPr>
                <w:rFonts w:cs="Times New Roman"/>
                <w:szCs w:val="22"/>
              </w:rPr>
              <w:t>17</w:t>
            </w:r>
            <w:r>
              <w:rPr>
                <w:rFonts w:cs="Times New Roman"/>
                <w:szCs w:val="22"/>
              </w:rPr>
              <w:t>.7.2023</w:t>
            </w:r>
            <w:r>
              <w:rPr>
                <w:rFonts w:cs="Times New Roman"/>
                <w:szCs w:val="22"/>
                <w:rtl w:val="true"/>
              </w:rPr>
              <w:t>)</w:t>
            </w:r>
          </w:p>
        </w:tc>
      </w:tr>
      <w:tr>
        <w:trPr/>
        <w:tc>
          <w:tcPr>
            <w:tcW w:w="323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rtl w:val="true"/>
              </w:rPr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Cs w:val="22"/>
                <w:rtl w:val="true"/>
              </w:rPr>
              <w:t>(</w:t>
            </w:r>
            <w:r>
              <w:rPr>
                <w:rFonts w:cs="Times New Roman"/>
                <w:szCs w:val="22"/>
              </w:rPr>
              <w:t>18</w:t>
            </w:r>
            <w:r>
              <w:rPr>
                <w:rFonts w:cs="Times New Roman"/>
                <w:szCs w:val="22"/>
              </w:rPr>
              <w:t>.7.2023</w:t>
            </w:r>
            <w:r>
              <w:rPr>
                <w:rFonts w:cs="Times New Roman"/>
                <w:szCs w:val="22"/>
                <w:rtl w:val="true"/>
              </w:rPr>
              <w:t>)</w:t>
            </w:r>
          </w:p>
        </w:tc>
      </w:tr>
      <w:tr>
        <w:trPr/>
        <w:tc>
          <w:tcPr>
            <w:tcW w:w="323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rtl w:val="true"/>
              </w:rPr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Cs w:val="22"/>
                <w:rtl w:val="true"/>
              </w:rPr>
              <w:t>(</w:t>
            </w:r>
            <w:r>
              <w:rPr>
                <w:rFonts w:cs="Times New Roman"/>
                <w:szCs w:val="22"/>
              </w:rPr>
              <w:t>19</w:t>
            </w:r>
            <w:r>
              <w:rPr>
                <w:rFonts w:cs="Times New Roman"/>
                <w:szCs w:val="22"/>
              </w:rPr>
              <w:t>.7.2023</w:t>
            </w:r>
            <w:r>
              <w:rPr>
                <w:rFonts w:cs="Times New Roman"/>
                <w:szCs w:val="22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rFonts w:cs="Miriam"/>
          <w:sz w:val="24"/>
          <w:szCs w:val="32"/>
        </w:rPr>
      </w:pPr>
      <w:r>
        <w:rPr>
          <w:rFonts w:cs="Miriam"/>
          <w:sz w:val="24"/>
          <w:szCs w:val="3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4762/22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נבות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צור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שפירא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סרנת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rFonts w:cs="Miriam"/>
          <w:sz w:val="24"/>
          <w:szCs w:val="32"/>
        </w:rPr>
      </w:pPr>
      <w:r>
        <w:rPr>
          <w:rFonts w:cs="Miriam"/>
          <w:sz w:val="24"/>
          <w:szCs w:val="32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</w:t>
            </w:r>
            <w:r>
              <w:rPr>
                <w:rtl w:val="true"/>
              </w:rPr>
              <w:t>ערערים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4915/22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both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שפירא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דניאל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נאמן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שעיה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rFonts w:cs="Miriam"/>
          <w:sz w:val="24"/>
          <w:szCs w:val="32"/>
        </w:rPr>
      </w:pPr>
      <w:r>
        <w:rPr>
          <w:rFonts w:cs="Miriam"/>
          <w:sz w:val="24"/>
          <w:szCs w:val="32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both"/>
              <w:rPr>
                <w:rFonts w:ascii="David" w:hAnsi="David" w:cs="David"/>
              </w:rPr>
            </w:pPr>
            <w:bookmarkStart w:id="3" w:name="FirstLawyer"/>
            <w:bookmarkEnd w:id="3"/>
            <w:r>
              <w:rPr>
                <w:rFonts w:ascii="David" w:hAnsi="David"/>
                <w:rtl w:val="true"/>
              </w:rPr>
              <w:t xml:space="preserve">בשם </w:t>
            </w: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4762/22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4915/22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both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משגב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בלומנטל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שיפר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התכנון והבניה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1965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44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בפרק ט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איסור הלבנת הון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2000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לא מרובד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שחרור על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תנאי ממאסר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2001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7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4" w:name="LawTable_End"/>
      <w:bookmarkStart w:id="5" w:name="LawTable_End"/>
      <w:bookmarkEnd w:id="5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6" w:name="ABSTRACT_START"/>
      <w:bookmarkEnd w:id="6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הקל בעונשם של המערערים שהורשעו בביצוע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שוחד והפרת אמונים בתקופה שבה אחזו במשרות ציבוריות בעיריית אשדוד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ובגופי התכנון של העיר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Cs w:val="26"/>
          <w:rtl w:val="true"/>
        </w:rPr>
        <w:t>סבור כי את גבולו התחתון של מתחם העונש ההולם ניתן היה לקבוע בנקודה נמוכה 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בשים לב ל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סבור שהשיקולים הבאים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Cs w:val="26"/>
          <w:rtl w:val="true"/>
        </w:rPr>
        <w:t>חלוף הזמן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עונשיהם של יתר המעורבים בפרשה והחרטה שהביעו בתום הערעור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Cs w:val="26"/>
          <w:rtl w:val="true"/>
        </w:rPr>
        <w:t>מצדיקים להקל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במידת 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בעונשם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בעניינו של דרי </w:t>
      </w:r>
      <w:r>
        <w:rPr>
          <w:rFonts w:ascii="Times New Roman" w:hAnsi="Times New Roman" w:cs="Times New Roman"/>
          <w:spacing w:val="0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להקל בעונשו בגין שני שיקולים נוספים והם גילו ומצבו הרפואי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גם זיכויו מעבירת הפרת האמונים באישום השביעי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שוחד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הפרת אמונים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שוחד ושחיתות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עובדי ציבור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התערבות ערכאת הערעור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לקולה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אחדות הענישה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פס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 ב</w:t>
      </w:r>
      <w:r>
        <w:rPr>
          <w:rFonts w:ascii="Times New Roman" w:hAnsi="Times New Roman" w:cs="Times New Roman"/>
          <w:spacing w:val="0"/>
          <w:szCs w:val="26"/>
          <w:rtl w:val="true"/>
        </w:rPr>
        <w:t>שני ערעורים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שעניינו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בעקבות פס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 חלקי כמפורט בהמשך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ascii="Times New Roman" w:hAnsi="Times New Roman" w:cs="Times New Roman"/>
          <w:spacing w:val="0"/>
          <w:szCs w:val="26"/>
          <w:rtl w:val="true"/>
        </w:rPr>
        <w:t>בחומרת העונש שהוטל על המערערים בעקבות הרשעתם ב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שוחד והפרת אמונים שבוצעו בתקופה שבה אחזו במשרות ציבוריות בעיריית אשדוד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האישומים נוגעים לפרשות שונות שבמסגרתן קיבלו המערערים כספי שוחד מיזמים בזיקה לפרויקטים נדל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ניים בעיר אשדוד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העבירות </w:t>
      </w:r>
      <w:r>
        <w:rPr>
          <w:rFonts w:ascii="Times New Roman" w:hAnsi="Times New Roman" w:cs="Times New Roman"/>
          <w:spacing w:val="0"/>
          <w:szCs w:val="26"/>
          <w:rtl w:val="true"/>
        </w:rPr>
        <w:t>נעשו בזיקות להחלטות בוועדת המשנה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לתכנון ובניה בה כיהנו המערערים בתקופות שונות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4762/22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כנפו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שהורשע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בשלוש עבירות של לקיחת שוחד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בשווי כולל של </w:t>
      </w:r>
      <w:r>
        <w:rPr>
          <w:rFonts w:cs="Times New Roman" w:ascii="Times New Roman" w:hAnsi="Times New Roman"/>
          <w:spacing w:val="0"/>
          <w:szCs w:val="26"/>
        </w:rPr>
        <w:t>240,000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₪,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אופציה לרכישת מגרש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ושלוש עבירות של מרמה והפרת אמונים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נגזרו 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 מותנה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קנס כספי בסך </w:t>
      </w:r>
      <w:r>
        <w:rPr>
          <w:rFonts w:cs="Times New Roman" w:ascii="Times New Roman" w:hAnsi="Times New Roman"/>
          <w:spacing w:val="0"/>
          <w:szCs w:val="26"/>
        </w:rPr>
        <w:t>100,000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 או 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 תמורתו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חילוט בסך </w:t>
      </w:r>
      <w:r>
        <w:rPr>
          <w:rFonts w:cs="Times New Roman" w:ascii="Times New Roman" w:hAnsi="Times New Roman"/>
          <w:spacing w:val="0"/>
          <w:szCs w:val="26"/>
        </w:rPr>
        <w:t>75,000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ופסילה מכהונה כחבר ועדה לתכנון ובניה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הטלת קלון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המערער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hyperlink r:id="rId11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4915/22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Cs w:val="26"/>
          <w:rtl w:val="true"/>
        </w:rPr>
        <w:t>דרי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 בארבע עבירות של לקיחת שוחד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בשווי כולל של לפחות </w:t>
      </w:r>
      <w:r>
        <w:rPr>
          <w:rFonts w:cs="Times New Roman" w:ascii="Times New Roman" w:hAnsi="Times New Roman"/>
          <w:spacing w:val="0"/>
          <w:szCs w:val="26"/>
        </w:rPr>
        <w:t>2,539,588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לצד חלק לא ידוע מתוך מיליון וחצי 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 באישום הרביעי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ולצד הזכות שחתנו יועסק בפרויקט שמתואר באישום השמיני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בשתי עבירת מרמה והפרת אמונים וכן בעבירות הלבנת הון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פעולות ברכוש אסור וניהול ספרי חשבונות כוזבים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נגזרו 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 מותנה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קנס כספי בסך </w:t>
      </w:r>
      <w:r>
        <w:rPr>
          <w:rFonts w:cs="Times New Roman" w:ascii="Times New Roman" w:hAnsi="Times New Roman"/>
          <w:spacing w:val="0"/>
          <w:szCs w:val="26"/>
        </w:rPr>
        <w:t>200,000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 או </w:t>
      </w:r>
      <w:r>
        <w:rPr>
          <w:rFonts w:cs="Times New Roman" w:ascii="Times New Roman" w:hAnsi="Times New Roman"/>
          <w:spacing w:val="0"/>
          <w:szCs w:val="26"/>
        </w:rPr>
        <w:t>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 תמורתו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חילוט מחצית מדירה בעיר אשדוד בשווי של </w:t>
      </w:r>
      <w:r>
        <w:rPr>
          <w:rFonts w:cs="Times New Roman" w:ascii="Times New Roman" w:hAnsi="Times New Roman"/>
          <w:spacing w:val="0"/>
          <w:szCs w:val="26"/>
        </w:rPr>
        <w:t>1,375,000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ופסילה מכהונה כחבר ועדה לתכנון ובניה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הטלת קלון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המערערת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hyperlink r:id="rId12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4915/22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Cs w:val="26"/>
          <w:rtl w:val="true"/>
        </w:rPr>
        <w:t>חברת כד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גל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נגזר קנס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סמלי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בסך </w:t>
      </w:r>
      <w:r>
        <w:rPr>
          <w:rFonts w:cs="Times New Roman" w:ascii="Times New Roman" w:hAnsi="Times New Roman"/>
          <w:spacing w:val="0"/>
          <w:szCs w:val="26"/>
        </w:rPr>
        <w:t>100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בפסה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 החלקי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נדחה בהסכמה ערעורם של המערערים על הכרעת הדין למעט בעניין הרשעתו של דרי </w:t>
      </w:r>
      <w:r>
        <w:rPr>
          <w:rFonts w:ascii="Times New Roman" w:hAnsi="Times New Roman" w:cs="Times New Roman"/>
          <w:spacing w:val="0"/>
          <w:szCs w:val="26"/>
          <w:rtl w:val="true"/>
        </w:rPr>
        <w:t>מעבירת הפרת האמונים באישום השביעי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לגביו הסכימה המדינה לקבל את הערעור והוא זוכה מאישום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המשנה לנשיאה 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פוגלמן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בהסכמת השופטים נ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סולברג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אלרון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הערעורים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רבות כבר נכתב על חומרתן של עבירות השוחד והפרת האמונים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ועל כך ש</w:t>
      </w:r>
      <w:r>
        <w:rPr>
          <w:rFonts w:ascii="Times New Roman" w:hAnsi="Times New Roman" w:cs="Times New Roman"/>
          <w:spacing w:val="0"/>
          <w:szCs w:val="26"/>
          <w:rtl w:val="true"/>
        </w:rPr>
        <w:t>קביעתן של עבירות אלו בספר החוקים נועדה להגן על פעילותו התקינה של המינהל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אמון הציבור במערכות השלטון ועל טוהר המידות של עובדי הציבור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העבירות שביצעו המערערים מצויות בנקודת ההשקה בין שני תחומים שמצדיקים הקפדה יתרה על טוהר המידות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התחום המוניציפלי ותחום התכנון והבניה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שנפסק בעבר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בכל הנוגע לעובדי השלטון המקומי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הדרג הנבחר והדרג המינהלי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יש ליתן את הדעת לזיקה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הגאוגרפית והאישית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בינם לבין בעלי אינטרסים במישור המקומי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לריכוז הסמכויות שקיים בשלטון המקומי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בפרט בידי ראש הרשות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); </w:t>
      </w:r>
      <w:r>
        <w:rPr>
          <w:rFonts w:ascii="Times New Roman" w:hAnsi="Times New Roman" w:cs="Times New Roman"/>
          <w:spacing w:val="0"/>
          <w:szCs w:val="26"/>
          <w:rtl w:val="true"/>
        </w:rPr>
        <w:t>ולכך שהדרג הפוליטי הנבחר בשלטון המקומי מחזיק בסמכויות ביצוע בתחומים מקצועיים מובהקים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מציאות זו מייצרת כר נרחב לחשש כי החלטות יתקבלו מתוך ניגוד עניינים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בכוח ובפועל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לכך יש להוסיף את העובדה שחברי המועצה בשלטון המקומי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למעט ראש הרשות וחלק מסגניו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אינם זכאים לשכר בעבור כהונתם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תחום התכנון והבניה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מצדיק רגישות מיוחדת לתקינות ולטוהר ההליך המינהלי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בראש ובראשונה בשל ההשלכות מרחיקות הלכת של החלטות גורמי התכנון בעניין משאבי הקרקע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– השלכות שאינן תחומות אך למישור הכלכלי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גורמי התכנון מצויים בממשקים הדוקים ויומיומיים עם גורמים בעלי אינטרסים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כוח והשפעה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אשר למדיניות הענישה בעבירות כגון דא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הרי שבימ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זה עמד על החומרה היתרה שבעבירות השחיתות השלטונית עוד בראשית דרכו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hyperlink r:id="rId13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20/53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(</w:t>
      </w:r>
      <w:r>
        <w:rPr>
          <w:rFonts w:cs="Times New Roman" w:ascii="Times New Roman" w:hAnsi="Times New Roman"/>
          <w:spacing w:val="0"/>
          <w:szCs w:val="26"/>
        </w:rPr>
        <w:t>1955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)).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החומרה הגלומה בעבירה השוחד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ברוב המקרים כולל העונש בגינה רכיב של מאסר מאחורי סורג ובריח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עוד </w:t>
      </w:r>
      <w:r>
        <w:rPr>
          <w:rFonts w:ascii="Times New Roman" w:hAnsi="Times New Roman" w:cs="Times New Roman"/>
          <w:spacing w:val="0"/>
          <w:szCs w:val="26"/>
          <w:rtl w:val="true"/>
        </w:rPr>
        <w:t>בהקשר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 להצביע על מגמת החמרה בענישה שבאה לידי ביטוי הן בחקיקה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הן בפסיקה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החשיבות בענישה קפדנית בעבירות אלו נובעת לא רק מחומרת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גם מן הקשיים שטמונים בגילוין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מטבע הדברים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משרעת העונשים בעבירות השחיתות השלטונית היא רחבה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ותלויה בשורה ארוכה של נסיבות שכוללות בין היתר את מעמדו הפורמלי של עובד הציבור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את היקף העבירות שבהן הורשע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אופי המעשים שבהם הורשע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והאם הוכחה סטייה מן השורה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עומד </w:t>
      </w:r>
      <w:r>
        <w:rPr>
          <w:rFonts w:ascii="Times New Roman" w:hAnsi="Times New Roman" w:cs="Times New Roman"/>
          <w:spacing w:val="0"/>
          <w:szCs w:val="26"/>
          <w:rtl w:val="true"/>
        </w:rPr>
        <w:t>בתמצית על הענישה בעבירות שוחד של בכירים ברשויות השלטון מהשנים האחרונות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במקרה דנא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מעשיהם של המערערים נמשכו על פני תקופה ארוכה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ובמסגרתם ניצלו את מעמדם בעירייה ובגופי התכנון על מנת לשלשל לכיסם הפרטי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ולכיסם של היזמים רווח כלכלי משמעותי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וזאת באמצעות הטיית החלטות של גורמי התכנון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החלטות שלא אחת התקבלו בניגוד לעמדת גורמי המקצוע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הגם שהמערערים לא נשאו במשרות הבכירות ביותר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בהשוואה לנאשמים שכיהנו למשל כשרים וכראשי עיריות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לבטח אין לראות בהם אנשי ציבור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זוטרים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שביקשו לטעון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מקובלת 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Cs w:val="26"/>
          <w:rtl w:val="true"/>
        </w:rPr>
        <w:t>במלואה מסקנת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כי המערערים פגעו פגיעה חמורה וקשה בערכים החברתיים המוגנים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חרף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סבור כי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מתקיימות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בענייננו </w:t>
      </w:r>
      <w:r>
        <w:rPr>
          <w:rFonts w:ascii="Times New Roman" w:hAnsi="Times New Roman" w:cs="Times New Roman"/>
          <w:spacing w:val="0"/>
          <w:szCs w:val="26"/>
          <w:rtl w:val="true"/>
        </w:rPr>
        <w:t>מספר נסיבות – בהן גם נסיבות שלא עמדו לפני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– שמצדיקות התערבות מסוימת בגזר הדין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בחינת מתחמי הענישה שקבע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עד </w:t>
      </w:r>
      <w:r>
        <w:rPr>
          <w:rFonts w:cs="Times New Roman" w:ascii="Times New Roman" w:hAnsi="Times New Roman"/>
          <w:spacing w:val="0"/>
          <w:szCs w:val="26"/>
        </w:rPr>
        <w:t>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לכנפו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עד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לדרי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מגלה פנים לכאן ולכאן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המתחמים האמורים מוליכים למסקנה כי המערערים ירצו תקופות משמעותיות מאחורי סורג ובריח – אך מסקנה זו מתחייבת מחומרת מעשיהם וממגמת ההחמרה בענישה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כאמור </w:t>
      </w:r>
      <w:r>
        <w:rPr>
          <w:rFonts w:ascii="Times New Roman" w:hAnsi="Times New Roman" w:cs="Times New Roman"/>
          <w:spacing w:val="0"/>
          <w:szCs w:val="26"/>
          <w:rtl w:val="true"/>
        </w:rPr>
        <w:t>לעיל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לכחד כי גם בשנים האחרונות נגזרו בפרשות דומות עונשי מאסר שנמוכים מהקצה התחתון של המתחם בעניינם של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לכך יש להוסיף כי במדרג ההירארכי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המערערים שהינם בדרג בכיר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מצויים במקום נמוך יותר מזה של ראשי הרשויות ש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Cs w:val="26"/>
          <w:rtl w:val="true"/>
        </w:rPr>
        <w:t>הופנ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 </w:t>
      </w:r>
      <w:r>
        <w:rPr>
          <w:rFonts w:ascii="Times New Roman" w:hAnsi="Times New Roman" w:cs="Times New Roman"/>
          <w:spacing w:val="0"/>
          <w:szCs w:val="26"/>
          <w:rtl w:val="true"/>
        </w:rPr>
        <w:t>לפסיקה בעניינם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ומבלי לטעת מסמרות בגבולות המתחם בעניינם של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Cs w:val="26"/>
          <w:rtl w:val="true"/>
        </w:rPr>
        <w:t>סבור כי את גבולו התחתון של מתחם העונש ההולם ניתן היה לקבוע בנקודה נמוכה 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בשים לב לאמור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Cs w:val="26"/>
          <w:rtl w:val="true"/>
        </w:rPr>
        <w:t>סבור שהשיקולים הבאים מצדיקים להקל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במידת 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בעונשים שהוטלו על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חלוף הזמן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עונשיהם של יתר המעורבים בפרשה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עקרון </w:t>
      </w:r>
      <w:r>
        <w:rPr>
          <w:rFonts w:ascii="Times New Roman" w:hAnsi="Times New Roman" w:cs="Times New Roman"/>
          <w:spacing w:val="0"/>
          <w:szCs w:val="26"/>
          <w:rtl w:val="true"/>
        </w:rPr>
        <w:t>אחידות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>);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והחרטה שהביעו בתום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בעניינו של דרי </w:t>
      </w:r>
      <w:r>
        <w:rPr>
          <w:rFonts w:ascii="Times New Roman" w:hAnsi="Times New Roman" w:cs="Times New Roman"/>
          <w:spacing w:val="0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להקל בעונשו בגין שני שיקולים נוספים והם גילו ומצבו הרפואי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גם זיכויו מעבירת הפרת האמונים באישום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בכל הנוגע לחלוף הזמן צוין בין היתר 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המערערים ירצו את עונשם על עבירות שאת חלקן ביצעו לפני קרוב לשני עשורים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כאשר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הכרעת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ניתנה בחלוף למעלה מעשור מהמעשים האחרונים שיוחסו להם בכתב האישום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בתיק רחב היקף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מורכב ואשר כלל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בתחילתו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נאשמים רבים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בצד האמור אין להתעלם מן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הקושי הטמון בסטטוס של 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מפאת הלחץ והחשש המתמיד בו נתון הנאשם והקושי שטמון בניהול ההליכים נגדו על המשך ניהול תקין של חייו ועל אפשרותו להשתקם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לכך יש להוסיף כי הימשכות ההליכים עשויה להשפיע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אפשרויות התעסוקה של הנאשמים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על סביבתם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ומחלישה את ההרתעה שטמונה בהליך הפלילי – הן במקרה הקונקרטי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הן במישור הרתעת הרבים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בכל הנוגע ל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עונשיהם של יתר המעורבים בפרשה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– הם היזמים שהואשמו במקור כ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נותני השוחד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בשים לב למסכת העבריינית שבה הורשעו המערערים ולכך שיתר המעורבים סיימו עניינם בהסדרי טיעון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ראוי וצודק כי עונשם יהא חמור באופן ניכר משל יתר המעורבים בפרשה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הגם 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הפערים בענישה במקרה דנן גדולים מאד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חלק מנותני השוחד על פי כתב האישום המקורי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שהורשעו בהסדר הטיעון בעבירה של סיוע להפרת אמונים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נגזרו עונשי מאסר על תנאי וענישה כלכלית 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ואילו על מקבלי השוחד – המערערים – נגזרו עונשי מאסר ממושכים מאחורי סורג ובריח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לפערים אלה יש ליתן משקל בבחינת עונש המאסר שיוטל על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הוחלט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להעמיד את עונשי המאסר בפועל של שני המערערים על </w:t>
      </w:r>
      <w:r>
        <w:rPr>
          <w:rFonts w:cs="Times New Roman" w:ascii="Times New Roman" w:hAnsi="Times New Roman"/>
          <w:spacing w:val="0"/>
          <w:szCs w:val="26"/>
        </w:rPr>
        <w:t>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כל אחד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בניכוי ימי מעצרם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חלף 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בעניינו של כנפו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בעניינו של דרי</w:t>
      </w:r>
      <w:r>
        <w:rPr>
          <w:rFonts w:cs="Times New Roman" w:ascii="Times New Roman" w:hAnsi="Times New Roman"/>
          <w:spacing w:val="0"/>
          <w:szCs w:val="26"/>
          <w:rtl w:val="true"/>
        </w:rPr>
        <w:t>).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נמצא להתערב </w:t>
      </w:r>
      <w:r>
        <w:rPr>
          <w:rFonts w:ascii="Times New Roman" w:hAnsi="Times New Roman" w:cs="Times New Roman"/>
          <w:spacing w:val="0"/>
          <w:szCs w:val="26"/>
          <w:rtl w:val="true"/>
        </w:rPr>
        <w:t>ביתר רכיבי הענישה שהוטלו על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בכפוף להארכת המועד 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מכירת דירת המגורים של דרי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ואשתו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וחילוט מחצית משוויה בסך </w:t>
      </w:r>
      <w:r>
        <w:rPr>
          <w:rFonts w:cs="Times New Roman" w:ascii="Times New Roman" w:hAnsi="Times New Roman"/>
          <w:spacing w:val="0"/>
          <w:szCs w:val="26"/>
        </w:rPr>
        <w:t>1.375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אשר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יבוצע בעוד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רק ככל שלא יעלה בידי דרי לשלם את הסכום האמור לקופת המדינה בתקופה זו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לסיום הוער ש</w:t>
      </w:r>
      <w:r>
        <w:rPr>
          <w:rFonts w:ascii="Times New Roman" w:hAnsi="Times New Roman" w:cs="Times New Roman"/>
          <w:spacing w:val="0"/>
          <w:szCs w:val="26"/>
          <w:rtl w:val="true"/>
        </w:rPr>
        <w:t>הגם ש</w:t>
      </w:r>
      <w:r>
        <w:rPr>
          <w:rFonts w:ascii="Times New Roman" w:hAnsi="Times New Roman" w:cs="Times New Roman"/>
          <w:spacing w:val="0"/>
          <w:szCs w:val="26"/>
          <w:rtl w:val="true"/>
        </w:rPr>
        <w:t>נ</w:t>
      </w:r>
      <w:r>
        <w:rPr>
          <w:rFonts w:ascii="Times New Roman" w:hAnsi="Times New Roman" w:cs="Times New Roman"/>
          <w:spacing w:val="0"/>
          <w:szCs w:val="26"/>
          <w:rtl w:val="true"/>
        </w:rPr>
        <w:t>מצא להטיל על כנפו ודרי עונשי מאסר בפועל באורך זהה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בכך כדי ללמד כי חומרת מעשיהם דומה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מעשיו של דרי מבטאים חומרה יתרה ביחס לכנפו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 במספר עבירות השוחד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בשווי השוחד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בכך שחלק מעבירות השוחד שבהן הורשע בוצעו לאחר כניסתו לתוקף של תיקון </w:t>
      </w:r>
      <w:r>
        <w:rPr>
          <w:rFonts w:cs="Times New Roman" w:ascii="Times New Roman" w:hAnsi="Times New Roman"/>
          <w:spacing w:val="0"/>
          <w:szCs w:val="26"/>
        </w:rPr>
        <w:t>103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ובכך שדרי הורשע גם בעבירות לפי </w:t>
      </w:r>
      <w:hyperlink r:id="rId14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איסור הלבנת הון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ו</w:t>
      </w:r>
      <w:hyperlink r:id="rId15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פקודת מס הכנסה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חרף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מצבו הרפואי וגילו של דרי הוליכו לענישה </w:t>
      </w:r>
      <w:r>
        <w:rPr>
          <w:rFonts w:ascii="Times New Roman" w:hAnsi="Times New Roman" w:cs="Times New Roman"/>
          <w:spacing w:val="0"/>
          <w:szCs w:val="26"/>
          <w:rtl w:val="true"/>
        </w:rPr>
        <w:t>שהוצעה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מקרינה גם על עניינו של כנפו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לכך יש להוסיף כי יתר רכיבי הענישה – שנותרו כאמור בעינם – מבטאים אף הם את השונות בין העבירות שבהן הורשעו השניים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9" w:name="PsakDin"/>
            <w:bookmarkStart w:id="10" w:name="BeginProtocol"/>
            <w:bookmarkStart w:id="11" w:name="secretary"/>
            <w:bookmarkEnd w:id="9"/>
            <w:bookmarkEnd w:id="10"/>
            <w:bookmarkEnd w:id="1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ascii="Century" w:hAnsi="Century" w:cs="Miriam"/>
          <w:b/>
          <w:spacing w:val="0"/>
          <w:szCs w:val="24"/>
        </w:rPr>
      </w:pPr>
      <w:bookmarkStart w:id="12" w:name="Writer_Name"/>
      <w:bookmarkEnd w:id="12"/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המשנה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לנשיאה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פוגלמן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  <w:bookmarkStart w:id="13" w:name="Start_Write"/>
      <w:bookmarkStart w:id="14" w:name="Start_Write"/>
      <w:bookmarkEnd w:id="14"/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לפנינו שני ערעורים שעניינם בהכרעת הדין ובגזר הדין של בית המשפט המחוזי בבאר שבע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טולילה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שניתנו בימים </w:t>
      </w:r>
      <w:r>
        <w:rPr>
          <w:rFonts w:cs="Century" w:ascii="Century" w:hAnsi="Century"/>
        </w:rPr>
        <w:t>24.2.2022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21.6.2022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בפסק הדין הורשע המערער בע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פ </w:t>
      </w:r>
      <w:r>
        <w:rPr>
          <w:rFonts w:cs="Century" w:ascii="Century" w:hAnsi="Century"/>
        </w:rPr>
        <w:t>4762/22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מר עמרם כנפו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כנפו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בשלוש עבירות של לקיחת שוחד ושלוש עבירות של מרמה והפרת אמונים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בגין מעשים אלה נגזרו עליו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מאסר מותנה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קנס כספי בסך </w:t>
      </w:r>
      <w:r>
        <w:rPr>
          <w:rFonts w:cs="Century" w:ascii="Century" w:hAnsi="Century"/>
        </w:rPr>
        <w:t>100,000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ח או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 תמורתו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חילוט בסך </w:t>
      </w:r>
      <w:r>
        <w:rPr>
          <w:rFonts w:cs="Century" w:ascii="Century" w:hAnsi="Century"/>
        </w:rPr>
        <w:t>75,000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ופסילה מכהונה כחבר ועדה לתכנון ובניה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לפי </w:t>
      </w:r>
      <w:hyperlink r:id="rId16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44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התכנון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והבניה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1965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המערער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4915/22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מר יצחק דרי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כנפו ודרי יכונו 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הורשע בארבע עבירות של לקיחת שוחד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בשתי עבירת מרמה והפרת אמונים וכן בעבירות הלבנת הון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פעולות ברכוש אסור וניהול ספרי חשבונות כוזבים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בגין מעשים אלה נגזרו עליו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מאסר מותנה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קנס כספי בסך </w:t>
      </w:r>
      <w:r>
        <w:rPr>
          <w:rFonts w:cs="Century" w:ascii="Century" w:hAnsi="Century"/>
        </w:rPr>
        <w:t>200,000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ח או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 תמורתו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חילוט מחצית מדירה בעיר אשדוד בשווי של </w:t>
      </w:r>
      <w:r>
        <w:rPr>
          <w:rFonts w:cs="Century" w:ascii="Century" w:hAnsi="Century"/>
        </w:rPr>
        <w:t>1,375,000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ופסילה מכהונה כחבר ועדה לתכנון ובניה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על המערערת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4915/22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חברת כד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גל בע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מ שהקים דרי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גל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נגזר קנס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סמלי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בסך </w:t>
      </w:r>
      <w:r>
        <w:rPr>
          <w:rFonts w:cs="Century" w:ascii="Century" w:hAnsi="Century"/>
        </w:rPr>
        <w:t>100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יצוין כבר עתה כי הערעורים שלפנינו נסבו תחילה גם על 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מופנים עתה לגזר הדין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והכל כפי שיפורט להלן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וההליכים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נגד המערערים הוגש בשנת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כתב אישום שמייחס להם עבירות שוחד והפרת אמונים שבוצעו בתקופה שבה אחזו במשרות ציבוריות בעיריית אשדוד</w:t>
      </w:r>
      <w:r>
        <w:rPr>
          <w:rtl w:val="true"/>
        </w:rPr>
        <w:t xml:space="preserve">. </w:t>
      </w:r>
      <w:r>
        <w:rPr>
          <w:rtl w:val="true"/>
        </w:rPr>
        <w:t>כנפו שימש בתקופה הרלוונטית לכתב האישום במספר תפקידים בעירייה ובכלל זאת סגן ראש העירייה</w:t>
      </w:r>
      <w:r>
        <w:rPr>
          <w:rtl w:val="true"/>
        </w:rPr>
        <w:t xml:space="preserve">, </w:t>
      </w:r>
      <w:r>
        <w:rPr>
          <w:rtl w:val="true"/>
        </w:rPr>
        <w:t xml:space="preserve">חבר מועצה וחבר בוועדת המשנה לתכנון ובניה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המשנה</w:t>
      </w:r>
      <w:r>
        <w:rPr>
          <w:rtl w:val="true"/>
        </w:rPr>
        <w:t xml:space="preserve">); </w:t>
      </w:r>
      <w:r>
        <w:rPr>
          <w:rtl w:val="true"/>
        </w:rPr>
        <w:t>ודרי שימש כממלא מקום ראש העירייה</w:t>
      </w:r>
      <w:r>
        <w:rPr>
          <w:rtl w:val="true"/>
        </w:rPr>
        <w:t xml:space="preserve">, </w:t>
      </w:r>
      <w:r>
        <w:rPr>
          <w:rtl w:val="true"/>
        </w:rPr>
        <w:t>כחבר מועצה וכחבר בוועדת המשנה</w:t>
      </w:r>
      <w:r>
        <w:rPr>
          <w:rtl w:val="true"/>
        </w:rPr>
        <w:t xml:space="preserve">. </w:t>
      </w:r>
      <w:r>
        <w:rPr>
          <w:rtl w:val="true"/>
        </w:rPr>
        <w:t>בעיקרם של דברים</w:t>
      </w:r>
      <w:r>
        <w:rPr>
          <w:rtl w:val="true"/>
        </w:rPr>
        <w:t xml:space="preserve">, </w:t>
      </w:r>
      <w:r>
        <w:rPr>
          <w:rtl w:val="true"/>
        </w:rPr>
        <w:t>האישומים נוגעים לפרשות שונות שבמסגרתן קיבלו המערערים כספי שוחד מיזמים בזיקה לפרויקטים נדל</w:t>
      </w:r>
      <w:r>
        <w:rPr>
          <w:rtl w:val="true"/>
        </w:rPr>
        <w:t>"</w:t>
      </w:r>
      <w:r>
        <w:rPr>
          <w:rtl w:val="true"/>
        </w:rPr>
        <w:t>ניים בעיר אשדוד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במסגרת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 xml:space="preserve">הואשם כנפו כי סיכם עם יזם </w:t>
      </w:r>
      <w:r>
        <w:rPr>
          <w:rtl w:val="true"/>
        </w:rPr>
        <w:t>(</w:t>
      </w:r>
      <w:r>
        <w:rPr>
          <w:rtl w:val="true"/>
        </w:rPr>
        <w:t>יחיאל אבו</w:t>
      </w:r>
      <w:r>
        <w:rPr>
          <w:rtl w:val="true"/>
        </w:rPr>
        <w:t xml:space="preserve">;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tl w:val="true"/>
        </w:rPr>
        <w:t xml:space="preserve">) </w:t>
      </w:r>
      <w:r>
        <w:rPr>
          <w:rtl w:val="true"/>
        </w:rPr>
        <w:t>שידאג לשינוי ייעוד קרקע מבית החלמה ליולדות למגורים</w:t>
      </w:r>
      <w:r>
        <w:rPr>
          <w:rtl w:val="true"/>
        </w:rPr>
        <w:t xml:space="preserve">. </w:t>
      </w:r>
      <w:r>
        <w:rPr>
          <w:rtl w:val="true"/>
        </w:rPr>
        <w:t>בתמורה לכך</w:t>
      </w:r>
      <w:r>
        <w:rPr>
          <w:rtl w:val="true"/>
        </w:rPr>
        <w:t xml:space="preserve">, </w:t>
      </w:r>
      <w:r>
        <w:rPr>
          <w:rtl w:val="true"/>
        </w:rPr>
        <w:t>קיבל כנפו אופציה לרכוש את הקרקע בתמורה ל</w:t>
      </w:r>
      <w:r>
        <w:rPr>
          <w:rtl w:val="true"/>
        </w:rPr>
        <w:t>-</w:t>
      </w:r>
      <w:r>
        <w:rPr/>
        <w:t>2.1</w:t>
      </w:r>
      <w:r>
        <w:rPr>
          <w:rtl w:val="true"/>
        </w:rPr>
        <w:t xml:space="preserve"> </w:t>
      </w:r>
      <w:r>
        <w:rPr>
          <w:rtl w:val="true"/>
        </w:rPr>
        <w:t>מיליון 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בהתאם לסיכום זה</w:t>
      </w:r>
      <w:r>
        <w:rPr>
          <w:rtl w:val="true"/>
        </w:rPr>
        <w:t xml:space="preserve">, </w:t>
      </w:r>
      <w:r>
        <w:rPr>
          <w:rtl w:val="true"/>
        </w:rPr>
        <w:t>הוגשה בקשה לשינוי ייעוד הקרקע</w:t>
      </w:r>
      <w:r>
        <w:rPr>
          <w:rtl w:val="true"/>
        </w:rPr>
        <w:t xml:space="preserve">, </w:t>
      </w:r>
      <w:r>
        <w:rPr>
          <w:rtl w:val="true"/>
        </w:rPr>
        <w:t xml:space="preserve">וועדת המשנה המליצה לאשר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יחידות דיור בהמלצת כנפו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השתתף כנפו בישיבת ועדת משנה שבמסגרתה אושר פטור מהשגת יחידות דיור מתוך מאגר קיים </w:t>
      </w:r>
      <w:r>
        <w:rPr>
          <w:rtl w:val="true"/>
        </w:rPr>
        <w:t>("</w:t>
      </w:r>
      <w:r>
        <w:rPr>
          <w:rtl w:val="true"/>
        </w:rPr>
        <w:t>יחידות אוויר</w:t>
      </w:r>
      <w:r>
        <w:rPr>
          <w:rtl w:val="true"/>
        </w:rPr>
        <w:t xml:space="preserve">"), </w:t>
      </w:r>
      <w:r>
        <w:rPr>
          <w:rtl w:val="true"/>
        </w:rPr>
        <w:t>וזאת מבלי שהודיע שיש לו עניין אישי בהחלטה</w:t>
      </w:r>
      <w:r>
        <w:rPr>
          <w:rtl w:val="true"/>
        </w:rPr>
        <w:t xml:space="preserve">. </w:t>
      </w:r>
      <w:r>
        <w:rPr>
          <w:rtl w:val="true"/>
        </w:rPr>
        <w:t>כנפו המשיך לקדם את הפרויקט כחבר בוועדת המשנה בדרכים שונות</w:t>
      </w:r>
      <w:r>
        <w:rPr>
          <w:rtl w:val="true"/>
        </w:rPr>
        <w:t xml:space="preserve">. </w:t>
      </w:r>
      <w:r>
        <w:rPr>
          <w:rtl w:val="true"/>
        </w:rPr>
        <w:t xml:space="preserve">במסגרת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Fonts w:ascii="Century" w:hAnsi="Century" w:cs="Century"/>
          <w:sz w:val="22"/>
          <w:sz w:val="22"/>
          <w:rtl w:val="true"/>
        </w:rPr>
        <w:t xml:space="preserve"> נטען כי חרף ניגוד העניינים </w:t>
      </w:r>
      <w:r>
        <w:rPr>
          <w:rtl w:val="true"/>
        </w:rPr>
        <w:t>שכנפו היה מצוי בו בשל המפורט באישום הראשון</w:t>
      </w:r>
      <w:r>
        <w:rPr>
          <w:rtl w:val="true"/>
        </w:rPr>
        <w:t xml:space="preserve">, </w:t>
      </w:r>
      <w:r>
        <w:rPr>
          <w:rtl w:val="true"/>
        </w:rPr>
        <w:t>המשיך לדון בבקשותיו של אבו שהגיעו לדיון בוועדה המקומית לתכנון ולבניה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במסגרת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</w:t>
      </w:r>
      <w:r>
        <w:rPr>
          <w:rFonts w:ascii="Century" w:hAnsi="Century" w:cs="Century"/>
          <w:sz w:val="22"/>
          <w:sz w:val="22"/>
          <w:rtl w:val="true"/>
        </w:rPr>
        <w:t xml:space="preserve"> נטען כי כנפו קיבל מחברת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מגדלי נוף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 xml:space="preserve">סך של </w:t>
      </w:r>
      <w:r>
        <w:rPr>
          <w:rFonts w:cs="Century" w:ascii="Century" w:hAnsi="Century"/>
          <w:sz w:val="22"/>
        </w:rPr>
        <w:t>80,000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 עבור קידום פרויקט בניה שבמסגרתו הוגשה גם בקשה להגדלת זכויות הבניה של החברה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מספר שנים לאחר שאושרה תוספת יחידות דיור בפרויקט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השתתף כנפו בישיבות שנגעו לתוספת נוספת של יחידות דיור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 xml:space="preserve">במסגרת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הרביעי</w:t>
      </w:r>
      <w:r>
        <w:rPr>
          <w:rFonts w:ascii="Century" w:hAnsi="Century" w:cs="Century"/>
          <w:sz w:val="22"/>
          <w:sz w:val="22"/>
          <w:rtl w:val="true"/>
        </w:rPr>
        <w:t xml:space="preserve"> נטען כי בין דרי לבין חברת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קדמת עדן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 xml:space="preserve">נערך הסכם שלפיו דרי יקדם פרויקטים שונים וביניהם פרויקט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מבוא אשדוד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בתמורה לתשלום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דרי פעל לקידום הפרויקט וקיבל סך של </w:t>
      </w:r>
      <w:r>
        <w:rPr>
          <w:rFonts w:cs="Century" w:ascii="Century" w:hAnsi="Century"/>
          <w:sz w:val="22"/>
        </w:rPr>
        <w:t>46,893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ח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כהלוואה לחברה בבעלות אחר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 xml:space="preserve">וחלק בלתי ידוע מתוך </w:t>
      </w:r>
      <w:r>
        <w:rPr>
          <w:rFonts w:cs="Century" w:ascii="Century" w:hAnsi="Century"/>
          <w:sz w:val="22"/>
        </w:rPr>
        <w:t>1.5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מיליון 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דרי הלבין את כספי השוחד על ידי ערבובם בכספים לגיטימיים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ביצע פעולות ברכוש אסור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ולא כלל בספרי הנהלת החשבונות שלו סכום של </w:t>
      </w:r>
      <w:r>
        <w:rPr>
          <w:rFonts w:cs="Century" w:ascii="Century" w:hAnsi="Century"/>
          <w:sz w:val="22"/>
        </w:rPr>
        <w:t>1.5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מיליון 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כחלק מפעולותיו באישום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דרי שילם לכנפו סכום של </w:t>
      </w:r>
      <w:r>
        <w:rPr>
          <w:rFonts w:cs="Century" w:ascii="Century" w:hAnsi="Century"/>
          <w:sz w:val="22"/>
        </w:rPr>
        <w:t>107,180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 בגין אישור מינהל מקרקעי ישראל לפרויקט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כנפו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לאחר שטיפל בהוצאת האישור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ניהל מטעם העירייה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בחלוף מספר שנים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 xml:space="preserve">את המשא ומתן מול חברת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מבוא אשדוד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תוך ניגוד עניינים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החמישי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לשיווק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2,348,322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ליזמים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זכייתם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המשנה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בפרויקטים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, </w:t>
      </w:r>
      <w:r>
        <w:rPr>
          <w:rtl w:val="true"/>
        </w:rPr>
        <w:t>בתמורה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בישיבת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15%</w:t>
      </w:r>
      <w:r>
        <w:rPr>
          <w:rtl w:val="true"/>
        </w:rPr>
        <w:t xml:space="preserve"> </w:t>
      </w:r>
      <w:r>
        <w:rPr>
          <w:rtl w:val="true"/>
        </w:rPr>
        <w:t>לכמות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המקורית</w:t>
      </w:r>
      <w:r>
        <w:rPr>
          <w:rtl w:val="true"/>
        </w:rPr>
        <w:t xml:space="preserve">; </w:t>
      </w:r>
      <w:r>
        <w:rPr>
          <w:rtl w:val="true"/>
        </w:rPr>
        <w:t>ובהמשך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היזמים</w:t>
      </w:r>
      <w:r>
        <w:rPr>
          <w:rtl w:val="true"/>
        </w:rPr>
        <w:t xml:space="preserve">,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משהומלץ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המקצועי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השישי</w:t>
      </w:r>
      <w:r>
        <w:rPr>
          <w:rFonts w:ascii="Century" w:hAnsi="Century" w:cs="Century"/>
          <w:rtl w:val="true"/>
        </w:rPr>
        <w:t xml:space="preserve"> מובאות שלוש פרשיות ביחס למגרשים שונים בעיר אשדוד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בכל הנוגע למגרש המכונה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מגרש </w:t>
      </w:r>
      <w:r>
        <w:rPr>
          <w:rFonts w:cs="Century" w:ascii="Century" w:hAnsi="Century"/>
        </w:rPr>
        <w:t>136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נטען כי כנפו קיבל כספים מבעל המגרש ומרוכשת המגרש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חברת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יחד הבונים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שהייתה בשליטת יצחק חדד וקלוד נחמיאס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בתמורה לקידום זכויות הבניה בו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כנפו קידם את הגדלת זכויות הבניה וסייע בהפחתת היטל ההשבחה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בכל הנוגע למגרש המכונה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נטען כי דרי קיבל כספים מקלוד נחמיאס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בעל המגרש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על מנת לקדם פרויקט במגרש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ולימים בדיון בוועדת המשנה הוגדלו זכויות הבניה בפרויקט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בכל הנוגע למגרשים המכונים </w:t>
      </w:r>
      <w:r>
        <w:rPr>
          <w:rFonts w:cs="Century" w:ascii="Century" w:hAnsi="Century"/>
          <w:rtl w:val="true"/>
        </w:rPr>
        <w:t>"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-"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שהיו בבעלות קלוד נחמיאס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כנפו ודרי השתתפו בישיבות בהן נדונו סוגיות שקשורות למגרשים הגם שהיו מצויים בניגוד עניינים נוכח הפרשיות האחרות שבאישום זה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במסגרת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השביעי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נטען כי בשנים </w:t>
      </w:r>
      <w:r>
        <w:rPr>
          <w:rFonts w:cs="Century" w:ascii="Century" w:hAnsi="Century"/>
        </w:rPr>
        <w:t>2007-2006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נתן דרי הלוואה על סך </w:t>
      </w:r>
      <w:r>
        <w:rPr>
          <w:rFonts w:cs="Century" w:ascii="Century" w:hAnsi="Century"/>
        </w:rPr>
        <w:t>995,000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מכספי חברת כד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גל לחברת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יחד הבונים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באמצעות בעלי השליטה 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קלוד נחמיאס ויצחק חדד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העמיד עצמו דרי בניגוד עניינים ביחס לחברת יחד הבונים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בהיותו מחד נושה של החברה ומאידך מייעץ לה וחבר מועצה שיכול להיטיב את מצבה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במסגרת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השמיני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דרי סיכם עם הרצל שמריז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יקדם את פרויקט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שומרז סיטי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בעיר אשדוד וזאת בתמורה להעסקת חתנו כאדריכל הפרויקט ולמתן הנחה לשני ילדיו ברכישת דירות בפרויקט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25.2.2022</w:t>
      </w:r>
      <w:r>
        <w:rPr>
          <w:rtl w:val="true"/>
        </w:rPr>
        <w:t xml:space="preserve"> </w:t>
      </w:r>
      <w:r>
        <w:rPr>
          <w:rtl w:val="true"/>
        </w:rPr>
        <w:t>ניתנה הכרעת הדין</w:t>
      </w:r>
      <w:r>
        <w:rPr>
          <w:rtl w:val="true"/>
        </w:rPr>
        <w:t xml:space="preserve">, </w:t>
      </w:r>
      <w:r>
        <w:rPr>
          <w:rtl w:val="true"/>
        </w:rPr>
        <w:t>שמשתרעת על פני למעלה מ</w:t>
      </w:r>
      <w:r>
        <w:rPr>
          <w:rtl w:val="true"/>
        </w:rPr>
        <w:t>-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עמודים</w:t>
      </w:r>
      <w:r>
        <w:rPr>
          <w:rtl w:val="true"/>
        </w:rPr>
        <w:t xml:space="preserve">, </w:t>
      </w:r>
      <w:r>
        <w:rPr>
          <w:rtl w:val="true"/>
        </w:rPr>
        <w:t>שבמסגרתה הרשיע בית המשפט המחוזי את המערערים במיוחס להם בכתב האישום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21.6.2022</w:t>
      </w:r>
      <w:r>
        <w:rPr>
          <w:rtl w:val="true"/>
        </w:rPr>
        <w:t xml:space="preserve">, </w:t>
      </w:r>
      <w:r>
        <w:rPr>
          <w:rtl w:val="true"/>
        </w:rPr>
        <w:t>לאחר שנשמעו ראיות הצדדים לעונש</w:t>
      </w:r>
      <w:r>
        <w:rPr>
          <w:rtl w:val="true"/>
        </w:rPr>
        <w:t xml:space="preserve">, </w:t>
      </w:r>
      <w:r>
        <w:rPr>
          <w:rtl w:val="true"/>
        </w:rPr>
        <w:t>גזר בית המשפט המחוזי על המערערים את העונשים שפורטו לעיל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בית המשפט קבע תחילה כי הגם שמדובר במספר עבירות שנפרסו על פני תקופה ארוכה</w:t>
      </w:r>
      <w:r>
        <w:rPr>
          <w:rtl w:val="true"/>
        </w:rPr>
        <w:t xml:space="preserve">, </w:t>
      </w:r>
      <w:r>
        <w:rPr>
          <w:rtl w:val="true"/>
        </w:rPr>
        <w:t xml:space="preserve">יש לראות בעבירות כולן </w:t>
      </w:r>
      <w:r>
        <w:rPr>
          <w:rtl w:val="true"/>
        </w:rPr>
        <w:t>"</w:t>
      </w:r>
      <w:r>
        <w:rPr>
          <w:rtl w:val="true"/>
        </w:rPr>
        <w:t>אירוע אחד</w:t>
      </w:r>
      <w:r>
        <w:rPr>
          <w:rtl w:val="true"/>
        </w:rPr>
        <w:t xml:space="preserve">" </w:t>
      </w:r>
      <w:r>
        <w:rPr>
          <w:rtl w:val="true"/>
        </w:rPr>
        <w:t>ולקבוע מתחם כולל ביחס לכל אחד מהנאשמים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 היתר מאחר שהערכים המוגנים שבבסיס העבירות זהים</w:t>
      </w:r>
      <w:r>
        <w:rPr>
          <w:rtl w:val="true"/>
        </w:rPr>
        <w:t xml:space="preserve">; </w:t>
      </w:r>
      <w:r>
        <w:rPr>
          <w:rtl w:val="true"/>
        </w:rPr>
        <w:t>כי העבירות כולן נוגעות לפרויקטים נדל</w:t>
      </w:r>
      <w:r>
        <w:rPr>
          <w:rtl w:val="true"/>
        </w:rPr>
        <w:t>"</w:t>
      </w:r>
      <w:r>
        <w:rPr>
          <w:rtl w:val="true"/>
        </w:rPr>
        <w:t>ניים בעיר אשדוד</w:t>
      </w:r>
      <w:r>
        <w:rPr>
          <w:rtl w:val="true"/>
        </w:rPr>
        <w:t xml:space="preserve">; </w:t>
      </w:r>
      <w:r>
        <w:rPr>
          <w:rtl w:val="true"/>
        </w:rPr>
        <w:t>שהעבירות התאפשרו או נעשו בזיקות להחלטות בוועדת המשנה בה כיהנו המערערים בתקופות שונות</w:t>
      </w:r>
      <w:r>
        <w:rPr>
          <w:rtl w:val="true"/>
        </w:rPr>
        <w:t xml:space="preserve">; </w:t>
      </w:r>
      <w:r>
        <w:rPr>
          <w:rtl w:val="true"/>
        </w:rPr>
        <w:t>ונוכח הקשר ההדוק בין המערערים והשפעתם זה על זה</w:t>
      </w:r>
      <w:r>
        <w:rPr>
          <w:rtl w:val="true"/>
        </w:rPr>
        <w:t xml:space="preserve">. </w:t>
      </w:r>
      <w:r>
        <w:rPr>
          <w:rtl w:val="true"/>
        </w:rPr>
        <w:t>אשר לערכים החברתיים שנפגעו כתוצאה ממעשיהם</w:t>
      </w:r>
      <w:r>
        <w:rPr>
          <w:rtl w:val="true"/>
        </w:rPr>
        <w:t xml:space="preserve">, </w:t>
      </w:r>
      <w:r>
        <w:rPr>
          <w:rtl w:val="true"/>
        </w:rPr>
        <w:t>עמד בית המשפט על עבירת השוחד והסכנה שגלומה בה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צוין כי השחיתות השלטונית היא נגע שיש לבערו מהחברה</w:t>
      </w:r>
      <w:r>
        <w:rPr>
          <w:rtl w:val="true"/>
        </w:rPr>
        <w:t xml:space="preserve">, </w:t>
      </w:r>
      <w:r>
        <w:rPr>
          <w:rtl w:val="true"/>
        </w:rPr>
        <w:t>וכי המערערים פגעו פגיעה חמורה בטוהר המידות של פקידי הציבור</w:t>
      </w:r>
      <w:r>
        <w:rPr>
          <w:rtl w:val="true"/>
        </w:rPr>
        <w:t xml:space="preserve">, </w:t>
      </w:r>
      <w:r>
        <w:rPr>
          <w:rtl w:val="true"/>
        </w:rPr>
        <w:t>בפעילותו התקינה של המינהל והשירות הציבורי ובאמון הציבור במערכת השלטונית</w:t>
      </w:r>
      <w:r>
        <w:rPr>
          <w:rtl w:val="true"/>
        </w:rPr>
        <w:t xml:space="preserve">. </w:t>
      </w:r>
      <w:r>
        <w:rPr>
          <w:rtl w:val="true"/>
        </w:rPr>
        <w:t xml:space="preserve">עוד צוין כי בתיקון 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 xml:space="preserve">משנת </w:t>
      </w:r>
      <w:r>
        <w:rPr/>
        <w:t>2010</w:t>
      </w:r>
      <w:r>
        <w:rPr>
          <w:rtl w:val="true"/>
        </w:rPr>
        <w:t xml:space="preserve"> (</w:t>
      </w:r>
      <w:r>
        <w:rPr>
          <w:rtl w:val="true"/>
        </w:rPr>
        <w:t xml:space="preserve">חוק העונשין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103</w:t>
      </w:r>
      <w:r>
        <w:rPr>
          <w:rtl w:val="true"/>
        </w:rPr>
        <w:t xml:space="preserve">),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>-</w:t>
      </w:r>
      <w:r>
        <w:rPr/>
        <w:t>2010</w:t>
      </w:r>
      <w:r>
        <w:rPr>
          <w:rtl w:val="true"/>
        </w:rPr>
        <w:t xml:space="preserve">;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103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הוחמרה הענישה בעבירת לקיחת שוחד</w:t>
      </w:r>
      <w:r>
        <w:rPr>
          <w:rtl w:val="true"/>
        </w:rPr>
        <w:t xml:space="preserve">, </w:t>
      </w:r>
      <w:r>
        <w:rPr>
          <w:rtl w:val="true"/>
        </w:rPr>
        <w:t xml:space="preserve">וזו הועמדה על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שנים </w:t>
      </w:r>
      <w:r>
        <w:rPr>
          <w:rtl w:val="true"/>
        </w:rPr>
        <w:t>(</w:t>
      </w:r>
      <w:r>
        <w:rPr>
          <w:rtl w:val="true"/>
        </w:rPr>
        <w:t xml:space="preserve">חלף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). </w:t>
      </w:r>
      <w:r>
        <w:rPr>
          <w:rtl w:val="true"/>
        </w:rPr>
        <w:t xml:space="preserve">בכך חיווה המחוקק דעתו על החומרה שגלומה בעבירה זו </w:t>
      </w:r>
      <w:r>
        <w:rPr>
          <w:rtl w:val="true"/>
        </w:rPr>
        <w:t>(</w:t>
      </w:r>
      <w:r>
        <w:rPr>
          <w:rtl w:val="true"/>
        </w:rPr>
        <w:t xml:space="preserve">יוער כי תיקון זה רלוונטי אך לאישומים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, </w:t>
      </w:r>
      <w:r>
        <w:rPr>
          <w:rtl w:val="true"/>
        </w:rPr>
        <w:t>בעניינו של דרי</w:t>
      </w:r>
      <w:r>
        <w:rPr>
          <w:rtl w:val="true"/>
        </w:rPr>
        <w:t xml:space="preserve">). </w:t>
      </w:r>
      <w:r>
        <w:rPr>
          <w:rtl w:val="true"/>
        </w:rPr>
        <w:t xml:space="preserve">בית המשפט התייחס גם לערכים המוגנים בעבירת המרמה והפרת האמונים </w:t>
      </w:r>
      <w:r>
        <w:rPr>
          <w:rtl w:val="true"/>
        </w:rPr>
        <w:t>(</w:t>
      </w:r>
      <w:r>
        <w:rPr>
          <w:rtl w:val="true"/>
        </w:rPr>
        <w:t>הבטחת אמון הציבור בעובד הציבור</w:t>
      </w:r>
      <w:r>
        <w:rPr>
          <w:rtl w:val="true"/>
        </w:rPr>
        <w:t xml:space="preserve">; </w:t>
      </w:r>
      <w:r>
        <w:rPr>
          <w:rtl w:val="true"/>
        </w:rPr>
        <w:t>טוהר מידותיהם של עובדי הציבור</w:t>
      </w:r>
      <w:r>
        <w:rPr>
          <w:rtl w:val="true"/>
        </w:rPr>
        <w:t xml:space="preserve">; </w:t>
      </w:r>
      <w:r>
        <w:rPr>
          <w:rtl w:val="true"/>
        </w:rPr>
        <w:t>והבטחת תקינות פעילותו של המינהל הציבורי</w:t>
      </w:r>
      <w:r>
        <w:rPr>
          <w:rtl w:val="true"/>
        </w:rPr>
        <w:t xml:space="preserve">); </w:t>
      </w:r>
      <w:r>
        <w:rPr>
          <w:rtl w:val="true"/>
        </w:rPr>
        <w:t xml:space="preserve">כמו גם לערכים המוגנים בעבירות לפי 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-</w:t>
      </w:r>
      <w:r>
        <w:rPr/>
        <w:t>2000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איסור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הלבנת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הון</w:t>
      </w:r>
      <w:r>
        <w:rPr>
          <w:rtl w:val="true"/>
        </w:rPr>
        <w:t xml:space="preserve">) </w:t>
      </w:r>
      <w:r>
        <w:rPr>
          <w:rtl w:val="true"/>
        </w:rPr>
        <w:t>וחוקי המס</w:t>
      </w:r>
      <w:r>
        <w:rPr>
          <w:rtl w:val="true"/>
        </w:rPr>
        <w:t xml:space="preserve">. </w:t>
      </w:r>
      <w:r>
        <w:rPr>
          <w:rtl w:val="true"/>
        </w:rPr>
        <w:t>בית המשפט עמד על הפסיקה הנוהגת</w:t>
      </w:r>
      <w:r>
        <w:rPr>
          <w:rtl w:val="true"/>
        </w:rPr>
        <w:t xml:space="preserve">, </w:t>
      </w:r>
      <w:r>
        <w:rPr>
          <w:rtl w:val="true"/>
        </w:rPr>
        <w:t>והדגיש כי בעבירת השוחד בתי המשפט מעניקים משקל רב למעמדו הפורמלי ולהשפעתו בפועל של עובד הציבור</w:t>
      </w:r>
      <w:r>
        <w:rPr>
          <w:rtl w:val="true"/>
        </w:rPr>
        <w:t xml:space="preserve">, </w:t>
      </w:r>
      <w:r>
        <w:rPr>
          <w:rtl w:val="true"/>
        </w:rPr>
        <w:t>לגובה המתת</w:t>
      </w:r>
      <w:r>
        <w:rPr>
          <w:rtl w:val="true"/>
        </w:rPr>
        <w:t xml:space="preserve">, </w:t>
      </w:r>
      <w:r>
        <w:rPr>
          <w:rtl w:val="true"/>
        </w:rPr>
        <w:t>לשאלה אם נלקח לכיסו האישי</w:t>
      </w:r>
      <w:r>
        <w:rPr>
          <w:rtl w:val="true"/>
        </w:rPr>
        <w:t xml:space="preserve">, </w:t>
      </w:r>
      <w:r>
        <w:rPr>
          <w:rtl w:val="true"/>
        </w:rPr>
        <w:t>לאופי המעשים</w:t>
      </w:r>
      <w:r>
        <w:rPr>
          <w:rtl w:val="true"/>
        </w:rPr>
        <w:t xml:space="preserve">, </w:t>
      </w:r>
      <w:r>
        <w:rPr>
          <w:rtl w:val="true"/>
        </w:rPr>
        <w:t>לסטייה מן השורה ולנזק שנגרם לאינטרס הציבורי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אשר למידת הפגיעה של המערערים בערכים החברתיים המוגנים</w:t>
      </w:r>
      <w:r>
        <w:rPr>
          <w:rtl w:val="true"/>
        </w:rPr>
        <w:t xml:space="preserve">, </w:t>
      </w:r>
      <w:r>
        <w:rPr>
          <w:rtl w:val="true"/>
        </w:rPr>
        <w:t>ציין בית המשפט כי מעשיהם נפרסו על פני תקופה ארוכה</w:t>
      </w:r>
      <w:r>
        <w:rPr>
          <w:rtl w:val="true"/>
        </w:rPr>
        <w:t xml:space="preserve">, </w:t>
      </w:r>
      <w:r>
        <w:rPr>
          <w:rtl w:val="true"/>
        </w:rPr>
        <w:t>תוך ניצול ציני של מעמדם ותאוות בצע</w:t>
      </w:r>
      <w:r>
        <w:rPr>
          <w:rtl w:val="true"/>
        </w:rPr>
        <w:t xml:space="preserve">. </w:t>
      </w:r>
      <w:r>
        <w:rPr>
          <w:rtl w:val="true"/>
        </w:rPr>
        <w:t xml:space="preserve">במסגרת המעשים שלשלו המערערים לכיסם סכומי עתק </w:t>
      </w:r>
      <w:r>
        <w:rPr>
          <w:rtl w:val="true"/>
        </w:rPr>
        <w:t>(</w:t>
      </w:r>
      <w:r>
        <w:rPr>
          <w:rtl w:val="true"/>
        </w:rPr>
        <w:t>בפרט בכל שאמור בדרי</w:t>
      </w:r>
      <w:r>
        <w:rPr>
          <w:rtl w:val="true"/>
        </w:rPr>
        <w:t xml:space="preserve">) </w:t>
      </w:r>
      <w:r>
        <w:rPr>
          <w:rtl w:val="true"/>
        </w:rPr>
        <w:t>ודאגו במרבית המקרים לתת תמורה מלאה לנותני השוחד תוך סטייה ברורה מן השורה ופגיעה באינטרס הציבורי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באופן שפוגע בדמותו של השירות הציבורי ובטובת העיר אשדוד ותושביה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כך נקבע</w:t>
      </w:r>
      <w:r>
        <w:rPr>
          <w:rtl w:val="true"/>
        </w:rPr>
        <w:t xml:space="preserve">, </w:t>
      </w:r>
      <w:r>
        <w:rPr>
          <w:rtl w:val="true"/>
        </w:rPr>
        <w:t>פעלו בדרך מתוחכמת ומבלי ליידע איש בנוגע למעורבותם האישית בפרויקטים השונים</w:t>
      </w:r>
      <w:r>
        <w:rPr>
          <w:rtl w:val="true"/>
        </w:rPr>
        <w:t xml:space="preserve">, </w:t>
      </w:r>
      <w:r>
        <w:rPr>
          <w:rtl w:val="true"/>
        </w:rPr>
        <w:t>ובכך יכלו לפעול לקידום ענייניהם האישיים ביחד ולחוד</w:t>
      </w:r>
      <w:r>
        <w:rPr>
          <w:rtl w:val="true"/>
        </w:rPr>
        <w:t xml:space="preserve">. </w:t>
      </w:r>
      <w:r>
        <w:rPr>
          <w:rtl w:val="true"/>
        </w:rPr>
        <w:t>צוין כי הגם שאין מדובר בנאשמים שנשאו משרות בכירות במיוחד</w:t>
      </w:r>
      <w:r>
        <w:rPr>
          <w:rtl w:val="true"/>
        </w:rPr>
        <w:t xml:space="preserve">, </w:t>
      </w:r>
      <w:r>
        <w:rPr>
          <w:rtl w:val="true"/>
        </w:rPr>
        <w:t>אין לראותם כאנשי ציבור זוטרים</w:t>
      </w:r>
      <w:r>
        <w:rPr>
          <w:rtl w:val="true"/>
        </w:rPr>
        <w:t xml:space="preserve">. </w:t>
      </w:r>
      <w:r>
        <w:rPr>
          <w:rtl w:val="true"/>
        </w:rPr>
        <w:t>עוד נקבע כי יש לתת את הדעת לכך שפעולות המערערים בוצעו בזיקה לתהליכי תכנון ובניה במסגרת ועדת המשנה ומחוצה לה</w:t>
      </w:r>
      <w:r>
        <w:rPr>
          <w:rtl w:val="true"/>
        </w:rPr>
        <w:t xml:space="preserve">, </w:t>
      </w:r>
      <w:r>
        <w:rPr>
          <w:rtl w:val="true"/>
        </w:rPr>
        <w:t>ולא אחת התקבלו החלטות בניגוד לעמדות גורמי המקצוע ומכאן גם החומרה היתרה שגלומה במעשיהם</w:t>
      </w:r>
      <w:r>
        <w:rPr>
          <w:rtl w:val="true"/>
        </w:rPr>
        <w:t xml:space="preserve">. </w:t>
      </w:r>
      <w:r>
        <w:rPr>
          <w:rtl w:val="true"/>
        </w:rPr>
        <w:t>בהמשך פרט בית המשפט גם את מידת הפגיעה בערכים המוגנים שגלומה במעשיהם של המערערים בכל אחד מן האישומים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בכל הנוגע למתחמי הענישה</w:t>
      </w:r>
      <w:r>
        <w:rPr>
          <w:rtl w:val="true"/>
        </w:rPr>
        <w:t xml:space="preserve">, </w:t>
      </w:r>
      <w:r>
        <w:rPr>
          <w:rtl w:val="true"/>
        </w:rPr>
        <w:t>דחה בית המשפט את עמדת המדינה</w:t>
      </w:r>
      <w:r>
        <w:rPr>
          <w:rtl w:val="true"/>
        </w:rPr>
        <w:t xml:space="preserve">, </w:t>
      </w:r>
      <w:r>
        <w:rPr>
          <w:rtl w:val="true"/>
        </w:rPr>
        <w:t>שעתרה לגזור עונש זהה על שניהם</w:t>
      </w:r>
      <w:r>
        <w:rPr>
          <w:rtl w:val="true"/>
        </w:rPr>
        <w:t xml:space="preserve">. </w:t>
      </w:r>
      <w:r>
        <w:rPr>
          <w:rtl w:val="true"/>
        </w:rPr>
        <w:t>בית המשפט מצא כי גם בהינתן מעמדו הרם יותר של כנפו</w:t>
      </w:r>
      <w:r>
        <w:rPr>
          <w:rtl w:val="true"/>
        </w:rPr>
        <w:t xml:space="preserve">, </w:t>
      </w:r>
      <w:r>
        <w:rPr>
          <w:rtl w:val="true"/>
        </w:rPr>
        <w:t>מספר העבירות והימשכותן והשוחד שהתקבל בגדרן מחייב השתת עונש חמור יותר על דרי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מצא להעמיד את המתחם בעניינו של כנפו על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לצד ענישה נלווית וקנס שנע בין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</w:t>
      </w:r>
      <w:r>
        <w:rPr>
          <w:rtl w:val="true"/>
        </w:rPr>
        <w:t>-</w:t>
      </w:r>
      <w:r>
        <w:rPr/>
        <w:t>300,000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 xml:space="preserve">וזאת בשים לב לכך שהורשע בשלוש עבירות של לקיחת שוחד בשווי כולל של </w:t>
      </w:r>
      <w:r>
        <w:rPr/>
        <w:t>240,000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לצד אופציה לרכישת המגרש באישום הראשון בשווי שנע בין מאות אלפי ש</w:t>
      </w:r>
      <w:r>
        <w:rPr>
          <w:rtl w:val="true"/>
        </w:rPr>
        <w:t>"</w:t>
      </w:r>
      <w:r>
        <w:rPr>
          <w:rtl w:val="true"/>
        </w:rPr>
        <w:t>ח ועד למיליון 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ובשלוש עבירות של הפרת אמונים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200,000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לפחות</w:t>
      </w:r>
      <w:r>
        <w:rPr>
          <w:rFonts w:eastAsia="Arial TUR;Arial" w:cs="Arial TUR;Arial"/>
          <w:rtl w:val="true"/>
        </w:rPr>
        <w:t xml:space="preserve"> </w:t>
      </w:r>
      <w:r>
        <w:rPr/>
        <w:t>2,539,588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; </w:t>
      </w:r>
      <w:r>
        <w:rPr>
          <w:rtl w:val="true"/>
        </w:rPr>
        <w:t>ולצד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בפרויקט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השמיני</w:t>
      </w:r>
      <w:r>
        <w:rPr>
          <w:rtl w:val="true"/>
        </w:rPr>
        <w:t xml:space="preserve">);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אמונים</w:t>
      </w:r>
      <w:r>
        <w:rPr>
          <w:rtl w:val="true"/>
        </w:rPr>
        <w:t xml:space="preserve">; </w:t>
      </w:r>
      <w:r>
        <w:rPr>
          <w:rtl w:val="true"/>
        </w:rPr>
        <w:t>ובהלבנת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,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כוזבים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אשר לקביעת עונשם של המערערים בגדרי המתחם</w:t>
      </w:r>
      <w:r>
        <w:rPr>
          <w:rtl w:val="true"/>
        </w:rPr>
        <w:t xml:space="preserve">, </w:t>
      </w:r>
      <w:r>
        <w:rPr>
          <w:rtl w:val="true"/>
        </w:rPr>
        <w:t>עמד בית המשפט על כך שהמערערים נעדרים עבר פלילי ועל תרומתם הציבורית הענפה בעיר אשדוד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תוארה הטלטלה שעברו המערערים ובני משפחתם מרגע פתיחת החקירה ועד לסיום ההליך המשפטי</w:t>
      </w:r>
      <w:r>
        <w:rPr>
          <w:rtl w:val="true"/>
        </w:rPr>
        <w:t xml:space="preserve">. </w:t>
      </w:r>
      <w:r>
        <w:rPr>
          <w:rtl w:val="true"/>
        </w:rPr>
        <w:t>בית המשפט מצא שיש ליתן משקל לא מבוטל לגילו של דרי</w:t>
      </w:r>
      <w:r>
        <w:rPr>
          <w:rtl w:val="true"/>
        </w:rPr>
        <w:t xml:space="preserve">, </w:t>
      </w:r>
      <w:r>
        <w:rPr>
          <w:rtl w:val="true"/>
        </w:rPr>
        <w:t xml:space="preserve">שהיה בעת מתן גזר הדין בן </w:t>
      </w:r>
      <w:r>
        <w:rPr/>
        <w:t>77</w:t>
      </w:r>
      <w:r>
        <w:rPr>
          <w:rtl w:val="true"/>
        </w:rPr>
        <w:t xml:space="preserve">. </w:t>
      </w:r>
      <w:r>
        <w:rPr>
          <w:rtl w:val="true"/>
        </w:rPr>
        <w:t>עוד תואר כי המערערים כפרו במיוחס להם ולא נטלו אחריות</w:t>
      </w:r>
      <w:r>
        <w:rPr>
          <w:rtl w:val="true"/>
        </w:rPr>
        <w:t xml:space="preserve"> </w:t>
      </w:r>
      <w:r>
        <w:rPr>
          <w:rtl w:val="true"/>
        </w:rPr>
        <w:t>על מעשיהם</w:t>
      </w:r>
      <w:r>
        <w:rPr>
          <w:rtl w:val="true"/>
        </w:rPr>
        <w:t xml:space="preserve">. </w:t>
      </w:r>
      <w:r>
        <w:rPr>
          <w:rtl w:val="true"/>
        </w:rPr>
        <w:t>בית המשפט אף מצא ליתן משקל לשיקול הרתעת הרבים</w:t>
      </w:r>
      <w:r>
        <w:rPr>
          <w:rtl w:val="true"/>
        </w:rPr>
        <w:t xml:space="preserve">, </w:t>
      </w:r>
      <w:r>
        <w:rPr>
          <w:rtl w:val="true"/>
        </w:rPr>
        <w:t>בין היתר בשל מאפייניה הייחודיים של עבירת השוחד</w:t>
      </w:r>
      <w:r>
        <w:rPr>
          <w:rtl w:val="true"/>
        </w:rPr>
        <w:t xml:space="preserve">. </w:t>
      </w:r>
      <w:r>
        <w:rPr>
          <w:rtl w:val="true"/>
        </w:rPr>
        <w:t>בית המשפט עמד על טענות המערערים ביחס למצבם הרפואי ומצא כי יש ליתן להן משקל</w:t>
      </w:r>
      <w:r>
        <w:rPr>
          <w:rtl w:val="true"/>
        </w:rPr>
        <w:t xml:space="preserve">, </w:t>
      </w:r>
      <w:r>
        <w:rPr>
          <w:rtl w:val="true"/>
        </w:rPr>
        <w:t>אך בגדר המתחם בלא לסטות ממתחם העונש ההולם</w:t>
      </w:r>
      <w:r>
        <w:rPr>
          <w:rtl w:val="true"/>
        </w:rPr>
        <w:t xml:space="preserve">. </w:t>
      </w:r>
      <w:r>
        <w:rPr>
          <w:rtl w:val="true"/>
        </w:rPr>
        <w:t>בית המשפט מצא בנוסף כי שיקול חלוף הזמן ממועד ביצוע העבירות ועד להגשת כתב האישום מוליך להקלה בעונשם של המערערים</w:t>
      </w:r>
      <w:r>
        <w:rPr>
          <w:rtl w:val="true"/>
        </w:rPr>
        <w:t xml:space="preserve">. </w:t>
      </w:r>
      <w:r>
        <w:rPr>
          <w:rtl w:val="true"/>
        </w:rPr>
        <w:t>בכל הנוגע לעקרון אחידות הענישה</w:t>
      </w:r>
      <w:r>
        <w:rPr>
          <w:rtl w:val="true"/>
        </w:rPr>
        <w:t xml:space="preserve">, </w:t>
      </w:r>
      <w:r>
        <w:rPr>
          <w:rtl w:val="true"/>
        </w:rPr>
        <w:t>דחה בעיקרם של דברים בית המשפט את טענות המערערים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צוין כי הגם שהיזמים </w:t>
      </w:r>
      <w:r>
        <w:rPr>
          <w:rtl w:val="true"/>
        </w:rPr>
        <w:t>(</w:t>
      </w:r>
      <w:r>
        <w:rPr>
          <w:rtl w:val="true"/>
        </w:rPr>
        <w:t>נותני השוחד</w:t>
      </w:r>
      <w:r>
        <w:rPr>
          <w:rtl w:val="true"/>
        </w:rPr>
        <w:t xml:space="preserve">) </w:t>
      </w:r>
      <w:r>
        <w:rPr>
          <w:rtl w:val="true"/>
        </w:rPr>
        <w:t>נענשו בעונשים כלכליים בעיקרם</w:t>
      </w:r>
      <w:r>
        <w:rPr>
          <w:rtl w:val="true"/>
        </w:rPr>
        <w:t xml:space="preserve">, </w:t>
      </w:r>
      <w:r>
        <w:rPr>
          <w:rtl w:val="true"/>
        </w:rPr>
        <w:t>ישנו הבדל תהומי בין העבירות שבהן הורשעו היזמים לבין העבירות שבהן הורשעו המערערים</w:t>
      </w:r>
      <w:r>
        <w:rPr>
          <w:rtl w:val="true"/>
        </w:rPr>
        <w:t xml:space="preserve">; </w:t>
      </w:r>
      <w:r>
        <w:rPr>
          <w:rtl w:val="true"/>
        </w:rPr>
        <w:t>והבדל נוסף נעוץ בבחירתם של היזמים להגיע להסדר טיעון ולקחת אחריות על מעשיהם בסמוך לאחר הגשת כתב האישום</w:t>
      </w:r>
      <w:r>
        <w:rPr>
          <w:rtl w:val="true"/>
        </w:rPr>
        <w:t xml:space="preserve">. </w:t>
      </w:r>
      <w:r>
        <w:rPr>
          <w:rtl w:val="true"/>
        </w:rPr>
        <w:t>משכך מצא בית המשפט כי יש בשיקול זה כדי להשפיע על עונשם של המערערים</w:t>
      </w:r>
      <w:r>
        <w:rPr>
          <w:rtl w:val="true"/>
        </w:rPr>
        <w:t xml:space="preserve">, </w:t>
      </w:r>
      <w:r>
        <w:rPr>
          <w:rtl w:val="true"/>
        </w:rPr>
        <w:t>אך במשורה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נוכח כל האמור לעיל מצא בית המשפט לגזור על המערערים את העונשים שפורטו לעיל</w:t>
      </w:r>
      <w:r>
        <w:rPr>
          <w:rtl w:val="true"/>
        </w:rPr>
        <w:t xml:space="preserve">, </w:t>
      </w:r>
      <w:r>
        <w:rPr>
          <w:rtl w:val="true"/>
        </w:rPr>
        <w:t>ובכללם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מאסר בפועל לכנפו 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 מאסר לדרי</w:t>
      </w:r>
      <w:r>
        <w:rPr>
          <w:rtl w:val="true"/>
        </w:rPr>
        <w:t xml:space="preserve">. </w:t>
      </w:r>
      <w:r>
        <w:rPr>
          <w:rtl w:val="true"/>
        </w:rPr>
        <w:t>בית המשפט מצא גם כי העבירות שבהן הורשעו המערערים הן עבירות שדבק בהן במובהק פגם מוסרי חמור שמצדיק הטלת קלון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צוין כי לצד סוג העבירות</w:t>
      </w:r>
      <w:r>
        <w:rPr>
          <w:rtl w:val="true"/>
        </w:rPr>
        <w:t xml:space="preserve">, </w:t>
      </w:r>
      <w:r>
        <w:rPr>
          <w:rtl w:val="true"/>
        </w:rPr>
        <w:t>גם נסיבות ביצוען</w:t>
      </w:r>
      <w:r>
        <w:rPr>
          <w:rtl w:val="true"/>
        </w:rPr>
        <w:t xml:space="preserve">, </w:t>
      </w:r>
      <w:r>
        <w:rPr>
          <w:rtl w:val="true"/>
        </w:rPr>
        <w:t xml:space="preserve">ריבוין והימשכותן יש הצדקה להטלת קלון ולפגיעה </w:t>
      </w:r>
      <w:r>
        <w:rPr>
          <w:rtl w:val="true"/>
        </w:rPr>
        <w:t>–</w:t>
      </w:r>
      <w:r>
        <w:rPr>
          <w:rtl w:val="true"/>
        </w:rPr>
        <w:t xml:space="preserve"> כנגזר מכך </w:t>
      </w:r>
      <w:r>
        <w:rPr>
          <w:rtl w:val="true"/>
        </w:rPr>
        <w:t>–</w:t>
      </w:r>
      <w:r>
        <w:rPr>
          <w:rtl w:val="true"/>
        </w:rPr>
        <w:t xml:space="preserve"> בזכותם להיבחר מחדש למוסדות שבמסגרתם פעלו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לחילוט בעניינו של דרי</w:t>
      </w:r>
      <w:r>
        <w:rPr>
          <w:rtl w:val="true"/>
        </w:rPr>
        <w:t xml:space="preserve">, </w:t>
      </w:r>
      <w:r>
        <w:rPr>
          <w:rtl w:val="true"/>
        </w:rPr>
        <w:t xml:space="preserve">ציין בית המשפט כי כספי השוחד שגרף לכיסו מגיעים לסכום כולל של לפחות </w:t>
      </w:r>
      <w:r>
        <w:rPr/>
        <w:t>2,539,215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ואף עמד על כך כי דרי ערבב בין כספי שוחד לבין כספים חוקיים וביצע פעולות ברכוש אסור</w:t>
      </w:r>
      <w:r>
        <w:rPr>
          <w:rtl w:val="true"/>
        </w:rPr>
        <w:t xml:space="preserve">. </w:t>
      </w:r>
      <w:r>
        <w:rPr>
          <w:rtl w:val="true"/>
        </w:rPr>
        <w:t>בית המשפט קבע כי סך הסכומים שאותם הוא מצווה לחלט על פי הוראות הדין עומד על למעלה מ</w:t>
      </w:r>
      <w:r>
        <w:rPr>
          <w:rtl w:val="true"/>
        </w:rPr>
        <w:t>-</w:t>
      </w:r>
      <w:r>
        <w:rPr/>
        <w:t>6,700,000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 </w:t>
      </w:r>
      <w:r>
        <w:rPr>
          <w:rtl w:val="true"/>
        </w:rPr>
        <w:t>שהמדינה</w:t>
      </w:r>
      <w:r>
        <w:rPr>
          <w:rtl w:val="true"/>
        </w:rPr>
        <w:t xml:space="preserve"> </w:t>
      </w:r>
      <w:r>
        <w:rPr>
          <w:rtl w:val="true"/>
        </w:rPr>
        <w:t>עתרה</w:t>
      </w:r>
      <w:r>
        <w:rPr>
          <w:rtl w:val="true"/>
        </w:rPr>
        <w:t xml:space="preserve"> </w:t>
      </w:r>
      <w:r>
        <w:rPr>
          <w:rtl w:val="true"/>
        </w:rPr>
        <w:t>להורות</w:t>
      </w:r>
      <w:r>
        <w:rPr>
          <w:rtl w:val="true"/>
        </w:rPr>
        <w:t xml:space="preserve">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חילוט</w:t>
      </w:r>
      <w:r>
        <w:rPr>
          <w:rtl w:val="true"/>
        </w:rPr>
        <w:t xml:space="preserve"> </w:t>
      </w:r>
      <w:r>
        <w:rPr>
          <w:rtl w:val="true"/>
        </w:rPr>
        <w:t>מתוך</w:t>
      </w:r>
      <w:r>
        <w:rPr>
          <w:rtl w:val="true"/>
        </w:rPr>
        <w:t xml:space="preserve"> </w:t>
      </w:r>
      <w:r>
        <w:rPr>
          <w:rtl w:val="true"/>
        </w:rPr>
        <w:t>רכושו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דרי</w:t>
      </w:r>
      <w:r>
        <w:rPr>
          <w:rtl w:val="true"/>
        </w:rPr>
        <w:t xml:space="preserve"> </w:t>
      </w:r>
      <w:r>
        <w:rPr>
          <w:rtl w:val="true"/>
        </w:rPr>
        <w:t>בשווי</w:t>
      </w:r>
      <w:r>
        <w:rPr>
          <w:rtl w:val="true"/>
        </w:rPr>
        <w:t xml:space="preserve"> </w:t>
      </w:r>
      <w:r>
        <w:rPr/>
        <w:t>1,500,000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מחצית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שווי </w:t>
      </w:r>
      <w:r>
        <w:rPr>
          <w:rtl w:val="true"/>
        </w:rPr>
        <w:t>דירת</w:t>
      </w:r>
      <w:r>
        <w:rPr>
          <w:rtl w:val="true"/>
        </w:rPr>
        <w:t xml:space="preserve"> </w:t>
      </w:r>
      <w:r>
        <w:rPr>
          <w:rtl w:val="true"/>
        </w:rPr>
        <w:t>המגורים</w:t>
      </w:r>
      <w:r>
        <w:rPr>
          <w:rtl w:val="true"/>
        </w:rPr>
        <w:t xml:space="preserve">;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המגורים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או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הנכס</w:t>
      </w:r>
      <w:r>
        <w:rPr>
          <w:rtl w:val="true"/>
        </w:rPr>
        <w:t xml:space="preserve">). </w:t>
      </w:r>
      <w:r>
        <w:rPr>
          <w:rtl w:val="true"/>
        </w:rPr>
        <w:t>לאחר ששמע את דברי אשתו של דרי</w:t>
      </w:r>
      <w:r>
        <w:rPr>
          <w:rtl w:val="true"/>
        </w:rPr>
        <w:t xml:space="preserve">, </w:t>
      </w:r>
      <w:r>
        <w:rPr>
          <w:rtl w:val="true"/>
        </w:rPr>
        <w:t>הורה בית המשפט על חילוט מחצית משווי הנכס</w:t>
      </w:r>
      <w:r>
        <w:rPr>
          <w:rtl w:val="true"/>
        </w:rPr>
        <w:t xml:space="preserve">, </w:t>
      </w:r>
      <w:r>
        <w:rPr>
          <w:rtl w:val="true"/>
        </w:rPr>
        <w:t xml:space="preserve">וכי הסכום שיחולט לא יעלה סך של על </w:t>
      </w:r>
      <w:r>
        <w:rPr/>
        <w:t>1,375,000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 xml:space="preserve">עוד נקבע כי מכירת הנכס וחילוט מחצית שוויו יבוצעו בעוד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ובתוך תקופה זו ניתנה לדרי אפשרות לשלם לקופת המדינה סך של </w:t>
      </w:r>
      <w:r>
        <w:rPr/>
        <w:t>1,375,000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במקום החילוט</w:t>
      </w:r>
      <w:r>
        <w:rPr>
          <w:rtl w:val="true"/>
        </w:rPr>
        <w:t xml:space="preserve">. </w:t>
      </w:r>
      <w:r>
        <w:rPr>
          <w:rtl w:val="true"/>
        </w:rPr>
        <w:t>בעניינו של כנפו</w:t>
      </w:r>
      <w:r>
        <w:rPr>
          <w:rtl w:val="true"/>
        </w:rPr>
        <w:t xml:space="preserve">, </w:t>
      </w:r>
      <w:r>
        <w:rPr>
          <w:rtl w:val="true"/>
        </w:rPr>
        <w:t xml:space="preserve">הורה בית המשפט על חילוט בסך </w:t>
      </w:r>
      <w:r>
        <w:rPr/>
        <w:t>75,000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 xml:space="preserve">וזאת </w:t>
      </w:r>
      <w:r>
        <w:rPr>
          <w:rtl w:val="true"/>
        </w:rPr>
        <w:t>(</w:t>
      </w:r>
      <w:r>
        <w:rPr>
          <w:rtl w:val="true"/>
        </w:rPr>
        <w:t>בהתאם להסכמה דיונית של הצדדים</w:t>
      </w:r>
      <w:r>
        <w:rPr>
          <w:rtl w:val="true"/>
        </w:rPr>
        <w:t xml:space="preserve">) </w:t>
      </w:r>
      <w:r>
        <w:rPr>
          <w:rtl w:val="true"/>
        </w:rPr>
        <w:t>מתוך קרן השתלמות שנתפסה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החלקי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הערעורים שלפנינו כוונו הן להכרעת הדין</w:t>
      </w:r>
      <w:r>
        <w:rPr>
          <w:rtl w:val="true"/>
        </w:rPr>
        <w:t xml:space="preserve">, </w:t>
      </w:r>
      <w:r>
        <w:rPr>
          <w:rtl w:val="true"/>
        </w:rPr>
        <w:t>הן לגזר הדין</w:t>
      </w:r>
      <w:r>
        <w:rPr>
          <w:rtl w:val="true"/>
        </w:rPr>
        <w:t xml:space="preserve">. </w:t>
      </w:r>
      <w:r>
        <w:rPr>
          <w:rtl w:val="true"/>
        </w:rPr>
        <w:t>בד בבד עם הגשת הערעורים הגישו המערערים בקשות לעיכוב ביצוע 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וביום </w:t>
      </w:r>
      <w:r>
        <w:rPr/>
        <w:t>9.8.2022</w:t>
      </w:r>
      <w:r>
        <w:rPr>
          <w:rtl w:val="true"/>
        </w:rPr>
        <w:t xml:space="preserve"> </w:t>
      </w:r>
      <w:r>
        <w:rPr>
          <w:rtl w:val="true"/>
        </w:rPr>
        <w:t xml:space="preserve">הורה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על עיכוב ביצוע המאסר בפועל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במסגרת הערעורים על הכרעת הדין השיגו המערערים על הרשעתם בכל אחד מן האישומים</w:t>
      </w:r>
      <w:r>
        <w:rPr>
          <w:rtl w:val="true"/>
        </w:rPr>
        <w:t xml:space="preserve">. </w:t>
      </w:r>
      <w:r>
        <w:rPr>
          <w:rtl w:val="true"/>
        </w:rPr>
        <w:t>קיימנו שלושה ימי דיונים</w:t>
      </w:r>
      <w:r>
        <w:rPr>
          <w:rtl w:val="true"/>
        </w:rPr>
        <w:t xml:space="preserve">, </w:t>
      </w:r>
      <w:r>
        <w:rPr>
          <w:rtl w:val="true"/>
        </w:rPr>
        <w:t>שבמהלכם שמענו באריכות את טיעוני באי כוחם של המערערים ואת תשובת המדינה</w:t>
      </w:r>
      <w:r>
        <w:rPr>
          <w:rtl w:val="true"/>
        </w:rPr>
        <w:t xml:space="preserve">. </w:t>
      </w:r>
      <w:r>
        <w:rPr>
          <w:rtl w:val="true"/>
        </w:rPr>
        <w:t>לאחר שמיעת טענות הצדדים הצענו למערערים לחזור בהם מהערעורים ככל שאלה נוגעים להכרעת הדין</w:t>
      </w:r>
      <w:r>
        <w:rPr>
          <w:rtl w:val="true"/>
        </w:rPr>
        <w:t xml:space="preserve">, </w:t>
      </w:r>
      <w:r>
        <w:rPr>
          <w:rtl w:val="true"/>
        </w:rPr>
        <w:t>למעט ערעורו של דרי ביחס להרשעתו באישום השביעי לכתב האישום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הצענו למדינה להסכים לקבלת הערעור על הכרעת הדין ביחס להרשעתו של דרי באישום זה</w:t>
      </w:r>
      <w:r>
        <w:rPr>
          <w:rtl w:val="true"/>
        </w:rPr>
        <w:t xml:space="preserve">. </w:t>
      </w:r>
      <w:r>
        <w:rPr>
          <w:rtl w:val="true"/>
        </w:rPr>
        <w:t xml:space="preserve">הצדדים נעתרו להצעתנו וביום </w:t>
      </w:r>
      <w:r>
        <w:rPr/>
        <w:t>19.7.2023</w:t>
      </w:r>
      <w:r>
        <w:rPr>
          <w:rtl w:val="true"/>
        </w:rPr>
        <w:t xml:space="preserve"> </w:t>
      </w:r>
      <w:r>
        <w:rPr>
          <w:rtl w:val="true"/>
        </w:rPr>
        <w:t>ניתן פסק דין חלקי בערעורים</w:t>
      </w:r>
      <w:r>
        <w:rPr>
          <w:rtl w:val="true"/>
        </w:rPr>
        <w:t xml:space="preserve">, </w:t>
      </w:r>
      <w:r>
        <w:rPr>
          <w:rtl w:val="true"/>
        </w:rPr>
        <w:t xml:space="preserve">בזו הלשון </w:t>
      </w:r>
      <w:r>
        <w:rPr>
          <w:rtl w:val="true"/>
        </w:rPr>
        <w:t>(</w:t>
      </w:r>
      <w:r>
        <w:rPr>
          <w:rtl w:val="true"/>
        </w:rPr>
        <w:t xml:space="preserve">ההדגשה במקור </w:t>
      </w:r>
      <w:r>
        <w:rPr>
          <w:rtl w:val="true"/>
        </w:rPr>
        <w:t>–</w:t>
      </w:r>
      <w:r>
        <w:rPr>
          <w:rtl w:val="true"/>
        </w:rPr>
        <w:t xml:space="preserve"> ע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'):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הערותינו</w:t>
      </w:r>
      <w:r>
        <w:rPr>
          <w:rtl w:val="true"/>
        </w:rPr>
        <w:t xml:space="preserve">, </w:t>
      </w:r>
      <w:r>
        <w:rPr>
          <w:rtl w:val="true"/>
        </w:rPr>
        <w:t>והסכמת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התייעצות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כוחם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4762/22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כנפו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4915/22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דרי</w:t>
      </w:r>
      <w:r>
        <w:rPr>
          <w:rtl w:val="true"/>
        </w:rPr>
        <w:t xml:space="preserve">),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eastAsia="Arial TUR;Arial" w:cs="Arial TUR;Arial"/>
          <w:rtl w:val="true"/>
        </w:rPr>
        <w:t xml:space="preserve"> </w:t>
      </w:r>
      <w:r>
        <w:rPr/>
        <w:t>6-1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השביעי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spacing w:lineRule="auto" w:line="360"/>
        <w:ind w:end="1282"/>
        <w:jc w:val="both"/>
        <w:rPr/>
      </w:pP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לעיון</w:t>
      </w:r>
      <w:r>
        <w:rPr>
          <w:rtl w:val="true"/>
        </w:rPr>
        <w:t>".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כנפו טוען בערעורו כי בגזר הדין נפלו שגגות רבות</w:t>
      </w:r>
      <w:r>
        <w:rPr>
          <w:rtl w:val="true"/>
        </w:rPr>
        <w:t xml:space="preserve">. </w:t>
      </w:r>
      <w:r>
        <w:rPr>
          <w:rtl w:val="true"/>
        </w:rPr>
        <w:t>בכלל זאת</w:t>
      </w:r>
      <w:r>
        <w:rPr>
          <w:rtl w:val="true"/>
        </w:rPr>
        <w:t xml:space="preserve">, </w:t>
      </w:r>
      <w:r>
        <w:rPr>
          <w:rtl w:val="true"/>
        </w:rPr>
        <w:t xml:space="preserve">לטענתו היה על בית המשפט ליתן משקל רב יותר לתפקידם הפורמלי </w:t>
      </w:r>
      <w:r>
        <w:rPr>
          <w:rtl w:val="true"/>
        </w:rPr>
        <w:t>(</w:t>
      </w:r>
      <w:r>
        <w:rPr>
          <w:rtl w:val="true"/>
        </w:rPr>
        <w:t>הזוטר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) </w:t>
      </w:r>
      <w:r>
        <w:rPr>
          <w:rtl w:val="true"/>
        </w:rPr>
        <w:t>של דרי ושלו</w:t>
      </w:r>
      <w:r>
        <w:rPr>
          <w:rtl w:val="true"/>
        </w:rPr>
        <w:t xml:space="preserve">, </w:t>
      </w:r>
      <w:r>
        <w:rPr>
          <w:rtl w:val="true"/>
        </w:rPr>
        <w:t>ולנסיבות ביצוע העבירות</w:t>
      </w:r>
      <w:r>
        <w:rPr>
          <w:rtl w:val="true"/>
        </w:rPr>
        <w:t xml:space="preserve">. </w:t>
      </w:r>
      <w:r>
        <w:rPr>
          <w:rtl w:val="true"/>
        </w:rPr>
        <w:t>אשר לעונש ההולם בתוך המתחם</w:t>
      </w:r>
      <w:r>
        <w:rPr>
          <w:rtl w:val="true"/>
        </w:rPr>
        <w:t xml:space="preserve">, </w:t>
      </w:r>
      <w:r>
        <w:rPr>
          <w:rtl w:val="true"/>
        </w:rPr>
        <w:t>טוען כנפו כי יש ליתן משקל לשורת נסיבות ובהן הפגיעה של העונש בו ובאשתו</w:t>
      </w:r>
      <w:r>
        <w:rPr>
          <w:rtl w:val="true"/>
        </w:rPr>
        <w:t xml:space="preserve">, </w:t>
      </w:r>
      <w:r>
        <w:rPr>
          <w:rtl w:val="true"/>
        </w:rPr>
        <w:t>ובכלל זאת מצבם הרפואי של השניים</w:t>
      </w:r>
      <w:r>
        <w:rPr>
          <w:rtl w:val="true"/>
        </w:rPr>
        <w:t xml:space="preserve">; </w:t>
      </w:r>
      <w:r>
        <w:rPr>
          <w:rtl w:val="true"/>
        </w:rPr>
        <w:t>תרומתו הציבורית הענפה</w:t>
      </w:r>
      <w:r>
        <w:rPr>
          <w:rtl w:val="true"/>
        </w:rPr>
        <w:t xml:space="preserve">; </w:t>
      </w:r>
      <w:r>
        <w:rPr>
          <w:rtl w:val="true"/>
        </w:rPr>
        <w:t>העדרו של עבר פלילי</w:t>
      </w:r>
      <w:r>
        <w:rPr>
          <w:rtl w:val="true"/>
        </w:rPr>
        <w:t xml:space="preserve">; </w:t>
      </w:r>
      <w:r>
        <w:rPr>
          <w:rtl w:val="true"/>
        </w:rPr>
        <w:t>ושיתוף הפעולה שלו בחקירתו</w:t>
      </w:r>
      <w:r>
        <w:rPr>
          <w:rtl w:val="true"/>
        </w:rPr>
        <w:t xml:space="preserve">. </w:t>
      </w:r>
      <w:r>
        <w:rPr>
          <w:rtl w:val="true"/>
        </w:rPr>
        <w:t>עוד לדבריו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לא נתן משקל לכך שחלק מן העבירות שבהן הורשע בוצעו לפני תיקון </w:t>
      </w:r>
      <w:r>
        <w:rPr/>
        <w:t>103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שאוזכר לעיל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יש ליתן משקל לשיקול חלוף הזמן מביצוע העבירות ועד למועד גזר הדין כמו גם לעקרון אחידות הענישה</w:t>
      </w:r>
      <w:r>
        <w:rPr>
          <w:rtl w:val="true"/>
        </w:rPr>
        <w:t xml:space="preserve">, </w:t>
      </w:r>
      <w:r>
        <w:rPr>
          <w:rtl w:val="true"/>
        </w:rPr>
        <w:t>בשים לב לעונשיהם של המעורבים האחרים בפרשה</w:t>
      </w:r>
      <w:r>
        <w:rPr>
          <w:rtl w:val="true"/>
        </w:rPr>
        <w:t xml:space="preserve">. </w:t>
      </w:r>
      <w:r>
        <w:rPr>
          <w:rtl w:val="true"/>
        </w:rPr>
        <w:t xml:space="preserve">דרי הצטרף למרבית טענותיו של כנפו והוסיף כי היה מקום להקל בעונשו גם בשים לב לעונש שנקבע במסגרת הסדר הטיעון שעליו חתם </w:t>
      </w:r>
      <w:r>
        <w:rPr>
          <w:rtl w:val="true"/>
        </w:rPr>
        <w:t>(</w:t>
      </w:r>
      <w:r>
        <w:rPr>
          <w:rtl w:val="true"/>
        </w:rPr>
        <w:t>הסדר טיעון שבוטל</w:t>
      </w:r>
      <w:r>
        <w:rPr>
          <w:rtl w:val="true"/>
        </w:rPr>
        <w:t xml:space="preserve">; </w:t>
      </w:r>
      <w:r>
        <w:rPr>
          <w:rtl w:val="true"/>
        </w:rPr>
        <w:t xml:space="preserve">ראו לעניין זה </w:t>
      </w:r>
      <w:hyperlink r:id="rId21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2069/18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שבע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13.5.2018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 xml:space="preserve">והחלטת בית המשפט המחוזי מיום </w:t>
      </w:r>
      <w:r>
        <w:rPr/>
        <w:t>14.2.2018</w:t>
      </w:r>
      <w:r>
        <w:rPr>
          <w:rtl w:val="true"/>
        </w:rPr>
        <w:t xml:space="preserve">). </w:t>
      </w:r>
      <w:r>
        <w:rPr>
          <w:rtl w:val="true"/>
        </w:rPr>
        <w:t xml:space="preserve">עוד ציין דרי כי יש להעניק משקל רב לגילו </w:t>
      </w:r>
      <w:r>
        <w:rPr>
          <w:rtl w:val="true"/>
        </w:rPr>
        <w:t>(</w:t>
      </w:r>
      <w:r>
        <w:rPr/>
        <w:t>78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 </w:t>
      </w:r>
      <w:r>
        <w:rPr>
          <w:rtl w:val="true"/>
        </w:rPr>
        <w:t>ולמצבו הרפואי</w:t>
      </w:r>
      <w:r>
        <w:rPr>
          <w:rtl w:val="true"/>
        </w:rPr>
        <w:t xml:space="preserve">. </w:t>
      </w:r>
      <w:r>
        <w:rPr>
          <w:rtl w:val="true"/>
        </w:rPr>
        <w:t>בכל הנוגע לעונש החילוט שהוטל עליו</w:t>
      </w:r>
      <w:r>
        <w:rPr>
          <w:rtl w:val="true"/>
        </w:rPr>
        <w:t xml:space="preserve">, </w:t>
      </w:r>
      <w:r>
        <w:rPr>
          <w:rtl w:val="true"/>
        </w:rPr>
        <w:t>טוען דרי כי מדובר בעונש תקדימי ולא סביר</w:t>
      </w:r>
      <w:r>
        <w:rPr>
          <w:rtl w:val="true"/>
        </w:rPr>
        <w:t xml:space="preserve">, </w:t>
      </w:r>
      <w:r>
        <w:rPr>
          <w:rtl w:val="true"/>
        </w:rPr>
        <w:t>שיאלץ את אשתו</w:t>
      </w:r>
      <w:r>
        <w:rPr>
          <w:rtl w:val="true"/>
        </w:rPr>
        <w:t xml:space="preserve">, </w:t>
      </w:r>
      <w:r>
        <w:rPr>
          <w:rtl w:val="true"/>
        </w:rPr>
        <w:t>בגילה המתקדם</w:t>
      </w:r>
      <w:r>
        <w:rPr>
          <w:rtl w:val="true"/>
        </w:rPr>
        <w:t xml:space="preserve">, </w:t>
      </w:r>
      <w:r>
        <w:rPr>
          <w:rtl w:val="true"/>
        </w:rPr>
        <w:t>לעזוב את דירת המגורים שלהם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המדינה מצדה סומכת ידיה על גזר הדין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אין מקום להתערב במתחמים שקבע בית המשפט המחוזי</w:t>
      </w:r>
      <w:r>
        <w:rPr>
          <w:rtl w:val="true"/>
        </w:rPr>
        <w:t xml:space="preserve">, </w:t>
      </w:r>
      <w:r>
        <w:rPr>
          <w:rtl w:val="true"/>
        </w:rPr>
        <w:t>שתואמים למדיניות הענישה ולנסיבות ביצוע העבירות</w:t>
      </w:r>
      <w:r>
        <w:rPr>
          <w:rtl w:val="true"/>
        </w:rPr>
        <w:t xml:space="preserve">. </w:t>
      </w:r>
      <w:r>
        <w:rPr>
          <w:rtl w:val="true"/>
        </w:rPr>
        <w:t>אשר לחלוף הזמן מביצוע העבירות ועד לסיום המשפט</w:t>
      </w:r>
      <w:r>
        <w:rPr>
          <w:rtl w:val="true"/>
        </w:rPr>
        <w:t xml:space="preserve">, </w:t>
      </w:r>
      <w:r>
        <w:rPr>
          <w:rtl w:val="true"/>
        </w:rPr>
        <w:t>עמדה המדינה על סד הזמנים בקידום ההליך וטענה כי לא שקטה על שמריה ופעלה במהירות ראויה ביחס לנסיבות בירורה של פרשה מורכבת ומסובכת כמו זו שבה הורשעו המערערים</w:t>
      </w:r>
      <w:r>
        <w:rPr>
          <w:rtl w:val="true"/>
        </w:rPr>
        <w:t xml:space="preserve">. </w:t>
      </w:r>
      <w:r>
        <w:rPr>
          <w:rtl w:val="true"/>
        </w:rPr>
        <w:t>אשר למצבו הבריאותי של דרי</w:t>
      </w:r>
      <w:r>
        <w:rPr>
          <w:rtl w:val="true"/>
        </w:rPr>
        <w:t xml:space="preserve">, </w:t>
      </w:r>
      <w:r>
        <w:rPr>
          <w:rtl w:val="true"/>
        </w:rPr>
        <w:t>טוענת המדינה כי המשקל שיש ליתן לשיקול זה יכול לבוא בגדר מתחם הענישה</w:t>
      </w:r>
      <w:r>
        <w:rPr>
          <w:rtl w:val="true"/>
        </w:rPr>
        <w:t xml:space="preserve">, </w:t>
      </w:r>
      <w:r>
        <w:rPr>
          <w:rtl w:val="true"/>
        </w:rPr>
        <w:t>אך לא בחריגה ממנו</w:t>
      </w:r>
      <w:r>
        <w:rPr>
          <w:rtl w:val="true"/>
        </w:rPr>
        <w:t xml:space="preserve">. </w:t>
      </w:r>
      <w:r>
        <w:rPr>
          <w:rtl w:val="true"/>
        </w:rPr>
        <w:t>בכל הנוגע לענישה הכלכלית של המערערים</w:t>
      </w:r>
      <w:r>
        <w:rPr>
          <w:rtl w:val="true"/>
        </w:rPr>
        <w:t xml:space="preserve">, </w:t>
      </w:r>
      <w:r>
        <w:rPr>
          <w:rtl w:val="true"/>
        </w:rPr>
        <w:t>מציינת המדינה כי מדובר בענישה שאף אינה מגיעה לגובה כספי השוחד שקיבלו המערערים</w:t>
      </w:r>
      <w:r>
        <w:rPr>
          <w:rtl w:val="true"/>
        </w:rPr>
        <w:t xml:space="preserve">, </w:t>
      </w:r>
      <w:r>
        <w:rPr>
          <w:rtl w:val="true"/>
        </w:rPr>
        <w:t>ומשכך אין מקום להתערב בסכומים שקבע בית המשפט המחוזי</w:t>
      </w:r>
      <w:r>
        <w:rPr>
          <w:rtl w:val="true"/>
        </w:rPr>
        <w:t xml:space="preserve">. </w:t>
      </w:r>
      <w:r>
        <w:rPr>
          <w:rtl w:val="true"/>
        </w:rPr>
        <w:t>בהתייחס לדירת המגורים</w:t>
      </w:r>
      <w:r>
        <w:rPr>
          <w:rtl w:val="true"/>
        </w:rPr>
        <w:t xml:space="preserve">, </w:t>
      </w:r>
      <w:r>
        <w:rPr>
          <w:rtl w:val="true"/>
        </w:rPr>
        <w:t>ציינה המדינה כי אין מדובר בחילוט תקדימי</w:t>
      </w:r>
      <w:r>
        <w:rPr>
          <w:rtl w:val="true"/>
        </w:rPr>
        <w:t xml:space="preserve">; </w:t>
      </w:r>
      <w:r>
        <w:rPr>
          <w:rtl w:val="true"/>
        </w:rPr>
        <w:t>כי בית המשפט המחוזי בדק את תנאי המחיה הסבירים שיהיו לאשתו של דרי לאחר מכירת הדירה</w:t>
      </w:r>
      <w:r>
        <w:rPr>
          <w:rtl w:val="true"/>
        </w:rPr>
        <w:t xml:space="preserve">; </w:t>
      </w:r>
      <w:r>
        <w:rPr>
          <w:rtl w:val="true"/>
        </w:rPr>
        <w:t>וכי ממילא ניתנה בידיו של דרי אפשרות לשלם את סכום החילוט וכך להימנע ממכירת הדירה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בית המשפט המחוזי העמיד כאמור את עונשי המאסר של כנפו ושל דרי על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</w:t>
      </w:r>
      <w:r>
        <w:rPr>
          <w:rtl w:val="true"/>
        </w:rPr>
        <w:t>(</w:t>
      </w:r>
      <w:r>
        <w:rPr>
          <w:rtl w:val="true"/>
        </w:rPr>
        <w:t>בהתאמה</w:t>
      </w:r>
      <w:r>
        <w:rPr>
          <w:rtl w:val="true"/>
        </w:rPr>
        <w:t xml:space="preserve">).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 xml:space="preserve">לא בנקל תתערב ערכאת הערעור בחומרת העונש שהוטל על ידי הערכאה הדיונית </w:t>
      </w:r>
      <w:r>
        <w:rPr>
          <w:rtl w:val="true"/>
        </w:rPr>
        <w:t>(</w:t>
      </w:r>
      <w:r>
        <w:rPr>
          <w:rtl w:val="true"/>
        </w:rPr>
        <w:t>ראו באופן כללי</w:t>
      </w:r>
      <w:r>
        <w:rPr>
          <w:rtl w:val="true"/>
        </w:rPr>
        <w:t xml:space="preserve">, </w:t>
      </w:r>
      <w:r>
        <w:rPr>
          <w:rtl w:val="true"/>
        </w:rPr>
        <w:t>למשל 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2216/21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19.12.2021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עשור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 xml:space="preserve">אני סבור כי מתקיימות מספר נסיבות </w:t>
      </w:r>
      <w:r>
        <w:rPr>
          <w:rtl w:val="true"/>
        </w:rPr>
        <w:t>–</w:t>
      </w:r>
      <w:r>
        <w:rPr>
          <w:rtl w:val="true"/>
        </w:rPr>
        <w:t xml:space="preserve"> בהן גם נסיבות שלא עמדו לפני בית המשפט המחוזי </w:t>
      </w:r>
      <w:r>
        <w:rPr>
          <w:rtl w:val="true"/>
        </w:rPr>
        <w:t>–</w:t>
      </w:r>
      <w:r>
        <w:rPr>
          <w:rtl w:val="true"/>
        </w:rPr>
        <w:t xml:space="preserve"> שמצדיקות התערבות מסוימת בגזר הדין של בית המשפט המחוזי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מדיניות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הנוהגת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וחומרת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מעשיהם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רבות כבר נכתב על חומרתן של עבירות השוחד והפרת האמונים</w:t>
      </w:r>
      <w:r>
        <w:rPr>
          <w:rtl w:val="true"/>
        </w:rPr>
        <w:t xml:space="preserve">, </w:t>
      </w:r>
      <w:r>
        <w:rPr>
          <w:rtl w:val="true"/>
        </w:rPr>
        <w:t xml:space="preserve">עבירות שמצויות </w:t>
      </w:r>
      <w:hyperlink r:id="rId23">
        <w:r>
          <w:rPr>
            <w:rStyle w:val="Hyperlink"/>
            <w:rtl w:val="true"/>
          </w:rPr>
          <w:t>בפרק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ט</w:t>
        </w:r>
      </w:hyperlink>
      <w:r>
        <w:rPr>
          <w:rtl w:val="true"/>
        </w:rPr>
        <w:t xml:space="preserve"> 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שכותרתו </w:t>
      </w:r>
      <w:r>
        <w:rPr>
          <w:rtl w:val="true"/>
        </w:rPr>
        <w:t>"</w:t>
      </w:r>
      <w:r>
        <w:rPr>
          <w:rtl w:val="true"/>
        </w:rPr>
        <w:t>פגיעות בסדרי השלטון והמשפט</w:t>
      </w:r>
      <w:r>
        <w:rPr>
          <w:rtl w:val="true"/>
        </w:rPr>
        <w:t xml:space="preserve">". </w:t>
      </w:r>
      <w:r>
        <w:rPr>
          <w:rtl w:val="true"/>
        </w:rPr>
        <w:t>קביעתן של עבירות אלו בספר החוקים נועדה להגן על פעילותו התקינה של המינהל</w:t>
      </w:r>
      <w:r>
        <w:rPr>
          <w:rtl w:val="true"/>
        </w:rPr>
        <w:t xml:space="preserve">, </w:t>
      </w:r>
      <w:r>
        <w:rPr>
          <w:rtl w:val="true"/>
        </w:rPr>
        <w:t xml:space="preserve">על אמון הציבור במערכות השלטון ועל טוהר המידות של עובדי הציבור </w:t>
      </w:r>
      <w:r>
        <w:rPr>
          <w:rtl w:val="true"/>
        </w:rPr>
        <w:t>(</w:t>
      </w:r>
      <w:r>
        <w:rPr>
          <w:rtl w:val="true"/>
        </w:rPr>
        <w:t xml:space="preserve">ראו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מני רבים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17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3295/15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גפסו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31.3.2016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גפסו</w:t>
      </w:r>
      <w:r>
        <w:rPr>
          <w:rtl w:val="true"/>
        </w:rPr>
        <w:t xml:space="preserve">)).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צוין בעבר ביחס לעבירות השוחד כי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עניינן בהפרה עמוקה של היסודות הבסיסיים עליהם נשען המינהל הציבורי בפעולתו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יסודות אלה מושתתים על קיום חובה לפעול בכל מצב מתוך ראיית האינטרס הציבורי וטובת האזרחים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ולהימנע משימוש פסול בהענקת טובות הנאה כאמצעי לרכישת כוח שלטוני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עבירות השחיתות השלטונית מביאות עימן נזק רב ליסודות השלטון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ומערערות את אמון הציבור בנבחריו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הן מקעקעות את אמון האזרח במנהיגיו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ואת בטחונו בטוהר שיקוליהם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עבירות השוחד והשחיתות פוגעות פגיעה רחבת היקף ביחסי השלטון והאזרח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ובמבנה החברתי כולו</w:t>
      </w:r>
      <w:r>
        <w:rPr>
          <w:rFonts w:cs="Times New Roman" w:ascii="Times New Roman" w:hAnsi="Times New Roman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hyperlink r:id="rId2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1224/07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בלדב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87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10.2.2010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בלדב</w:t>
      </w:r>
      <w:r>
        <w:rPr>
          <w:rFonts w:cs="Century" w:ascii="Century" w:hAnsi="Century"/>
          <w:rtl w:val="true"/>
        </w:rPr>
        <w:t xml:space="preserve">); </w:t>
      </w:r>
      <w:hyperlink r:id="rId2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בג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ץ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7074/93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סוסיא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מח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749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777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1994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כן 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מהעת האחרונה </w:t>
      </w:r>
      <w:hyperlink r:id="rId2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8618/19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מילר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8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12.7.2022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שמעוני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העבירות שביצעו המערערים מצויות בנקודת ההשקה בין שני תחומים שמצדיקים הקפדה יתרה על טוהר המידות</w:t>
      </w:r>
      <w:r>
        <w:rPr>
          <w:rtl w:val="true"/>
        </w:rPr>
        <w:t xml:space="preserve">: </w:t>
      </w:r>
      <w:r>
        <w:rPr>
          <w:rtl w:val="true"/>
        </w:rPr>
        <w:t>התחום המוניציפלי ותחום התכנון והבניה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 xml:space="preserve">בכל הנוגע לעובדי השלטון המקומי </w:t>
      </w:r>
      <w:r>
        <w:rPr>
          <w:rtl w:val="true"/>
        </w:rPr>
        <w:t>(</w:t>
      </w:r>
      <w:r>
        <w:rPr>
          <w:rtl w:val="true"/>
        </w:rPr>
        <w:t>הדרג הנבחר והדרג המינהלי</w:t>
      </w:r>
      <w:r>
        <w:rPr>
          <w:rtl w:val="true"/>
        </w:rPr>
        <w:t xml:space="preserve">) </w:t>
      </w:r>
      <w:r>
        <w:rPr>
          <w:rtl w:val="true"/>
        </w:rPr>
        <w:t xml:space="preserve">יש ליתן את הדעת לזיקה </w:t>
      </w:r>
      <w:r>
        <w:rPr>
          <w:rtl w:val="true"/>
        </w:rPr>
        <w:t>(</w:t>
      </w:r>
      <w:r>
        <w:rPr>
          <w:rtl w:val="true"/>
        </w:rPr>
        <w:t>הגאוגרפית והאישית</w:t>
      </w:r>
      <w:r>
        <w:rPr>
          <w:rtl w:val="true"/>
        </w:rPr>
        <w:t xml:space="preserve">) </w:t>
      </w:r>
      <w:r>
        <w:rPr>
          <w:rtl w:val="true"/>
        </w:rPr>
        <w:t>בינם לבין בעלי אינטרסים במישור המקומי</w:t>
      </w:r>
      <w:r>
        <w:rPr>
          <w:rtl w:val="true"/>
        </w:rPr>
        <w:t xml:space="preserve">; </w:t>
      </w:r>
      <w:r>
        <w:rPr>
          <w:rtl w:val="true"/>
        </w:rPr>
        <w:t xml:space="preserve">לריכוז הסמכויות שקיים בשלטון המקומי </w:t>
      </w:r>
      <w:r>
        <w:rPr>
          <w:rtl w:val="true"/>
        </w:rPr>
        <w:t>(</w:t>
      </w:r>
      <w:r>
        <w:rPr>
          <w:rtl w:val="true"/>
        </w:rPr>
        <w:t>בפרט בידי ראש הרשות</w:t>
      </w:r>
      <w:r>
        <w:rPr>
          <w:rtl w:val="true"/>
        </w:rPr>
        <w:t xml:space="preserve">); </w:t>
      </w:r>
      <w:r>
        <w:rPr>
          <w:rtl w:val="true"/>
        </w:rPr>
        <w:t>ולכך שהדרג הפוליטי הנבחר בשלטון המקומי מחזיק בסמכויות ביצוע בתחומים מקצועיים מובהקים</w:t>
      </w:r>
      <w:r>
        <w:rPr>
          <w:rtl w:val="true"/>
        </w:rPr>
        <w:t xml:space="preserve">. </w:t>
      </w:r>
      <w:r>
        <w:rPr>
          <w:rtl w:val="true"/>
        </w:rPr>
        <w:t>פסיקתנו עמדה על כך בזו הלשון</w:t>
      </w:r>
      <w:r>
        <w:rPr>
          <w:rtl w:val="true"/>
        </w:rPr>
        <w:t>: "</w:t>
      </w:r>
      <w:r>
        <w:rPr>
          <w:color w:val="000000"/>
          <w:sz w:val="14"/>
          <w:szCs w:val="14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הדרג הפוליטי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נבחרי הציבור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בשלטון המקומי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ובעיקר כאמור ראש הרשות המקומית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מחזיק בסמכויות ביצוע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חלקן בעניינים בעלי אופי מקצועי מובהק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אשר בתחום השלטון המרכזי מופעלות בידי דרג מקצועי</w:t>
      </w:r>
      <w:r>
        <w:rPr>
          <w:rFonts w:cs="FrankRuehl" w:ascii="FrankRuehl" w:hAnsi="FrankRuehl"/>
          <w:color w:val="000000"/>
          <w:sz w:val="28"/>
          <w:rtl w:val="true"/>
        </w:rPr>
        <w:t>-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פקידותי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לרבות בתחומים רוויי אינטרסים כלכליים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כך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חברי מועצת הרשות המקומית משמשים כחברי הוועדה המקומית לתכנון </w:t>
      </w:r>
      <w:r>
        <w:rPr>
          <w:rFonts w:ascii="Century" w:hAnsi="Century" w:cs="Century"/>
          <w:sz w:val="22"/>
          <w:sz w:val="22"/>
          <w:rtl w:val="true"/>
        </w:rPr>
        <w:t xml:space="preserve">ולבניה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סעיף </w:t>
      </w:r>
      <w:r>
        <w:rPr>
          <w:rFonts w:cs="Century" w:ascii="Century" w:hAnsi="Century"/>
          <w:sz w:val="22"/>
        </w:rPr>
        <w:t>18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2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התכנון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והבניה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[...</w:t>
      </w:r>
      <w:r>
        <w:rPr>
          <w:rFonts w:cs="FrankRuehl" w:ascii="FrankRuehl" w:hAnsi="FrankRuehl"/>
          <w:color w:val="000000"/>
          <w:sz w:val="28"/>
          <w:rtl w:val="true"/>
        </w:rPr>
        <w:t xml:space="preserve">]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מובן שמציאות זו מייצרת כר נרחב לחשש כי החלטות יתקבלו מתוך ניגוד עניינים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בכוח ובפוע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</w:t>
      </w:r>
      <w:r>
        <w:rPr>
          <w:rFonts w:cs="FrankRuehl" w:ascii="FrankRuehl" w:hAnsi="FrankRuehl"/>
          <w:color w:val="000000"/>
          <w:sz w:val="28"/>
          <w:rtl w:val="true"/>
        </w:rPr>
        <w:t>" (</w:t>
      </w:r>
      <w:hyperlink r:id="rId30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415/19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הפנים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פסקאות </w:t>
      </w:r>
      <w:r>
        <w:rPr>
          <w:rFonts w:cs="Century" w:ascii="Century" w:hAnsi="Century"/>
          <w:sz w:val="22"/>
        </w:rPr>
        <w:t>24-22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21.4.2020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FrankRuehl" w:ascii="FrankRuehl" w:hAnsi="FrankRuehl"/>
          <w:color w:val="000000"/>
          <w:sz w:val="28"/>
          <w:rtl w:val="true"/>
        </w:rPr>
        <w:t>)</w:t>
      </w:r>
      <w:r>
        <w:rPr>
          <w:rtl w:val="true"/>
        </w:rPr>
        <w:t>.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tl w:val="true"/>
        </w:rPr>
        <w:t xml:space="preserve">לכך יש להוסיף את העובדה שחברי המועצה בשלטון המקומי </w:t>
      </w:r>
      <w:r>
        <w:rPr>
          <w:rtl w:val="true"/>
        </w:rPr>
        <w:t>(</w:t>
      </w:r>
      <w:r>
        <w:rPr>
          <w:rtl w:val="true"/>
        </w:rPr>
        <w:t>למעט ראש הרשות וחלק מסגניו</w:t>
      </w:r>
      <w:r>
        <w:rPr>
          <w:rtl w:val="true"/>
        </w:rPr>
        <w:t xml:space="preserve">) </w:t>
      </w:r>
      <w:r>
        <w:rPr>
          <w:rtl w:val="true"/>
        </w:rPr>
        <w:t>אינם זכאים לשכר בעבור כהונתם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 באופן כללי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tl w:val="true"/>
        </w:rPr>
        <w:t>הצוות לבחינת דרכים לחיזוק שלטון החוק וטוהר</w:t>
      </w:r>
      <w:r>
        <w:rPr>
          <w:rtl w:val="true"/>
        </w:rPr>
        <w:t>-</w:t>
      </w:r>
      <w:r>
        <w:rPr>
          <w:rtl w:val="true"/>
        </w:rPr>
        <w:t>המידות בשלטון המקומי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וחשבון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21-18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2016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תחום התכנון והבניה</w:t>
      </w:r>
      <w:r>
        <w:rPr>
          <w:rtl w:val="true"/>
        </w:rPr>
        <w:t xml:space="preserve">, </w:t>
      </w:r>
      <w:r>
        <w:rPr>
          <w:rtl w:val="true"/>
        </w:rPr>
        <w:t>מצדיק רגישות מיוחדת לתקינות ולטוהר ההליך המינהלי</w:t>
      </w:r>
      <w:r>
        <w:rPr>
          <w:rtl w:val="true"/>
        </w:rPr>
        <w:t xml:space="preserve">, </w:t>
      </w:r>
      <w:r>
        <w:rPr>
          <w:rtl w:val="true"/>
        </w:rPr>
        <w:t>בראש ובראשונה בשל ההשלכות מרחיקות הלכת של החלטות גורמי התכנון בעניין משאבי הקרקע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השלכות שאינן תחומות אך למישור הכלכלי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31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3132/92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הוועדה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המחוזית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לתכנון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ולבנייה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מחוז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צפון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 מז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741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748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1993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32"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6/86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שולמן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עיריית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הרצליה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 מ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481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485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1986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גורמי התכנון מצויים בממשקים הדוקים ויומיומיים עם גורמים בעלי אינטרסים</w:t>
      </w:r>
      <w:r>
        <w:rPr>
          <w:rtl w:val="true"/>
        </w:rPr>
        <w:t xml:space="preserve">, </w:t>
      </w:r>
      <w:r>
        <w:rPr>
          <w:rtl w:val="true"/>
        </w:rPr>
        <w:t>כוח והשפעה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מעשיהם של המערערים נמשכו על פני תקופה ארוכה</w:t>
      </w:r>
      <w:r>
        <w:rPr>
          <w:rtl w:val="true"/>
        </w:rPr>
        <w:t xml:space="preserve">, </w:t>
      </w:r>
      <w:r>
        <w:rPr>
          <w:rtl w:val="true"/>
        </w:rPr>
        <w:t>ובמסגרתם ניצלו את מעמדם בעירייה ובגופי התכנון על מנת לשלשל לכיסם הפרטי</w:t>
      </w:r>
      <w:r>
        <w:rPr>
          <w:rtl w:val="true"/>
        </w:rPr>
        <w:t xml:space="preserve">, </w:t>
      </w:r>
      <w:r>
        <w:rPr>
          <w:rtl w:val="true"/>
        </w:rPr>
        <w:t>ולכיסם של היזמים רווח כלכלי משמעותי</w:t>
      </w:r>
      <w:r>
        <w:rPr>
          <w:rtl w:val="true"/>
        </w:rPr>
        <w:t xml:space="preserve">, </w:t>
      </w:r>
      <w:r>
        <w:rPr>
          <w:rtl w:val="true"/>
        </w:rPr>
        <w:t xml:space="preserve">וזאת באמצעות הטיית החלטות של גורמי התכנון </w:t>
      </w:r>
      <w:r>
        <w:rPr>
          <w:rtl w:val="true"/>
        </w:rPr>
        <w:t>(</w:t>
      </w:r>
      <w:r>
        <w:rPr>
          <w:rtl w:val="true"/>
        </w:rPr>
        <w:t>החלטות שלא אחת התקבלו בניגוד לעמדת גורמי המקצוע</w:t>
      </w:r>
      <w:r>
        <w:rPr>
          <w:rtl w:val="true"/>
        </w:rPr>
        <w:t xml:space="preserve">). </w:t>
      </w:r>
      <w:r>
        <w:rPr>
          <w:rtl w:val="true"/>
        </w:rPr>
        <w:t xml:space="preserve">הגם שהמערערים לא נשאו במשרות הבכירות ביותר </w:t>
      </w:r>
      <w:r>
        <w:rPr>
          <w:rtl w:val="true"/>
        </w:rPr>
        <w:t>(</w:t>
      </w:r>
      <w:r>
        <w:rPr>
          <w:rtl w:val="true"/>
        </w:rPr>
        <w:t>בהשוואה לנאשמים שכיהנו למשל כשרים וכראשי עיריות</w:t>
      </w:r>
      <w:r>
        <w:rPr>
          <w:rtl w:val="true"/>
        </w:rPr>
        <w:t xml:space="preserve">), </w:t>
      </w:r>
      <w:r>
        <w:rPr>
          <w:rtl w:val="true"/>
        </w:rPr>
        <w:t xml:space="preserve">לבטח אין לראות בהם אנשי ציבור </w:t>
      </w:r>
      <w:r>
        <w:rPr>
          <w:rtl w:val="true"/>
        </w:rPr>
        <w:t>"</w:t>
      </w:r>
      <w:r>
        <w:rPr>
          <w:rtl w:val="true"/>
        </w:rPr>
        <w:t>זוטרים</w:t>
      </w:r>
      <w:r>
        <w:rPr>
          <w:rtl w:val="true"/>
        </w:rPr>
        <w:t xml:space="preserve">" </w:t>
      </w:r>
      <w:r>
        <w:rPr>
          <w:rtl w:val="true"/>
        </w:rPr>
        <w:t>כפי שביקשו לטעון בדיון לפנינו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מקובלת עליי במלואה מסקנת בית המשפט המחוזי כי המערערים פגעו פגיעה חמורה וקשה בערכים החברתיים המוגנים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15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אשר למדיניות הענישה בעבירות כגון דא</w:t>
      </w:r>
      <w:r>
        <w:rPr>
          <w:rtl w:val="true"/>
        </w:rPr>
        <w:t xml:space="preserve">, </w:t>
      </w:r>
      <w:r>
        <w:rPr>
          <w:rtl w:val="true"/>
        </w:rPr>
        <w:t xml:space="preserve">הרי שבית משפט זה עמד על החומרה היתרה שבעבירות השחיתות השלטונית עוד בראשית דרכו </w:t>
      </w:r>
      <w:r>
        <w:rPr>
          <w:rtl w:val="true"/>
        </w:rPr>
        <w:t>(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20/53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ניימן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 </w:t>
      </w:r>
      <w:r>
        <w:rPr/>
        <w:t>845</w:t>
      </w:r>
      <w:r>
        <w:rPr>
          <w:rtl w:val="true"/>
        </w:rPr>
        <w:t xml:space="preserve">, </w:t>
      </w:r>
      <w:r>
        <w:rPr/>
        <w:t>860</w:t>
      </w:r>
      <w:r>
        <w:rPr>
          <w:rtl w:val="true"/>
        </w:rPr>
        <w:t xml:space="preserve"> (</w:t>
      </w:r>
      <w:r>
        <w:rPr/>
        <w:t>1955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נוכח החומרה הגלומה בעבירה השוחד</w:t>
      </w:r>
      <w:r>
        <w:rPr>
          <w:rtl w:val="true"/>
        </w:rPr>
        <w:t xml:space="preserve">, </w:t>
      </w:r>
      <w:r>
        <w:rPr>
          <w:rtl w:val="true"/>
        </w:rPr>
        <w:t xml:space="preserve">ברוב </w:t>
      </w:r>
      <w:r>
        <w:rPr>
          <w:rtl w:val="true"/>
        </w:rPr>
        <w:t>המקרים</w:t>
      </w:r>
      <w:r>
        <w:rPr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 </w:t>
      </w:r>
      <w:r>
        <w:rPr>
          <w:rtl w:val="true"/>
        </w:rPr>
        <w:t>רכיב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מאחורי</w:t>
      </w:r>
      <w:r>
        <w:rPr>
          <w:rtl w:val="true"/>
        </w:rPr>
        <w:t xml:space="preserve"> </w:t>
      </w:r>
      <w:r>
        <w:rPr>
          <w:rtl w:val="true"/>
        </w:rPr>
        <w:t>סורג</w:t>
      </w:r>
      <w:r>
        <w:rPr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3244/22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20.9.2022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3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4318/20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18.4.2021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3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4506/15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דיני בגזרי הדין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11.12.2016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3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5083/08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בניזרי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63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24.6.2009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בניזרי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בקשה</w:t>
      </w:r>
      <w:r>
        <w:rPr>
          <w:rtl w:val="true"/>
        </w:rPr>
        <w:t xml:space="preserve"> </w:t>
      </w:r>
      <w:r>
        <w:rPr>
          <w:rtl w:val="true"/>
        </w:rPr>
        <w:t>לקיים</w:t>
      </w:r>
      <w:r>
        <w:rPr>
          <w:rtl w:val="true"/>
        </w:rPr>
        <w:t xml:space="preserve"> </w:t>
      </w:r>
      <w:r>
        <w:rPr>
          <w:rtl w:val="true"/>
        </w:rPr>
        <w:t>דיון</w:t>
      </w:r>
      <w:r>
        <w:rPr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 בפסק דין זה</w:t>
      </w:r>
      <w:r>
        <w:rPr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>,</w:t>
      </w:r>
      <w:r>
        <w:rPr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5651/09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בניזרי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26.7.2009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ניתן להצביע על מגמת החמרה בענישה שבאה לידי ביטוי הן בחקיקה</w:t>
      </w:r>
      <w:r>
        <w:rPr>
          <w:rtl w:val="true"/>
        </w:rPr>
        <w:t xml:space="preserve">, </w:t>
      </w:r>
      <w:r>
        <w:rPr>
          <w:rtl w:val="true"/>
        </w:rPr>
        <w:t>הן בפסיקה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במסגרת תיקון </w:t>
      </w:r>
      <w:r>
        <w:rPr/>
        <w:t>103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הוחמרה הענישה על לקיחת שוחד</w:t>
      </w:r>
      <w:r>
        <w:rPr>
          <w:rtl w:val="true"/>
        </w:rPr>
        <w:t xml:space="preserve">, </w:t>
      </w:r>
      <w:r>
        <w:rPr>
          <w:rtl w:val="true"/>
        </w:rPr>
        <w:t xml:space="preserve">ובדברי ההסבר לתיקון צוין כי עבירת לקיחת השוחד היא </w:t>
      </w:r>
      <w:r>
        <w:rPr>
          <w:rtl w:val="true"/>
        </w:rPr>
        <w:t>"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השחיתות</w:t>
      </w:r>
      <w:r>
        <w:rPr>
          <w:rtl w:val="true"/>
        </w:rPr>
        <w:t xml:space="preserve"> </w:t>
      </w:r>
      <w:r>
        <w:rPr>
          <w:rtl w:val="true"/>
        </w:rPr>
        <w:t>המצויה</w:t>
      </w:r>
      <w:r>
        <w:rPr>
          <w:rtl w:val="true"/>
        </w:rPr>
        <w:t xml:space="preserve"> </w:t>
      </w:r>
      <w:r>
        <w:rPr>
          <w:rtl w:val="true"/>
        </w:rPr>
        <w:t>במדרג</w:t>
      </w:r>
      <w:r>
        <w:rPr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 </w:t>
      </w:r>
      <w:r>
        <w:rPr>
          <w:rtl w:val="true"/>
        </w:rPr>
        <w:t>הגבוה</w:t>
      </w:r>
      <w:r>
        <w:rPr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>" (</w:t>
      </w:r>
      <w:r>
        <w:rPr>
          <w:rtl w:val="true"/>
        </w:rPr>
        <w:t>דברי</w:t>
      </w:r>
      <w:r>
        <w:rPr>
          <w:rtl w:val="true"/>
        </w:rPr>
        <w:t xml:space="preserve"> </w:t>
      </w:r>
      <w:r>
        <w:rPr>
          <w:rtl w:val="true"/>
        </w:rPr>
        <w:t>ההסבר</w:t>
      </w:r>
      <w:r>
        <w:rPr>
          <w:rtl w:val="true"/>
        </w:rPr>
        <w:t xml:space="preserve"> </w:t>
      </w:r>
      <w:r>
        <w:rPr>
          <w:rtl w:val="true"/>
        </w:rPr>
        <w:t>להצעת</w:t>
      </w:r>
      <w:r>
        <w:rPr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108</w:t>
      </w:r>
      <w:r>
        <w:rPr>
          <w:rtl w:val="true"/>
        </w:rPr>
        <w:t>) (</w:t>
      </w:r>
      <w:r>
        <w:rPr>
          <w:rtl w:val="true"/>
        </w:rPr>
        <w:t>החמרת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שוחד</w:t>
      </w:r>
      <w:r>
        <w:rPr>
          <w:rtl w:val="true"/>
        </w:rPr>
        <w:t xml:space="preserve">),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>-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465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על מגמה דומה ניתן להצביע כאמור</w:t>
      </w:r>
      <w:r>
        <w:rPr>
          <w:rtl w:val="true"/>
        </w:rPr>
        <w:t xml:space="preserve">, </w:t>
      </w:r>
      <w:r>
        <w:rPr>
          <w:rtl w:val="true"/>
        </w:rPr>
        <w:t xml:space="preserve">גם בפסיקת בתי המשפט </w:t>
      </w:r>
      <w:r>
        <w:rPr>
          <w:rtl w:val="true"/>
        </w:rPr>
        <w:t>(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5829/21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קירשנבאום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38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24.8.2022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קירשנבאום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החשיבות בענישה קפדנית בעבירות אלו נובעת לא רק מחומרת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אלא גם מן הקשיים שטמונים בגילוין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גפסו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41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449/11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19.5.2011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יוער למען שלמות התמונה כי לצד הרשעתו בעבירות לקיחת שוחד ומרמה והפרת אמונים</w:t>
      </w:r>
      <w:r>
        <w:rPr>
          <w:rtl w:val="true"/>
        </w:rPr>
        <w:t xml:space="preserve">, </w:t>
      </w:r>
      <w:r>
        <w:rPr>
          <w:rtl w:val="true"/>
        </w:rPr>
        <w:t xml:space="preserve">הורשע דרי גם בעבירות לפי 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 ולפי </w:t>
      </w:r>
      <w:hyperlink r:id="rId4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>]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הכנסה</w:t>
      </w:r>
      <w:r>
        <w:rPr>
          <w:rtl w:val="true"/>
        </w:rPr>
        <w:t xml:space="preserve">). </w:t>
      </w:r>
      <w:r>
        <w:rPr>
          <w:rtl w:val="true"/>
        </w:rPr>
        <w:t>הגם שדבריי מוקדו בעבירות השוחד והמרמה והפרת האמונים שבהן הורשעו המערערים</w:t>
      </w:r>
      <w:r>
        <w:rPr>
          <w:rtl w:val="true"/>
        </w:rPr>
        <w:t xml:space="preserve">, </w:t>
      </w:r>
      <w:r>
        <w:rPr>
          <w:rtl w:val="true"/>
        </w:rPr>
        <w:t>אין בכך כדי להפחית מחשיבותן של עבירות הלבנת ההון ועבירות המס</w:t>
      </w:r>
      <w:r>
        <w:rPr>
          <w:rtl w:val="true"/>
        </w:rPr>
        <w:t xml:space="preserve">, </w:t>
      </w:r>
      <w:r>
        <w:rPr>
          <w:rtl w:val="true"/>
        </w:rPr>
        <w:t xml:space="preserve">שאין זה המקום להרחיב בפגיעתן בכלכלת המדינה ובקופה הציבורית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,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5783/12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111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11.9.2014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מטבע הדברים</w:t>
      </w:r>
      <w:r>
        <w:rPr>
          <w:rtl w:val="true"/>
        </w:rPr>
        <w:t xml:space="preserve">, </w:t>
      </w:r>
      <w:r>
        <w:rPr>
          <w:rtl w:val="true"/>
        </w:rPr>
        <w:t>משרעת העונשים בעבירות השחיתות השלטונית היא רחבה</w:t>
      </w:r>
      <w:r>
        <w:rPr>
          <w:rtl w:val="true"/>
        </w:rPr>
        <w:t xml:space="preserve">, </w:t>
      </w:r>
      <w:r>
        <w:rPr>
          <w:rtl w:val="true"/>
        </w:rPr>
        <w:t>ותלויה בשורה ארוכה של נסיבות שכוללות בין היתר את מעמדו הפורמלי של עובד הציבור</w:t>
      </w:r>
      <w:r>
        <w:rPr>
          <w:rtl w:val="true"/>
        </w:rPr>
        <w:t xml:space="preserve">; </w:t>
      </w:r>
      <w:r>
        <w:rPr>
          <w:rtl w:val="true"/>
        </w:rPr>
        <w:t>את היקף העבירות שבהן הורשע</w:t>
      </w:r>
      <w:r>
        <w:rPr>
          <w:rtl w:val="true"/>
        </w:rPr>
        <w:t xml:space="preserve">; </w:t>
      </w:r>
      <w:r>
        <w:rPr>
          <w:rtl w:val="true"/>
        </w:rPr>
        <w:t>אופי המעשים שבהם הורשע</w:t>
      </w:r>
      <w:r>
        <w:rPr>
          <w:rtl w:val="true"/>
        </w:rPr>
        <w:t xml:space="preserve">; </w:t>
      </w:r>
      <w:r>
        <w:rPr>
          <w:rtl w:val="true"/>
        </w:rPr>
        <w:t>והאם הוכחה סטייה מן השורה</w:t>
      </w:r>
      <w:r>
        <w:rPr>
          <w:rtl w:val="true"/>
        </w:rPr>
        <w:t xml:space="preserve">. </w:t>
      </w:r>
      <w:r>
        <w:rPr>
          <w:rtl w:val="true"/>
        </w:rPr>
        <w:t>מבלי להאריך שלא לצורך</w:t>
      </w:r>
      <w:r>
        <w:rPr>
          <w:rtl w:val="true"/>
        </w:rPr>
        <w:t xml:space="preserve">, </w:t>
      </w:r>
      <w:r>
        <w:rPr>
          <w:rtl w:val="true"/>
        </w:rPr>
        <w:t>אעמוד בתמצית על הענישה בעבירות שוחד של בכירים ברשויות השלטון מהשנים האחרונות</w:t>
      </w:r>
      <w:r>
        <w:rPr>
          <w:rtl w:val="true"/>
        </w:rPr>
        <w:t xml:space="preserve">: </w:t>
      </w: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קירשנבאום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הפחית בית משפט זה את עונש המאסר שנגזר על המערערת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חברת כנסת וסגנית שר הפנים לשעבר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שהורשעה ב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עבירות לקיחת שוחד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עבירות בקשת שוחד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ועבירות מרמה והפרת אמונים לצד עבירות מס והלבנת הון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מ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שנות מאסר 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7.5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שנות מאסר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שמעוני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הורשע איתמר שמעוני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ראש עיריית אשקלון בעבירות שוחד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הפרת אמונים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ועבירות מס לאחר שגייס יחד עם אחיו ומקרובו מיזמים בעיר בסך מאות אלפי שקלים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הערעורים לפני בית משפט זה הסתיימו בהסכמה כך שעונש המאסר שנגזר על שמעוני עמד על 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שנות מאסר </w:t>
      </w:r>
      <w:r>
        <w:rPr>
          <w:rFonts w:cs="Century" w:ascii="Century" w:hAnsi="Century"/>
          <w:sz w:val="22"/>
          <w:rtl w:val="true"/>
        </w:rPr>
        <w:t>(</w:t>
      </w:r>
      <w:hyperlink r:id="rId4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8618/19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מילר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31.3.2022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</w:t>
      </w:r>
      <w:r>
        <w:rPr>
          <w:rFonts w:ascii="Century" w:hAnsi="Century" w:cs="Century"/>
          <w:sz w:val="22"/>
          <w:sz w:val="22"/>
          <w:rtl w:val="true"/>
        </w:rPr>
        <w:t xml:space="preserve"> התקבל ערעורו של ראש עיריית רמת גן והוא הורשע ב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עבירות קבלת שוחד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עבירות הפרת אמונים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הלבנת הון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שיבוש מהלכי משפט עשיית פעולה ברכוש אסור ועבירות מס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במסגרת הערעור הועמד עונשו על 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שנות מאסר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חלף </w:t>
      </w:r>
      <w:r>
        <w:rPr>
          <w:rFonts w:cs="Century" w:ascii="Century" w:hAnsi="Century"/>
          <w:sz w:val="22"/>
        </w:rPr>
        <w:t>5.5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שטרית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hyperlink r:id="rId4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5076/14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שטרית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29.12.2015</w:t>
      </w:r>
      <w:r>
        <w:rPr>
          <w:rFonts w:cs="Century" w:ascii="Century" w:hAnsi="Century"/>
          <w:sz w:val="22"/>
          <w:rtl w:val="true"/>
        </w:rPr>
        <w:t xml:space="preserve">)) </w:t>
      </w:r>
      <w:r>
        <w:rPr>
          <w:rFonts w:ascii="Century" w:hAnsi="Century" w:cs="Century"/>
          <w:sz w:val="22"/>
          <w:sz w:val="22"/>
          <w:rtl w:val="true"/>
        </w:rPr>
        <w:t>נגזרו על אורי שטרית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שהורשע בין היתר ב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עבירות שוחד שנעברו במסגרת תפקידו כמהנדס העיר ירושלים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שנות מאסר בפועל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כן ראו והשוו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בין היתר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4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7470/15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15.6.2016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ול</w:t>
      </w:r>
      <w:hyperlink r:id="rId4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267/13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23.6.2013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לעניין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בניזרי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לצד הפרשות שתוארו לעיל</w:t>
      </w:r>
      <w:r>
        <w:rPr>
          <w:rtl w:val="true"/>
        </w:rPr>
        <w:t xml:space="preserve">, </w:t>
      </w:r>
      <w:r>
        <w:rPr>
          <w:rtl w:val="true"/>
        </w:rPr>
        <w:t xml:space="preserve">ניתן למצוא גם מקרים בהם הושתה ענישה פחותה </w:t>
      </w:r>
      <w:r>
        <w:rPr>
          <w:rtl w:val="true"/>
        </w:rPr>
        <w:t>(</w:t>
      </w:r>
      <w:r>
        <w:rPr>
          <w:rtl w:val="true"/>
        </w:rPr>
        <w:t xml:space="preserve">ראו למשל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267/13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23.6.2013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בלדב</w:t>
      </w:r>
      <w:r>
        <w:rPr>
          <w:rtl w:val="true"/>
        </w:rPr>
        <w:t xml:space="preserve">). </w:t>
      </w:r>
      <w:r>
        <w:rPr>
          <w:rtl w:val="true"/>
        </w:rPr>
        <w:t>בהקשר זה הפנה כנפו בערעורו לפסיקה שמלמדת לשיטתו כי מתחם הענישה בעבירות שוחד צריך לכלול גם מאסר בדרך של עבודות שירות</w:t>
      </w:r>
      <w:r>
        <w:rPr>
          <w:rtl w:val="true"/>
        </w:rPr>
        <w:t xml:space="preserve">. </w:t>
      </w:r>
      <w:r>
        <w:rPr>
          <w:rtl w:val="true"/>
        </w:rPr>
        <w:t>אך יש להבהיר בהקשר זה כי מדובר ככלל בפרשות ישנות יותר</w:t>
      </w:r>
      <w:r>
        <w:rPr>
          <w:rtl w:val="true"/>
        </w:rPr>
        <w:t xml:space="preserve">, </w:t>
      </w:r>
      <w:r>
        <w:rPr>
          <w:rtl w:val="true"/>
        </w:rPr>
        <w:t>שלא מבטאות את מלוא מגמת ההחמרה בענישה שעליה עמדתי לעיל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בחינת מתחמי הענישה שקבע בית המשפט המחוזי 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 מאסר לכנפו 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 לדרי</w:t>
      </w:r>
      <w:r>
        <w:rPr>
          <w:rtl w:val="true"/>
        </w:rPr>
        <w:t xml:space="preserve">) </w:t>
      </w:r>
      <w:r>
        <w:rPr>
          <w:rtl w:val="true"/>
        </w:rPr>
        <w:t>מגלה פנים לכאן ולכאן</w:t>
      </w:r>
      <w:r>
        <w:rPr>
          <w:rtl w:val="true"/>
        </w:rPr>
        <w:t xml:space="preserve">. </w:t>
      </w:r>
      <w:r>
        <w:rPr>
          <w:rtl w:val="true"/>
        </w:rPr>
        <w:t>תחילה אבהיר כי אין בידי לקבל את טענת המערערים כי מתחם הענישה הוא תקדימי או שאינו הולם את מעשיהם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 xml:space="preserve">המתחמים האמורים מוליכים למסקנה כי המערערים ירצו תקופות משמעותיות מאחורי סורג ובריח </w:t>
      </w:r>
      <w:r>
        <w:rPr>
          <w:rtl w:val="true"/>
        </w:rPr>
        <w:t>–</w:t>
      </w:r>
      <w:r>
        <w:rPr>
          <w:rtl w:val="true"/>
        </w:rPr>
        <w:t xml:space="preserve"> אך מסקנה זו מתחייבת בעיני מחומרת מעשיהם וממגמת ההחמרה בענישה שעליה עמדתי לעיל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אין לכחד כי גם בשנים האחרונות נגזרו בפרשות דומות עונשי מאסר שנמוכים מהקצה התחתון של המתחם בעניינם של המערערים</w:t>
      </w:r>
      <w:r>
        <w:rPr>
          <w:rtl w:val="true"/>
        </w:rPr>
        <w:t xml:space="preserve">. </w:t>
      </w:r>
      <w:r>
        <w:rPr>
          <w:rtl w:val="true"/>
        </w:rPr>
        <w:t>לכך יש להוסיף כי במדרג ההירארכי</w:t>
      </w:r>
      <w:r>
        <w:rPr>
          <w:rtl w:val="true"/>
        </w:rPr>
        <w:t xml:space="preserve">, </w:t>
      </w:r>
      <w:r>
        <w:rPr>
          <w:rtl w:val="true"/>
        </w:rPr>
        <w:t>המערערים שהינם בדרג בכיר</w:t>
      </w:r>
      <w:r>
        <w:rPr>
          <w:rtl w:val="true"/>
        </w:rPr>
        <w:t xml:space="preserve">, </w:t>
      </w:r>
      <w:r>
        <w:rPr>
          <w:rtl w:val="true"/>
        </w:rPr>
        <w:t>מצויים במקום נמוך יותר מזה של ראשי הרשויות שהופנינו לפסיקה בעניינם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ומבלי לטעת מסמרות בגבולות המתחם בעניינם של המערערים</w:t>
      </w:r>
      <w:r>
        <w:rPr>
          <w:rtl w:val="true"/>
        </w:rPr>
        <w:t xml:space="preserve">, </w:t>
      </w:r>
      <w:r>
        <w:rPr>
          <w:rtl w:val="true"/>
        </w:rPr>
        <w:t>סבורני כי את גבולו התחתון של מתחם העונש ההולם ניתן היה לקבוע בנקודה נמוכה יותר</w:t>
      </w:r>
      <w:r>
        <w:rPr>
          <w:rtl w:val="true"/>
        </w:rPr>
        <w:t xml:space="preserve">. </w:t>
      </w:r>
      <w:r>
        <w:rPr>
          <w:rtl w:val="true"/>
        </w:rPr>
        <w:t>בשים לב לאמור</w:t>
      </w:r>
      <w:r>
        <w:rPr>
          <w:rtl w:val="true"/>
        </w:rPr>
        <w:t xml:space="preserve">, </w:t>
      </w:r>
      <w:r>
        <w:rPr>
          <w:rtl w:val="true"/>
        </w:rPr>
        <w:t>אני סבור שהשיקולים הבאים מצדיקים להקל</w:t>
      </w:r>
      <w:r>
        <w:rPr>
          <w:rtl w:val="true"/>
        </w:rPr>
        <w:t xml:space="preserve">, </w:t>
      </w:r>
      <w:r>
        <w:rPr>
          <w:rtl w:val="true"/>
        </w:rPr>
        <w:t>במידת מה</w:t>
      </w:r>
      <w:r>
        <w:rPr>
          <w:rtl w:val="true"/>
        </w:rPr>
        <w:t xml:space="preserve">, </w:t>
      </w:r>
      <w:r>
        <w:rPr>
          <w:rtl w:val="true"/>
        </w:rPr>
        <w:t>בעונשים שהוטלו על המערערים</w:t>
      </w:r>
      <w:r>
        <w:rPr>
          <w:rtl w:val="true"/>
        </w:rPr>
        <w:t xml:space="preserve">: </w:t>
      </w:r>
      <w:r>
        <w:rPr>
          <w:rtl w:val="true"/>
        </w:rPr>
        <w:t>חלוף הזמן</w:t>
      </w:r>
      <w:r>
        <w:rPr>
          <w:rtl w:val="true"/>
        </w:rPr>
        <w:t xml:space="preserve">, </w:t>
      </w:r>
      <w:r>
        <w:rPr>
          <w:rtl w:val="true"/>
        </w:rPr>
        <w:t>עונשיהם של יתר המעורבים בפרשה והחרטה שהביעו בתום הערעור</w:t>
      </w:r>
      <w:r>
        <w:rPr>
          <w:rtl w:val="true"/>
        </w:rPr>
        <w:t xml:space="preserve">. </w:t>
      </w:r>
      <w:r>
        <w:rPr>
          <w:rtl w:val="true"/>
        </w:rPr>
        <w:t>בעניינו של דרי מצאתי להקל בעונשו בגין שני שיקולים נוספים והם גילו ומצבו הרפואי</w:t>
      </w:r>
      <w:r>
        <w:rPr>
          <w:rtl w:val="true"/>
        </w:rPr>
        <w:t xml:space="preserve">, </w:t>
      </w:r>
      <w:r>
        <w:rPr>
          <w:rtl w:val="true"/>
        </w:rPr>
        <w:t>כמו גם זיכויו מעבירת הפרת האמונים באישום השביעי</w:t>
      </w:r>
      <w:r>
        <w:rPr>
          <w:rtl w:val="true"/>
        </w:rPr>
        <w:t xml:space="preserve">. </w:t>
      </w:r>
      <w:r>
        <w:rPr>
          <w:rtl w:val="true"/>
        </w:rPr>
        <w:t>אעמוד על שיקולים אלה להלן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שיקול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הצדדים האריכו בטענותיהם על פרק הזמן שחלף מביצוע העבירות ועד להכרעת בית המשפט המחוזי</w:t>
      </w:r>
      <w:r>
        <w:rPr>
          <w:rtl w:val="true"/>
        </w:rPr>
        <w:t xml:space="preserve">, </w:t>
      </w:r>
      <w:r>
        <w:rPr>
          <w:rtl w:val="true"/>
        </w:rPr>
        <w:t>ועל המשקל שיש ליתן לפרק זמן זה בגזירת עונשיהם של המערערים</w:t>
      </w:r>
      <w:r>
        <w:rPr>
          <w:rtl w:val="true"/>
        </w:rPr>
        <w:t xml:space="preserve">. </w:t>
      </w:r>
      <w:r>
        <w:rPr>
          <w:rtl w:val="true"/>
        </w:rPr>
        <w:t>בית המשפט המחוזי עמד על שיקול זה</w:t>
      </w:r>
      <w:r>
        <w:rPr>
          <w:rtl w:val="true"/>
        </w:rPr>
        <w:t xml:space="preserve">, </w:t>
      </w:r>
      <w:r>
        <w:rPr>
          <w:rtl w:val="true"/>
        </w:rPr>
        <w:t>ומצא כי יש להורות על הקלה מסוימת בעונשם של המערערים</w:t>
      </w:r>
      <w:r>
        <w:rPr>
          <w:rtl w:val="true"/>
        </w:rPr>
        <w:t xml:space="preserve">. </w:t>
      </w:r>
      <w:r>
        <w:rPr>
          <w:rtl w:val="true"/>
        </w:rPr>
        <w:t>אף אני בדעה כי היה מקום להקל בעונשם של המערערים בשל שיקול זה</w:t>
      </w:r>
      <w:r>
        <w:rPr>
          <w:rtl w:val="true"/>
        </w:rPr>
        <w:t xml:space="preserve">, </w:t>
      </w:r>
      <w:r>
        <w:rPr>
          <w:rtl w:val="true"/>
        </w:rPr>
        <w:t>וכפי שאפרט להלן</w:t>
      </w:r>
      <w:r>
        <w:rPr>
          <w:rtl w:val="true"/>
        </w:rPr>
        <w:t xml:space="preserve">, </w:t>
      </w:r>
      <w:r>
        <w:rPr>
          <w:rtl w:val="true"/>
        </w:rPr>
        <w:t>מצאתי כי יש בו כדי להביא להקלה בעונשם גם במסגרת הערעורים דנן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העבירות שבהן הורשעו המערערים בוצעו בין השנים </w:t>
      </w:r>
      <w:r>
        <w:rPr/>
        <w:t>2009-2004</w:t>
      </w:r>
      <w:r>
        <w:rPr>
          <w:rtl w:val="true"/>
        </w:rPr>
        <w:t xml:space="preserve"> (</w:t>
      </w:r>
      <w:r>
        <w:rPr>
          <w:rtl w:val="true"/>
        </w:rPr>
        <w:t>בעניינו של כנפו</w:t>
      </w:r>
      <w:r>
        <w:rPr>
          <w:rtl w:val="true"/>
        </w:rPr>
        <w:t xml:space="preserve">) </w:t>
      </w:r>
      <w:r>
        <w:rPr>
          <w:rtl w:val="true"/>
        </w:rPr>
        <w:t xml:space="preserve">ובין השנים </w:t>
      </w:r>
      <w:r>
        <w:rPr/>
        <w:t>2011-2005</w:t>
      </w:r>
      <w:r>
        <w:rPr>
          <w:rtl w:val="true"/>
        </w:rPr>
        <w:t xml:space="preserve"> (</w:t>
      </w:r>
      <w:r>
        <w:rPr>
          <w:rtl w:val="true"/>
        </w:rPr>
        <w:t>בעניינו של דרי</w:t>
      </w:r>
      <w:r>
        <w:rPr>
          <w:rtl w:val="true"/>
        </w:rPr>
        <w:t xml:space="preserve">). </w:t>
      </w:r>
      <w:r>
        <w:rPr>
          <w:rtl w:val="true"/>
        </w:rPr>
        <w:t xml:space="preserve">החקירה הסמויה החלה בשנת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 xml:space="preserve">ונמשכה עד לשנת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אז עבר התיק לחקירה גלויה</w:t>
      </w:r>
      <w:r>
        <w:rPr>
          <w:rtl w:val="true"/>
        </w:rPr>
        <w:t xml:space="preserve">. </w:t>
      </w:r>
      <w:r>
        <w:rPr>
          <w:rtl w:val="true"/>
        </w:rPr>
        <w:t xml:space="preserve">בשנת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 xml:space="preserve">הועבר התיק לפרקליטות ובשנת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הועבר להשלמת חקירה</w:t>
      </w:r>
      <w:r>
        <w:rPr>
          <w:rtl w:val="true"/>
        </w:rPr>
        <w:t xml:space="preserve">. </w:t>
      </w:r>
      <w:r>
        <w:rPr>
          <w:rtl w:val="true"/>
        </w:rPr>
        <w:t>היחידה החוקרת ביצעה השלמות חקירה מרובות</w:t>
      </w:r>
      <w:r>
        <w:rPr>
          <w:rtl w:val="true"/>
        </w:rPr>
        <w:t xml:space="preserve">, </w:t>
      </w:r>
      <w:r>
        <w:rPr>
          <w:rtl w:val="true"/>
        </w:rPr>
        <w:t xml:space="preserve">ובחודש אפריל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הוגש כתב האישום בפרשה</w:t>
      </w:r>
      <w:r>
        <w:rPr>
          <w:rtl w:val="true"/>
        </w:rPr>
        <w:t xml:space="preserve">. </w:t>
      </w:r>
      <w:r>
        <w:rPr>
          <w:rtl w:val="true"/>
        </w:rPr>
        <w:t xml:space="preserve">הכרעת הדין וגזר הדין ניתנו בשנת </w:t>
      </w:r>
      <w:r>
        <w:rPr/>
        <w:t>2022</w:t>
      </w:r>
      <w:r>
        <w:rPr>
          <w:rtl w:val="true"/>
        </w:rPr>
        <w:t xml:space="preserve">. </w:t>
      </w:r>
      <w:r>
        <w:rPr>
          <w:rtl w:val="true"/>
        </w:rPr>
        <w:t>בסיכומם של דברים</w:t>
      </w:r>
      <w:r>
        <w:rPr>
          <w:rtl w:val="true"/>
        </w:rPr>
        <w:t xml:space="preserve">, </w:t>
      </w:r>
      <w:r>
        <w:rPr>
          <w:rtl w:val="true"/>
        </w:rPr>
        <w:t>הכרעת דינם של המערערים ניתנה בחלוף למעלה מעשור מהמעשים האחרונים שיוחסו להם בכתב האישום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מדובר בתיק רחב היקף</w:t>
      </w:r>
      <w:r>
        <w:rPr>
          <w:rtl w:val="true"/>
        </w:rPr>
        <w:t xml:space="preserve">, </w:t>
      </w:r>
      <w:r>
        <w:rPr>
          <w:rtl w:val="true"/>
        </w:rPr>
        <w:t xml:space="preserve">מורכב ואשר כלל </w:t>
      </w:r>
      <w:r>
        <w:rPr>
          <w:rtl w:val="true"/>
        </w:rPr>
        <w:t>(</w:t>
      </w:r>
      <w:r>
        <w:rPr>
          <w:rtl w:val="true"/>
        </w:rPr>
        <w:t>בתחילתו</w:t>
      </w:r>
      <w:r>
        <w:rPr>
          <w:rtl w:val="true"/>
        </w:rPr>
        <w:t xml:space="preserve">) </w:t>
      </w:r>
      <w:r>
        <w:rPr>
          <w:rtl w:val="true"/>
        </w:rPr>
        <w:t>נאשמים רבים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 xml:space="preserve">בצד האמור אין להתעלם מן </w:t>
      </w:r>
      <w:r>
        <w:rPr>
          <w:sz w:val="21"/>
          <w:rtl w:val="true"/>
        </w:rPr>
        <w:t>"</w:t>
      </w:r>
      <w:r>
        <w:rPr>
          <w:sz w:val="21"/>
          <w:sz w:val="21"/>
          <w:rtl w:val="true"/>
        </w:rPr>
        <w:t>הקושי הטמון בסטטוס של נאשם</w:t>
      </w:r>
      <w:r>
        <w:rPr>
          <w:sz w:val="21"/>
          <w:rtl w:val="true"/>
        </w:rPr>
        <w:t xml:space="preserve">, </w:t>
      </w:r>
      <w:r>
        <w:rPr>
          <w:sz w:val="21"/>
          <w:sz w:val="21"/>
          <w:rtl w:val="true"/>
        </w:rPr>
        <w:t>מפאת הלחץ והחשש המתמיד בו נתון הנאשם והקושי שטמון בניהול ההליכים נגדו על המשך ניהול תקין של חייו ועל אפשרותו להשתקם</w:t>
      </w:r>
      <w:r>
        <w:rPr>
          <w:rtl w:val="true"/>
        </w:rPr>
        <w:t>" (</w:t>
      </w:r>
      <w:hyperlink r:id="rId5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2103/07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הורוביץ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334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2008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הורוביץ</w:t>
      </w:r>
      <w:r>
        <w:rPr>
          <w:rtl w:val="true"/>
        </w:rPr>
        <w:t xml:space="preserve">); </w:t>
      </w:r>
      <w:hyperlink r:id="rId5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223/13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13.11.2013</w:t>
      </w:r>
      <w:r>
        <w:rPr>
          <w:rtl w:val="true"/>
        </w:rPr>
        <w:t xml:space="preserve">)). </w:t>
      </w:r>
      <w:r>
        <w:rPr>
          <w:rtl w:val="true"/>
        </w:rPr>
        <w:t>לכך יש להוסיף כי הימשכות ההליכים עשויה להשפיע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על אפשרויות התעסוקה של הנאשמים</w:t>
      </w:r>
      <w:r>
        <w:rPr>
          <w:rtl w:val="true"/>
        </w:rPr>
        <w:t xml:space="preserve">; </w:t>
      </w:r>
      <w:r>
        <w:rPr>
          <w:rtl w:val="true"/>
        </w:rPr>
        <w:t>על סביבתם</w:t>
      </w:r>
      <w:r>
        <w:rPr>
          <w:rtl w:val="true"/>
        </w:rPr>
        <w:t xml:space="preserve">; </w:t>
      </w:r>
      <w:r>
        <w:rPr>
          <w:rtl w:val="true"/>
        </w:rPr>
        <w:t xml:space="preserve">ומחלישה את ההרתעה שטמונה בהליך הפלילי </w:t>
      </w:r>
      <w:r>
        <w:rPr>
          <w:rtl w:val="true"/>
        </w:rPr>
        <w:t>–</w:t>
      </w:r>
      <w:r>
        <w:rPr>
          <w:rtl w:val="true"/>
        </w:rPr>
        <w:t xml:space="preserve"> הן במקרה הקונקרטי</w:t>
      </w:r>
      <w:r>
        <w:rPr>
          <w:rtl w:val="true"/>
        </w:rPr>
        <w:t xml:space="preserve">, </w:t>
      </w:r>
      <w:r>
        <w:rPr>
          <w:rtl w:val="true"/>
        </w:rPr>
        <w:t>הן במישור הרתעת הרבים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מקובלת עליי עמדת בית המשפט המחוזי כי יש ליתן משקל ממשי להימשכות ההליך</w:t>
      </w:r>
      <w:r>
        <w:rPr>
          <w:rtl w:val="true"/>
        </w:rPr>
        <w:t xml:space="preserve">.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 xml:space="preserve">מרגע שהפכה לגלויה </w:t>
      </w:r>
      <w:r>
        <w:rPr>
          <w:rtl w:val="true"/>
        </w:rPr>
        <w:t>(</w:t>
      </w:r>
      <w:r>
        <w:rPr>
          <w:rtl w:val="true"/>
        </w:rPr>
        <w:t>והחלה למעשה לתת אותותיה במערערים ובסביבתם</w:t>
      </w:r>
      <w:r>
        <w:rPr>
          <w:rtl w:val="true"/>
        </w:rPr>
        <w:t xml:space="preserve">) </w:t>
      </w:r>
      <w:r>
        <w:rPr>
          <w:rtl w:val="true"/>
        </w:rPr>
        <w:t>ועד להגשת כתב האישום</w:t>
      </w:r>
      <w:r>
        <w:rPr>
          <w:rtl w:val="true"/>
        </w:rPr>
        <w:t xml:space="preserve">, </w:t>
      </w:r>
      <w:r>
        <w:rPr>
          <w:rtl w:val="true"/>
        </w:rPr>
        <w:t>נמשכה כ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בהקשר זה ציין בצדק בית המשפט המחוזי כי ניתן היה לקצר את פרק הזמן האמור</w:t>
      </w:r>
      <w:r>
        <w:rPr>
          <w:rtl w:val="true"/>
        </w:rPr>
        <w:t xml:space="preserve">, </w:t>
      </w:r>
      <w:r>
        <w:rPr>
          <w:rtl w:val="true"/>
        </w:rPr>
        <w:t>גם אם לא באופן דרמטי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בית המשפט המחוזי ציין לחיוב את התנהלות באי כוח המערערים בניהול התיק</w:t>
      </w:r>
      <w:r>
        <w:rPr>
          <w:rtl w:val="true"/>
        </w:rPr>
        <w:t xml:space="preserve">, </w:t>
      </w:r>
      <w:r>
        <w:rPr>
          <w:rtl w:val="true"/>
        </w:rPr>
        <w:t>שלא דבקו בדרישות פרוצדורליות</w:t>
      </w:r>
      <w:r>
        <w:rPr>
          <w:rtl w:val="true"/>
        </w:rPr>
        <w:t xml:space="preserve">, </w:t>
      </w:r>
      <w:r>
        <w:rPr>
          <w:rtl w:val="true"/>
        </w:rPr>
        <w:t>לא דחו דיונים וניהלו את הגנת הנאשמים באופן יעיל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אין לראות בהם כגורם להתמשכות ההליכים </w:t>
      </w:r>
      <w:r>
        <w:rPr>
          <w:rtl w:val="true"/>
        </w:rPr>
        <w:t>(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7696/14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גבריאלי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יא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11.2.2015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ודוקו</w:t>
      </w:r>
      <w:r>
        <w:rPr>
          <w:rtl w:val="true"/>
        </w:rPr>
        <w:t xml:space="preserve">: </w:t>
      </w:r>
      <w:r>
        <w:rPr>
          <w:rtl w:val="true"/>
        </w:rPr>
        <w:t>אין באמור כדי להטיל דופי בהתנהלות היחידה החוקרת</w:t>
      </w:r>
      <w:r>
        <w:rPr>
          <w:rtl w:val="true"/>
        </w:rPr>
        <w:t xml:space="preserve">, </w:t>
      </w:r>
      <w:r>
        <w:rPr>
          <w:rtl w:val="true"/>
        </w:rPr>
        <w:t>הפרקליטות או בית המשפט המחוזי</w:t>
      </w:r>
      <w:r>
        <w:rPr>
          <w:rtl w:val="true"/>
        </w:rPr>
        <w:t xml:space="preserve">. </w:t>
      </w:r>
      <w:r>
        <w:rPr>
          <w:rtl w:val="true"/>
        </w:rPr>
        <w:t>אף המערערים לא הציבו במוקד הטענות טענה לפגם ממשי בהתנהלות מי מהגורמים האמורים</w:t>
      </w:r>
      <w:r>
        <w:rPr>
          <w:rtl w:val="true"/>
        </w:rPr>
        <w:t xml:space="preserve">. </w:t>
      </w:r>
      <w:r>
        <w:rPr>
          <w:rtl w:val="true"/>
        </w:rPr>
        <w:t>חרף האמור</w:t>
      </w:r>
      <w:r>
        <w:rPr>
          <w:rtl w:val="true"/>
        </w:rPr>
        <w:t xml:space="preserve">, </w:t>
      </w:r>
      <w:r>
        <w:rPr>
          <w:rtl w:val="true"/>
        </w:rPr>
        <w:t>במצב הדברים הנוכחי</w:t>
      </w:r>
      <w:r>
        <w:rPr>
          <w:rtl w:val="true"/>
        </w:rPr>
        <w:t xml:space="preserve">, </w:t>
      </w:r>
      <w:r>
        <w:rPr>
          <w:rtl w:val="true"/>
        </w:rPr>
        <w:t>הרי שהמערערים ירצו את עונשם על עבירות שאת חלקן ביצעו לפני קרוב לשני עשורים</w:t>
      </w:r>
      <w:r>
        <w:rPr>
          <w:rtl w:val="true"/>
        </w:rPr>
        <w:t xml:space="preserve">. </w:t>
      </w:r>
      <w:r>
        <w:rPr>
          <w:rtl w:val="true"/>
        </w:rPr>
        <w:t xml:space="preserve">לכך יש להוסיף כי חרב הדין מתהפכת מעל ראשם של המערערים משך למעלה מעשור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הורוביץ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337</w:t>
      </w:r>
      <w:r>
        <w:rPr>
          <w:rtl w:val="true"/>
        </w:rPr>
        <w:t xml:space="preserve">). </w:t>
      </w:r>
      <w:r>
        <w:rPr>
          <w:rtl w:val="true"/>
        </w:rPr>
        <w:t xml:space="preserve">נוכח האמור מצאתי כי שיקול זה צריך להביא להקלה בעונשם של המערערים </w:t>
      </w:r>
      <w:r>
        <w:rPr>
          <w:rtl w:val="true"/>
        </w:rPr>
        <w:t>(</w:t>
      </w:r>
      <w:r>
        <w:rPr>
          <w:rtl w:val="true"/>
        </w:rPr>
        <w:t>וזאת מבלי לטעת מסמרות בטענות כנפו כי יש ליתן משקל גם לרמת הענישה שהייתה נהוגה בעת ביצוע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ראו באופן כללי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5836/16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רובינסון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7.1.2018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אחידות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הענישה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עונשיהם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המעורבים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בפרשה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טענה נוספת שיש בכוחה להקל בעונשיהם של המערערים נעוצה בעונשיהם של המעורבים האחרים בפרשה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עקרון אחידות הענישה הוא עקרון יסוד בשיטתנו</w:t>
      </w:r>
      <w:r>
        <w:rPr>
          <w:rtl w:val="true"/>
        </w:rPr>
        <w:t xml:space="preserve">, </w:t>
      </w:r>
      <w:r>
        <w:rPr>
          <w:rtl w:val="true"/>
        </w:rPr>
        <w:t>ואחת מנגזרותיו היא החובה להבטיח יחס הולם בין עונשיהם של המעורבים השונים באותה פרשה</w:t>
      </w:r>
      <w:r>
        <w:rPr>
          <w:rtl w:val="true"/>
        </w:rPr>
        <w:t xml:space="preserve">, </w:t>
      </w:r>
      <w:r>
        <w:rPr>
          <w:rtl w:val="true"/>
        </w:rPr>
        <w:t xml:space="preserve">כך שמדרג הענישה ישקף את חלקם היחסי של כל אחד מהמעורבים בה </w:t>
      </w:r>
      <w:r>
        <w:rPr>
          <w:rtl w:val="true"/>
        </w:rPr>
        <w:t>(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8172/21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15.5.2022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5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4536/21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4.11.2021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יישומה של חובה זו משתנה מטבעם של דברים ממקרה למקרה</w:t>
      </w:r>
      <w:r>
        <w:rPr>
          <w:rtl w:val="true"/>
        </w:rPr>
        <w:t xml:space="preserve">, </w:t>
      </w:r>
      <w:r>
        <w:rPr>
          <w:rtl w:val="true"/>
        </w:rPr>
        <w:t>ועל בית המשפט לשקול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את חומרת המעשים שביצע כל אחד מן הנאשמים ביחס לאחרים בשים לב לנסיבותיו האישיות של כל נאשם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20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טוענים המערערים כי יתר המעורבים בפרשה </w:t>
      </w:r>
      <w:r>
        <w:rPr>
          <w:rtl w:val="true"/>
        </w:rPr>
        <w:t>(</w:t>
      </w:r>
      <w:r>
        <w:rPr>
          <w:rtl w:val="true"/>
        </w:rPr>
        <w:t>על אישומיה השונים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הם היזמים שהואשמו במקור כ</w:t>
      </w:r>
      <w:r>
        <w:rPr>
          <w:rtl w:val="true"/>
        </w:rPr>
        <w:t>"</w:t>
      </w:r>
      <w:r>
        <w:rPr>
          <w:rtl w:val="true"/>
        </w:rPr>
        <w:t>נותני השוחד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הגיעו להסדרי טיעון עם המדינה ולא הוטל על מי מהם עונש מאסר מאחורי סורג ובריח</w:t>
      </w:r>
      <w:r>
        <w:rPr>
          <w:rtl w:val="true"/>
        </w:rPr>
        <w:t xml:space="preserve">. </w:t>
      </w:r>
      <w:r>
        <w:rPr>
          <w:rtl w:val="true"/>
        </w:rPr>
        <w:t>בית המשפט המחוזי מצא לתת משקל לטענה זו</w:t>
      </w:r>
      <w:r>
        <w:rPr>
          <w:rtl w:val="true"/>
        </w:rPr>
        <w:t xml:space="preserve">, </w:t>
      </w:r>
      <w:r>
        <w:rPr>
          <w:rtl w:val="true"/>
        </w:rPr>
        <w:t xml:space="preserve">אך הדגיש כי </w:t>
      </w:r>
      <w:r>
        <w:rPr>
          <w:rtl w:val="true"/>
        </w:rPr>
        <w:t>"</w:t>
      </w:r>
      <w:r>
        <w:rPr>
          <w:rtl w:val="true"/>
        </w:rPr>
        <w:t>ישנו הבדל משמעותי שלא לומר תהומי</w:t>
      </w:r>
      <w:r>
        <w:rPr>
          <w:rtl w:val="true"/>
        </w:rPr>
        <w:t xml:space="preserve">, </w:t>
      </w:r>
      <w:r>
        <w:rPr>
          <w:rtl w:val="true"/>
        </w:rPr>
        <w:t xml:space="preserve">בין העבירות בהן הורשעו </w:t>
      </w:r>
      <w:r>
        <w:rPr>
          <w:rtl w:val="true"/>
        </w:rPr>
        <w:t>[</w:t>
      </w:r>
      <w:r>
        <w:rPr>
          <w:rtl w:val="true"/>
        </w:rPr>
        <w:t xml:space="preserve">המערערים </w:t>
      </w:r>
      <w:r>
        <w:rPr>
          <w:rtl w:val="true"/>
        </w:rPr>
        <w:t>–</w:t>
      </w:r>
      <w:r>
        <w:rPr>
          <w:rtl w:val="true"/>
        </w:rPr>
        <w:t xml:space="preserve"> ע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 xml:space="preserve">'] </w:t>
      </w:r>
      <w:r>
        <w:rPr>
          <w:rtl w:val="true"/>
        </w:rPr>
        <w:t>לבין אלו בהן הורשעו כל אחד מהיזמים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29</w:t>
      </w:r>
      <w:r>
        <w:rPr>
          <w:rtl w:val="true"/>
        </w:rPr>
        <w:t xml:space="preserve">).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 xml:space="preserve">שם בית המשפט המחוזי את הדגש על כך שהמערערים הורשעו בשורת עבירות לקיחת שוחד </w:t>
      </w:r>
      <w:r>
        <w:rPr>
          <w:rtl w:val="true"/>
        </w:rPr>
        <w:t>(</w:t>
      </w:r>
      <w:r>
        <w:rPr>
          <w:rtl w:val="true"/>
        </w:rPr>
        <w:t>לצד עבירות נוספות</w:t>
      </w:r>
      <w:r>
        <w:rPr>
          <w:rtl w:val="true"/>
        </w:rPr>
        <w:t xml:space="preserve">) </w:t>
      </w:r>
      <w:r>
        <w:rPr>
          <w:rtl w:val="true"/>
        </w:rPr>
        <w:t>בפרויקטים שונים</w:t>
      </w:r>
      <w:r>
        <w:rPr>
          <w:rtl w:val="true"/>
        </w:rPr>
        <w:t xml:space="preserve">, </w:t>
      </w:r>
      <w:r>
        <w:rPr>
          <w:rtl w:val="true"/>
        </w:rPr>
        <w:t xml:space="preserve">ואילו כל אחד מהיזמים הורשע ביחס לפרויקט אחד ובעבירות קלות יותר </w:t>
      </w:r>
      <w:r>
        <w:rPr>
          <w:rtl w:val="true"/>
        </w:rPr>
        <w:t>(</w:t>
      </w:r>
      <w:r>
        <w:rPr>
          <w:rtl w:val="true"/>
        </w:rPr>
        <w:t>בהתאם להסדרי הטיעון</w:t>
      </w:r>
      <w:r>
        <w:rPr>
          <w:rtl w:val="true"/>
        </w:rPr>
        <w:t xml:space="preserve">, </w:t>
      </w:r>
      <w:r>
        <w:rPr>
          <w:rtl w:val="true"/>
        </w:rPr>
        <w:t>ראו בגזר הדין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29-28</w:t>
      </w:r>
      <w:r>
        <w:rPr>
          <w:rtl w:val="true"/>
        </w:rPr>
        <w:t xml:space="preserve">). </w:t>
      </w:r>
      <w:r>
        <w:rPr>
          <w:rtl w:val="true"/>
        </w:rPr>
        <w:t>דבריו של בית המשפט המחוזי מקובלים עליי במלואם</w:t>
      </w:r>
      <w:r>
        <w:rPr>
          <w:rtl w:val="true"/>
        </w:rPr>
        <w:t xml:space="preserve">. </w:t>
      </w:r>
      <w:r>
        <w:rPr>
          <w:rtl w:val="true"/>
        </w:rPr>
        <w:t>בשים לב למסכת העבריינית שבה הורשעו המערערים ולכך שיתר המעורבים סיימו עניינם בהסדרי טיעון</w:t>
      </w:r>
      <w:r>
        <w:rPr>
          <w:rtl w:val="true"/>
        </w:rPr>
        <w:t xml:space="preserve">, </w:t>
      </w:r>
      <w:r>
        <w:rPr>
          <w:rtl w:val="true"/>
        </w:rPr>
        <w:t>ראוי וצודק כי עונשם יהא חמור באופן ניכר משל יתר המעורבים בפרשה</w:t>
      </w:r>
      <w:r>
        <w:rPr>
          <w:rtl w:val="true"/>
        </w:rPr>
        <w:t xml:space="preserve">. </w:t>
      </w:r>
      <w:r>
        <w:rPr>
          <w:rtl w:val="true"/>
        </w:rPr>
        <w:t>הגם שכך</w:t>
      </w:r>
      <w:r>
        <w:rPr>
          <w:rtl w:val="true"/>
        </w:rPr>
        <w:t xml:space="preserve">, </w:t>
      </w:r>
      <w:r>
        <w:rPr>
          <w:rtl w:val="true"/>
        </w:rPr>
        <w:t xml:space="preserve">הפערים בענישה במקרה דנן גדולים מאד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קירשנבאום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47</w:t>
      </w:r>
      <w:r>
        <w:rPr>
          <w:rtl w:val="true"/>
        </w:rPr>
        <w:t xml:space="preserve">): </w:t>
      </w:r>
      <w:r>
        <w:rPr>
          <w:rtl w:val="true"/>
        </w:rPr>
        <w:t xml:space="preserve">על חלק מנותני השוחד על פי כתב האישום המקורי </w:t>
      </w:r>
      <w:r>
        <w:rPr>
          <w:rtl w:val="true"/>
        </w:rPr>
        <w:t>(</w:t>
      </w:r>
      <w:r>
        <w:rPr>
          <w:rtl w:val="true"/>
        </w:rPr>
        <w:t>שהורשעו בהסדר הטיעון בעבירה של סיוע להפרת אמונים</w:t>
      </w:r>
      <w:r>
        <w:rPr>
          <w:rtl w:val="true"/>
        </w:rPr>
        <w:t xml:space="preserve">) </w:t>
      </w:r>
      <w:r>
        <w:rPr>
          <w:rtl w:val="true"/>
        </w:rPr>
        <w:t>נגזרו עונשי מאסר על תנאי וענישה כלכלית בלבד</w:t>
      </w:r>
      <w:r>
        <w:rPr>
          <w:rtl w:val="true"/>
        </w:rPr>
        <w:t xml:space="preserve">; </w:t>
      </w:r>
      <w:r>
        <w:rPr>
          <w:rtl w:val="true"/>
        </w:rPr>
        <w:t xml:space="preserve">ואילו על מקבלי השוחד </w:t>
      </w:r>
      <w:r>
        <w:rPr>
          <w:rtl w:val="true"/>
        </w:rPr>
        <w:t>–</w:t>
      </w:r>
      <w:r>
        <w:rPr>
          <w:rtl w:val="true"/>
        </w:rPr>
        <w:t xml:space="preserve"> המערערים </w:t>
      </w:r>
      <w:r>
        <w:rPr>
          <w:rtl w:val="true"/>
        </w:rPr>
        <w:t>–</w:t>
      </w:r>
      <w:r>
        <w:rPr>
          <w:rtl w:val="true"/>
        </w:rPr>
        <w:t xml:space="preserve"> נגזרו עונשי מאסר ממושכים מאחורי סורג ובריח</w:t>
      </w:r>
      <w:r>
        <w:rPr>
          <w:rtl w:val="true"/>
        </w:rPr>
        <w:t xml:space="preserve">. </w:t>
      </w:r>
      <w:r>
        <w:rPr>
          <w:rtl w:val="true"/>
        </w:rPr>
        <w:t>לפערים אלה יש ליתן משקל בבחינת עונש המאסר שיוטל על המערערים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חרטה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המערערים כפרו במיוחס להם וניהלו משפטם בערכאה הדיונית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בשלב הערעור שינו עמדתם ולקחו אחריות על העבירות שביצעו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כנפו הבהיר במסגרת חזרתו מערעורו על הכרעת הדין כי הוא מקבל בהרכנת ראש את הכרעת בית המשפט וכי הוא נוטל אחריות באופן גורף על כל המעשים שבהם הורשע</w:t>
      </w:r>
      <w:r>
        <w:rPr>
          <w:rtl w:val="true"/>
        </w:rPr>
        <w:t xml:space="preserve">; </w:t>
      </w:r>
      <w:r>
        <w:rPr>
          <w:rtl w:val="true"/>
        </w:rPr>
        <w:t xml:space="preserve">דרי מצדו ציין כי הוא נוטל אחריות מלאה על מעשיו ומכיר בכך שפעל שלא כדין </w:t>
      </w:r>
      <w:r>
        <w:rPr>
          <w:rtl w:val="true"/>
        </w:rPr>
        <w:t>(</w:t>
      </w:r>
      <w:r>
        <w:rPr>
          <w:rtl w:val="true"/>
        </w:rPr>
        <w:t xml:space="preserve">פרוטוקול הדיון מיום </w:t>
      </w:r>
      <w:r>
        <w:rPr/>
        <w:t>19.7.2023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9-7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33-30</w:t>
      </w:r>
      <w:r>
        <w:rPr>
          <w:rtl w:val="true"/>
        </w:rPr>
        <w:t xml:space="preserve">). </w:t>
      </w:r>
      <w:r>
        <w:rPr>
          <w:rtl w:val="true"/>
        </w:rPr>
        <w:t xml:space="preserve">החרטה ולקיחת האחריות מצד המערערים במקרה דנן </w:t>
      </w:r>
      <w:r>
        <w:rPr>
          <w:rtl w:val="true"/>
        </w:rPr>
        <w:t>–</w:t>
      </w:r>
      <w:r>
        <w:rPr>
          <w:rtl w:val="true"/>
        </w:rPr>
        <w:t xml:space="preserve"> גם אם נעשתה רק בשלב הערעור </w:t>
      </w:r>
      <w:r>
        <w:rPr>
          <w:rtl w:val="true"/>
        </w:rPr>
        <w:t>–</w:t>
      </w:r>
      <w:r>
        <w:rPr>
          <w:rtl w:val="true"/>
        </w:rPr>
        <w:t xml:space="preserve"> נושאת עמה ערך מסוים</w:t>
      </w:r>
      <w:r>
        <w:rPr>
          <w:rtl w:val="true"/>
        </w:rPr>
        <w:t xml:space="preserve">, </w:t>
      </w:r>
      <w:r>
        <w:rPr>
          <w:rtl w:val="true"/>
        </w:rPr>
        <w:t xml:space="preserve">הגם שברור כי אין מקום להשוואה בין קבלת אחריות בערכאה הדיונית לבין קבלת אחריות בשלב מאוחר זה </w:t>
      </w:r>
      <w:r>
        <w:rPr>
          <w:rtl w:val="true"/>
        </w:rPr>
        <w:t>(</w:t>
      </w:r>
      <w:r>
        <w:rPr>
          <w:rtl w:val="true"/>
        </w:rPr>
        <w:t>ראו והשוו ל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6934/21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פסקאות </w:t>
      </w:r>
      <w:r>
        <w:rPr>
          <w:rFonts w:cs="Century" w:ascii="Century" w:hAnsi="Century"/>
          <w:sz w:val="22"/>
        </w:rPr>
        <w:t>25-21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30.6.2022</w:t>
      </w:r>
      <w:r>
        <w:rPr>
          <w:rFonts w:cs="Century" w:ascii="Century" w:hAnsi="Century"/>
          <w:sz w:val="22"/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 xml:space="preserve">ולפסק הדין שלי ושל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באותו עניין</w:t>
      </w:r>
      <w:r>
        <w:rPr>
          <w:rtl w:val="true"/>
        </w:rPr>
        <w:t xml:space="preserve">; 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745/18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סעדון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פסקאות </w:t>
      </w:r>
      <w:r>
        <w:rPr>
          <w:rFonts w:cs="Century" w:ascii="Century" w:hAnsi="Century"/>
          <w:sz w:val="22"/>
        </w:rPr>
        <w:t>14-13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24.11.2020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מצאתי לזקוף לזכותם של המערערים את שינוי עמדתם בשלב זה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5405/21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24.8.2022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בעניינו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זיכויו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וגילו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ומצבו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הרפואי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בעניינו של דרי מתעוררות שתי נסיבות נוספות שמצדיקות הקלה בעונשו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 xml:space="preserve">יש ליתן משקל לזיכויו מעבירת מרמה והפרת אמונים באישום השביעי </w:t>
      </w:r>
      <w:r>
        <w:rPr>
          <w:rtl w:val="true"/>
        </w:rPr>
        <w:t>–</w:t>
      </w:r>
      <w:r>
        <w:rPr>
          <w:rtl w:val="true"/>
        </w:rPr>
        <w:t xml:space="preserve"> וברי כי לזיכוי זה יש משמעות בגזירת עונשו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יש לעמוד על גילו ועל מצבו הרפואי של דרי</w:t>
      </w:r>
      <w:r>
        <w:rPr>
          <w:rtl w:val="true"/>
        </w:rPr>
        <w:t xml:space="preserve">. </w:t>
      </w:r>
      <w:r>
        <w:rPr>
          <w:rtl w:val="true"/>
        </w:rPr>
        <w:t xml:space="preserve">דרי בן </w:t>
      </w:r>
      <w:r>
        <w:rPr/>
        <w:t>78</w:t>
      </w:r>
      <w:r>
        <w:rPr>
          <w:rtl w:val="true"/>
        </w:rPr>
        <w:t xml:space="preserve">, </w:t>
      </w:r>
      <w:r>
        <w:rPr>
          <w:rtl w:val="true"/>
        </w:rPr>
        <w:t xml:space="preserve">ובהתבסס על חוות דעת שהוגשו בבית המשפט המחוזי </w:t>
      </w:r>
      <w:r>
        <w:rPr>
          <w:rtl w:val="true"/>
        </w:rPr>
        <w:t>(</w:t>
      </w:r>
      <w:r>
        <w:rPr>
          <w:rtl w:val="true"/>
        </w:rPr>
        <w:t>וחקירת אחד מעורכי חוות הדעת</w:t>
      </w:r>
      <w:r>
        <w:rPr>
          <w:rtl w:val="true"/>
        </w:rPr>
        <w:t xml:space="preserve">) </w:t>
      </w:r>
      <w:r>
        <w:rPr>
          <w:rtl w:val="true"/>
        </w:rPr>
        <w:t>נקבע כי מצבו הקוגניטיבי אינו מן המשופרים</w:t>
      </w:r>
      <w:r>
        <w:rPr>
          <w:rtl w:val="true"/>
        </w:rPr>
        <w:t xml:space="preserve">. </w:t>
      </w:r>
      <w:r>
        <w:rPr>
          <w:rtl w:val="true"/>
        </w:rPr>
        <w:t>בית המשפט המחוזי מצא ליתן משקל למצבו הרפואי בגדר מתחם העונש שקבע</w:t>
      </w:r>
      <w:r>
        <w:rPr>
          <w:rtl w:val="true"/>
        </w:rPr>
        <w:t xml:space="preserve">, </w:t>
      </w:r>
      <w:r>
        <w:rPr>
          <w:rtl w:val="true"/>
        </w:rPr>
        <w:t>וציין בין היתר כי שירות בתי הסוהר קיבל לידיו את חוות הדעת שהוגשו</w:t>
      </w:r>
      <w:r>
        <w:rPr>
          <w:rtl w:val="true"/>
        </w:rPr>
        <w:t xml:space="preserve">, </w:t>
      </w:r>
      <w:r>
        <w:rPr>
          <w:rtl w:val="true"/>
        </w:rPr>
        <w:t>ומצא כי אין במצבו הבריאותי כדי להשליך על מהלך מאסרו או על יכולתו לשאת מאסר</w:t>
      </w:r>
      <w:r>
        <w:rPr>
          <w:rtl w:val="true"/>
        </w:rPr>
        <w:t xml:space="preserve">. </w:t>
      </w:r>
      <w:r>
        <w:rPr>
          <w:rtl w:val="true"/>
        </w:rPr>
        <w:t>במסגרת הדיון לפנינו ביקשו באי כוחו של דרי להגיש חוות דעת עדכנית</w:t>
      </w:r>
      <w:r>
        <w:rPr>
          <w:rtl w:val="true"/>
        </w:rPr>
        <w:t xml:space="preserve">, </w:t>
      </w:r>
      <w:r>
        <w:rPr>
          <w:rtl w:val="true"/>
        </w:rPr>
        <w:t>ובמסגרת הדיון</w:t>
      </w:r>
      <w:r>
        <w:rPr>
          <w:rtl w:val="true"/>
        </w:rPr>
        <w:t xml:space="preserve">, </w:t>
      </w:r>
      <w:r>
        <w:rPr>
          <w:rtl w:val="true"/>
        </w:rPr>
        <w:t>לאחר שמיעת הסתייגות המדינה מהגשתה</w:t>
      </w:r>
      <w:r>
        <w:rPr>
          <w:rtl w:val="true"/>
        </w:rPr>
        <w:t xml:space="preserve">, </w:t>
      </w:r>
      <w:r>
        <w:rPr>
          <w:rtl w:val="true"/>
        </w:rPr>
        <w:t>החלטנו לעיין בה</w:t>
      </w:r>
      <w:r>
        <w:rPr>
          <w:rtl w:val="true"/>
        </w:rPr>
        <w:t xml:space="preserve">. </w:t>
      </w:r>
      <w:r>
        <w:rPr>
          <w:rtl w:val="true"/>
        </w:rPr>
        <w:t xml:space="preserve">העולה ממנה </w:t>
      </w:r>
      <w:r>
        <w:rPr>
          <w:rtl w:val="true"/>
        </w:rPr>
        <w:t>–</w:t>
      </w:r>
      <w:r>
        <w:rPr>
          <w:rtl w:val="true"/>
        </w:rPr>
        <w:t xml:space="preserve"> מבלי להאריך שלא לצורך </w:t>
      </w:r>
      <w:r>
        <w:rPr>
          <w:rtl w:val="true"/>
        </w:rPr>
        <w:t>–</w:t>
      </w:r>
      <w:r>
        <w:rPr>
          <w:rtl w:val="true"/>
        </w:rPr>
        <w:t xml:space="preserve"> הוא שלדרי ירידה קוגניטיבית נמשכת והדרגתית </w:t>
      </w:r>
      <w:r>
        <w:rPr>
          <w:rtl w:val="true"/>
        </w:rPr>
        <w:t>(</w:t>
      </w:r>
      <w:r>
        <w:rPr>
          <w:rtl w:val="true"/>
        </w:rPr>
        <w:t>שהחמירה</w:t>
      </w:r>
      <w:r>
        <w:rPr>
          <w:rtl w:val="true"/>
        </w:rPr>
        <w:t xml:space="preserve">) </w:t>
      </w:r>
      <w:r>
        <w:rPr>
          <w:rtl w:val="true"/>
        </w:rPr>
        <w:t>וכי הוא נזקק לעזרה גם בתפקוד יומיומי</w:t>
      </w:r>
      <w:r>
        <w:rPr>
          <w:rtl w:val="true"/>
        </w:rPr>
        <w:t xml:space="preserve">. </w:t>
      </w:r>
      <w:r>
        <w:rPr>
          <w:rtl w:val="true"/>
        </w:rPr>
        <w:t>התנגדות המדינה להגשת חוות הדעת נשענה על כך שלא יתאפשר למדינה לחקור את ד</w:t>
      </w:r>
      <w:r>
        <w:rPr>
          <w:rtl w:val="true"/>
        </w:rPr>
        <w:t>"</w:t>
      </w:r>
      <w:r>
        <w:rPr>
          <w:rtl w:val="true"/>
        </w:rPr>
        <w:t>ר פרלוב שערכה אותה</w:t>
      </w:r>
      <w:r>
        <w:rPr>
          <w:rtl w:val="true"/>
        </w:rPr>
        <w:t xml:space="preserve">. </w:t>
      </w:r>
      <w:r>
        <w:rPr>
          <w:rtl w:val="true"/>
        </w:rPr>
        <w:t xml:space="preserve">בהקשר זה יש לציין כי בית המשפט המחוזי קבע בגזר הדין כי האמור באחת מחוות הדעת שהגיש דרי </w:t>
      </w:r>
      <w:r>
        <w:rPr>
          <w:rtl w:val="true"/>
        </w:rPr>
        <w:t>(</w:t>
      </w:r>
      <w:r>
        <w:rPr>
          <w:rtl w:val="true"/>
        </w:rPr>
        <w:t>שנערכה על ידי ד</w:t>
      </w:r>
      <w:r>
        <w:rPr>
          <w:rtl w:val="true"/>
        </w:rPr>
        <w:t>"</w:t>
      </w:r>
      <w:r>
        <w:rPr>
          <w:rtl w:val="true"/>
        </w:rPr>
        <w:t>ר איגור ברש</w:t>
      </w:r>
      <w:r>
        <w:rPr>
          <w:rtl w:val="true"/>
        </w:rPr>
        <w:t xml:space="preserve">, </w:t>
      </w:r>
      <w:r>
        <w:rPr>
          <w:rtl w:val="true"/>
        </w:rPr>
        <w:t>שנחקר בבית המשפט</w:t>
      </w:r>
      <w:r>
        <w:rPr>
          <w:rtl w:val="true"/>
        </w:rPr>
        <w:t xml:space="preserve">) </w:t>
      </w:r>
      <w:r>
        <w:rPr>
          <w:rtl w:val="true"/>
        </w:rPr>
        <w:t xml:space="preserve">מופרז ואינו משקף לאשורו את מצבו הקוגניטיבי של דרי </w:t>
      </w:r>
      <w:r>
        <w:rPr>
          <w:rtl w:val="true"/>
        </w:rPr>
        <w:t>(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לגזר הדין</w:t>
      </w:r>
      <w:r>
        <w:rPr>
          <w:rtl w:val="true"/>
        </w:rPr>
        <w:t xml:space="preserve">).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יובהר כי דרי שימש עד לאחרונה חבר ועד מנהל במכללה</w:t>
      </w:r>
      <w:r>
        <w:rPr>
          <w:rtl w:val="true"/>
        </w:rPr>
        <w:t xml:space="preserve">; </w:t>
      </w:r>
      <w:r>
        <w:rPr>
          <w:rtl w:val="true"/>
        </w:rPr>
        <w:t>וכי רישיון הנהיגה שלו עודנו בתוקף</w:t>
      </w:r>
      <w:r>
        <w:rPr>
          <w:rtl w:val="true"/>
        </w:rPr>
        <w:t xml:space="preserve">. </w:t>
      </w:r>
      <w:r>
        <w:rPr>
          <w:rtl w:val="true"/>
        </w:rPr>
        <w:t>באי כוחו של דרי ביקשו לטעון כי נוכח מצבו הרפואי</w:t>
      </w:r>
      <w:r>
        <w:rPr>
          <w:rtl w:val="true"/>
        </w:rPr>
        <w:t xml:space="preserve">, </w:t>
      </w:r>
      <w:r>
        <w:rPr>
          <w:rtl w:val="true"/>
        </w:rPr>
        <w:t xml:space="preserve">יש לראות במקרה דנן באחד מאותם מקרים חריגים שמצדיקים הימנעות מהשתת מאסר בפועל </w:t>
      </w:r>
      <w:r>
        <w:rPr>
          <w:rtl w:val="true"/>
        </w:rPr>
        <w:t>(</w:t>
      </w:r>
      <w:r>
        <w:rPr>
          <w:rtl w:val="true"/>
        </w:rPr>
        <w:t>או למצער לחרוג ממתחם הענישה מטעמי צדק</w:t>
      </w:r>
      <w:r>
        <w:rPr>
          <w:rtl w:val="true"/>
        </w:rPr>
        <w:t xml:space="preserve">;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 הפנייה לפסק דיני ב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5669/14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לופוליאנסקי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221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29.12.2015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לופוליאנסקי</w:t>
      </w:r>
      <w:r>
        <w:rPr>
          <w:rtl w:val="true"/>
        </w:rPr>
        <w:t xml:space="preserve">)).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לאחר שעיינתי במסמכים הרפואיים ובטענות הצדדים</w:t>
      </w:r>
      <w:r>
        <w:rPr>
          <w:rtl w:val="true"/>
        </w:rPr>
        <w:t xml:space="preserve">, </w:t>
      </w:r>
      <w:r>
        <w:rPr>
          <w:rtl w:val="true"/>
        </w:rPr>
        <w:t>איני סבור שיש מקום לסטות מקביעות בית המשפט המחוזי ביחס למצבו הרפואי של דרי ולהשלכות מצב זה על הענישה במקרה דנן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איני סבור שהמקרה דנן בא בגדרי אותם מקרים חריגים שבהם מצבו הרפואי של מי שהורשע בדין מצדיק הימנעות מהשתת מאסר בפועל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עצם הטענה כי מי שהורשע בדין סובל מבעיות רפואיות אין בכוחה כדי למנוע השתת עונש מאסר בפועל</w:t>
      </w:r>
      <w:r>
        <w:rPr>
          <w:rtl w:val="true"/>
        </w:rPr>
        <w:t xml:space="preserve">. </w:t>
      </w:r>
      <w:r>
        <w:rPr>
          <w:rtl w:val="true"/>
        </w:rPr>
        <w:t xml:space="preserve">כפי שציינתי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לופוליאנסקי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גם נאשם החולה במחלה קשה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או כזה שהמאסר יסב לו סבל רב וייחודי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עלול להישלח לשאת בעונש מאסר בפועל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מאחורי סורג ובריח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הדברים נכונים גם כאשר עסקינן במי שמצבו הבריאותי רעוע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cs="FrankRuehl" w:ascii="FrankRuehl" w:hAnsi="FrankRuehl"/>
          <w:sz w:val="28"/>
          <w:rtl w:val="true"/>
        </w:rPr>
        <w:t>[...]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כאשר עסקינן במצב רפואי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ככלל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הנחת המוצא היא כי גורמי הרפואה בשירות בתי הסוהר ערוכים לטפל באסירים במצבים רפואיים שונים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כולל כאלה שאינם פשוטים כלל ועיקר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222</w:t>
      </w:r>
      <w:r>
        <w:rPr>
          <w:rtl w:val="true"/>
        </w:rPr>
        <w:t xml:space="preserve">;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 דיני בגזרי הדין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ומחריף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7453/09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16.3.2011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האיזון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ויודגש</w:t>
      </w:r>
      <w:r>
        <w:rPr>
          <w:rtl w:val="true"/>
        </w:rPr>
        <w:t xml:space="preserve">: </w:t>
      </w:r>
      <w:r>
        <w:rPr>
          <w:rtl w:val="true"/>
        </w:rPr>
        <w:t>לא בנקל אנו מורים כי אדם בגילו של דרי</w:t>
      </w:r>
      <w:r>
        <w:rPr>
          <w:rtl w:val="true"/>
        </w:rPr>
        <w:t xml:space="preserve">, </w:t>
      </w:r>
      <w:r>
        <w:rPr>
          <w:rtl w:val="true"/>
        </w:rPr>
        <w:t>שבריאותו לקויה</w:t>
      </w:r>
      <w:r>
        <w:rPr>
          <w:rtl w:val="true"/>
        </w:rPr>
        <w:t xml:space="preserve">, </w:t>
      </w:r>
      <w:r>
        <w:rPr>
          <w:rtl w:val="true"/>
        </w:rPr>
        <w:t>יישא במאסר ממושך מאחורי סורג ובריח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טיבן של העבירות שבהן הורשע דרי והאינטרס הציבורי במלחמה בשחיתות מחייבים תוצאה זו</w:t>
      </w:r>
      <w:r>
        <w:rPr>
          <w:rtl w:val="true"/>
        </w:rPr>
        <w:t xml:space="preserve">. </w:t>
      </w:r>
      <w:r>
        <w:rPr>
          <w:rtl w:val="true"/>
        </w:rPr>
        <w:t>לצד זאת נציין כי אם חלילה יחולו תמורות במצב בריאותו של דרי</w:t>
      </w:r>
      <w:r>
        <w:rPr>
          <w:rtl w:val="true"/>
        </w:rPr>
        <w:t xml:space="preserve">, </w:t>
      </w:r>
      <w:r>
        <w:rPr>
          <w:rtl w:val="true"/>
        </w:rPr>
        <w:t>וככל שתהיה לכך עילה</w:t>
      </w:r>
      <w:r>
        <w:rPr>
          <w:rtl w:val="true"/>
        </w:rPr>
        <w:t xml:space="preserve">, </w:t>
      </w:r>
      <w:r>
        <w:rPr>
          <w:rtl w:val="true"/>
        </w:rPr>
        <w:t xml:space="preserve">עומדת לו על פי דין הזכות לפנות בבקשה לשחרור על תנאי ממאסר </w:t>
      </w:r>
      <w:r>
        <w:rPr>
          <w:rtl w:val="true"/>
        </w:rPr>
        <w:t>(</w:t>
      </w:r>
      <w:hyperlink r:id="rId6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שחרור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תנאי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ממאסר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2001</w:t>
      </w:r>
      <w:r>
        <w:rPr>
          <w:rtl w:val="true"/>
        </w:rPr>
        <w:t xml:space="preserve">; 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הערעור על גזרי הדין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12</w:t>
      </w:r>
      <w:r>
        <w:rPr>
          <w:rtl w:val="true"/>
        </w:rPr>
        <w:t>).</w:t>
      </w:r>
    </w:p>
    <w:p>
      <w:pPr>
        <w:pStyle w:val="Normal"/>
        <w:overflowPunct w:val="true"/>
        <w:autoSpaceDE w:val="true"/>
        <w:bidi w:val="0"/>
        <w:jc w:val="start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</w:rPr>
      </w:r>
    </w:p>
    <w:p>
      <w:pPr>
        <w:pStyle w:val="Normal"/>
        <w:overflowPunct w:val="true"/>
        <w:autoSpaceDE w:val="true"/>
        <w:bidi w:val="0"/>
        <w:jc w:val="start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יתר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רכיבי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הענישה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לא ראיתי להתערב ביתר רכיבי הענישה שהוטלו על המערערים</w:t>
      </w:r>
      <w:r>
        <w:rPr>
          <w:rtl w:val="true"/>
        </w:rPr>
        <w:t xml:space="preserve">. </w:t>
      </w:r>
      <w:r>
        <w:rPr>
          <w:rtl w:val="true"/>
        </w:rPr>
        <w:t xml:space="preserve">בהקשר זה יצוין כי מרבית טענותיהם </w:t>
      </w:r>
      <w:r>
        <w:rPr>
          <w:rtl w:val="true"/>
        </w:rPr>
        <w:t>(</w:t>
      </w:r>
      <w:r>
        <w:rPr>
          <w:rtl w:val="true"/>
        </w:rPr>
        <w:t>הכתובות ובעל פה</w:t>
      </w:r>
      <w:r>
        <w:rPr>
          <w:rtl w:val="true"/>
        </w:rPr>
        <w:t xml:space="preserve">) </w:t>
      </w:r>
      <w:r>
        <w:rPr>
          <w:rtl w:val="true"/>
        </w:rPr>
        <w:t>של דרי וכנפו כוונו לעונשי המאסר בפועל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tl w:val="true"/>
        </w:rPr>
        <w:t xml:space="preserve">, </w:t>
      </w:r>
      <w:r>
        <w:rPr>
          <w:rtl w:val="true"/>
        </w:rPr>
        <w:t xml:space="preserve">לא עלה בידי המערערים להצביע על עילה להתערבותנו בגזר הדין של בית המשפט המחוזי בכל הנוגע לרכיבי הענישה האחרים </w:t>
      </w:r>
      <w:r>
        <w:rPr>
          <w:rtl w:val="true"/>
        </w:rPr>
        <w:t>(</w:t>
      </w:r>
      <w:r>
        <w:rPr>
          <w:rtl w:val="true"/>
        </w:rPr>
        <w:t xml:space="preserve">ואציין כי הדבר אמור גם בכל הנוגע לקנס שהוטל על </w:t>
      </w:r>
      <w:r>
        <w:rPr>
          <w:rtl w:val="true"/>
        </w:rPr>
        <w:t>חברת</w:t>
      </w:r>
      <w:r>
        <w:rPr>
          <w:rtl w:val="true"/>
        </w:rPr>
        <w:t xml:space="preserve"> </w:t>
      </w:r>
      <w:r>
        <w:rPr>
          <w:rtl w:val="true"/>
        </w:rPr>
        <w:t>כד</w:t>
      </w:r>
      <w:r>
        <w:rPr>
          <w:rtl w:val="true"/>
        </w:rPr>
        <w:t>-</w:t>
      </w:r>
      <w:r>
        <w:rPr>
          <w:rtl w:val="true"/>
        </w:rPr>
        <w:t>גל</w:t>
      </w:r>
      <w:r>
        <w:rPr>
          <w:rtl w:val="true"/>
        </w:rPr>
        <w:t xml:space="preserve">, </w:t>
      </w:r>
      <w:r>
        <w:rPr>
          <w:rtl w:val="true"/>
        </w:rPr>
        <w:t>שצוינה כמערערת בערעור דרי</w:t>
      </w:r>
      <w:r>
        <w:rPr>
          <w:rtl w:val="true"/>
        </w:rPr>
        <w:t xml:space="preserve">). </w:t>
      </w:r>
      <w:r>
        <w:rPr>
          <w:rtl w:val="true"/>
        </w:rPr>
        <w:t>בצד זאת</w:t>
      </w:r>
      <w:r>
        <w:rPr>
          <w:rtl w:val="true"/>
        </w:rPr>
        <w:t xml:space="preserve">, </w:t>
      </w:r>
      <w:r>
        <w:rPr>
          <w:rtl w:val="true"/>
        </w:rPr>
        <w:t>מצאתי להתייחס בתמצית לטענות שהשמיע דרי ביחס לחילוט שנקבע בגזר הדין</w:t>
      </w:r>
      <w:r>
        <w:rPr>
          <w:rtl w:val="true"/>
        </w:rPr>
        <w:t xml:space="preserve">.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בית המשפט עמד בהקשר זה על כך שבקשת החילוט של המדינה הייתה פחותה משמעותית מהסכום שאותו יש לחלט על פי חוק</w:t>
      </w:r>
      <w:r>
        <w:rPr>
          <w:rtl w:val="true"/>
        </w:rPr>
        <w:t xml:space="preserve">, </w:t>
      </w:r>
      <w:r>
        <w:rPr>
          <w:rtl w:val="true"/>
        </w:rPr>
        <w:t xml:space="preserve">ובנסיבות אלו מצא להורות על חילוט מחצית משווי דירת המגורים של דרי ושל אשתו </w:t>
      </w:r>
      <w:r>
        <w:rPr>
          <w:rtl w:val="true"/>
        </w:rPr>
        <w:t>(</w:t>
      </w:r>
      <w:r>
        <w:rPr/>
        <w:t>1.375</w:t>
      </w:r>
      <w:r>
        <w:rPr>
          <w:rtl w:val="true"/>
        </w:rPr>
        <w:t xml:space="preserve"> </w:t>
      </w:r>
      <w:r>
        <w:rPr>
          <w:rtl w:val="true"/>
        </w:rPr>
        <w:t>מיליון 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  <w:r>
        <w:rPr>
          <w:rtl w:val="true"/>
        </w:rPr>
        <w:t>טענותיו של דרי התמקדו</w:t>
      </w:r>
      <w:r>
        <w:rPr>
          <w:rtl w:val="true"/>
        </w:rPr>
        <w:t xml:space="preserve">, </w:t>
      </w:r>
      <w:r>
        <w:rPr>
          <w:rtl w:val="true"/>
        </w:rPr>
        <w:t>בעיקרם של דברים</w:t>
      </w:r>
      <w:r>
        <w:rPr>
          <w:rtl w:val="true"/>
        </w:rPr>
        <w:t xml:space="preserve">, </w:t>
      </w:r>
      <w:r>
        <w:rPr>
          <w:rtl w:val="true"/>
        </w:rPr>
        <w:t>בפגיעה האפשרית באשתו</w:t>
      </w:r>
      <w:r>
        <w:rPr>
          <w:rtl w:val="true"/>
        </w:rPr>
        <w:t xml:space="preserve">, </w:t>
      </w:r>
      <w:r>
        <w:rPr>
          <w:rtl w:val="true"/>
        </w:rPr>
        <w:t xml:space="preserve">שתאלץ </w:t>
      </w:r>
      <w:r>
        <w:rPr>
          <w:rtl w:val="true"/>
        </w:rPr>
        <w:t>–</w:t>
      </w:r>
      <w:r>
        <w:rPr>
          <w:rtl w:val="true"/>
        </w:rPr>
        <w:t xml:space="preserve"> בגילה </w:t>
      </w:r>
      <w:r>
        <w:rPr>
          <w:rtl w:val="true"/>
        </w:rPr>
        <w:t>–</w:t>
      </w:r>
      <w:r>
        <w:rPr>
          <w:rtl w:val="true"/>
        </w:rPr>
        <w:t xml:space="preserve"> למכור את דירת מגוריה ולחפש דירה חדשה</w:t>
      </w:r>
      <w:r>
        <w:rPr>
          <w:rtl w:val="true"/>
        </w:rPr>
        <w:t xml:space="preserve">. </w:t>
      </w:r>
      <w:r>
        <w:rPr>
          <w:rtl w:val="true"/>
        </w:rPr>
        <w:t>הגם שלא מצאתי שטענותיו של דרי מוליכות להתערבות בגובה החילוט</w:t>
      </w:r>
      <w:r>
        <w:rPr>
          <w:rtl w:val="true"/>
        </w:rPr>
        <w:t xml:space="preserve">, </w:t>
      </w:r>
      <w:r>
        <w:rPr>
          <w:rtl w:val="true"/>
        </w:rPr>
        <w:t>ראיתי להאריך את המועד למכירת הנכס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מצאתי להורות שמכירת הנכס וחילוט מחצית משוויו יבוצעו בעוד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חודשים מהיום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תקופת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הארכה</w:t>
      </w:r>
      <w:r>
        <w:rPr>
          <w:rtl w:val="true"/>
        </w:rPr>
        <w:t xml:space="preserve">). </w:t>
      </w:r>
      <w:r>
        <w:rPr>
          <w:rtl w:val="true"/>
        </w:rPr>
        <w:t xml:space="preserve">לדרי נתונה האפשרות לשלם לקופת המדינה במהלך תקופת הארכה את סכום החילוט </w:t>
      </w:r>
      <w:r>
        <w:rPr>
          <w:rtl w:val="true"/>
        </w:rPr>
        <w:t>(</w:t>
      </w:r>
      <w:r>
        <w:rPr/>
        <w:t>1.375</w:t>
      </w:r>
      <w:r>
        <w:rPr>
          <w:rtl w:val="true"/>
        </w:rPr>
        <w:t xml:space="preserve"> </w:t>
      </w:r>
      <w:r>
        <w:rPr>
          <w:rtl w:val="true"/>
        </w:rPr>
        <w:t>מיליון 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), </w:t>
      </w:r>
      <w:r>
        <w:rPr>
          <w:rtl w:val="true"/>
        </w:rPr>
        <w:t>במקום חילוט הנכס</w:t>
      </w:r>
      <w:r>
        <w:rPr>
          <w:rtl w:val="true"/>
        </w:rPr>
        <w:t xml:space="preserve">. </w:t>
      </w:r>
      <w:r>
        <w:rPr>
          <w:rtl w:val="true"/>
        </w:rPr>
        <w:t>ואעיר במאמר מוסגר ובשולי הדברים כי ניתן לבחון קיומם של הסדרים כלכליים שעשויים לאפשר את תשלום הסכום ואת הישארותה של אשתו של דרי בדירת המגורים עד לאחר אריכות ימיה</w:t>
      </w:r>
      <w:r>
        <w:rPr>
          <w:rtl w:val="true"/>
        </w:rPr>
        <w:t xml:space="preserve">. </w:t>
      </w:r>
      <w:r>
        <w:rPr>
          <w:rtl w:val="true"/>
        </w:rPr>
        <w:t>הנחתי היא כי דרי בסיוע באי כוחו יוכלו לערוך בחינה כאמור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נוכח כל האמור לעיל</w:t>
      </w:r>
      <w:r>
        <w:rPr>
          <w:rtl w:val="true"/>
        </w:rPr>
        <w:t xml:space="preserve">, </w:t>
      </w:r>
      <w:r>
        <w:rPr>
          <w:rtl w:val="true"/>
        </w:rPr>
        <w:t>מצאתי כי שיקולי חלוף הזמן</w:t>
      </w:r>
      <w:r>
        <w:rPr>
          <w:rtl w:val="true"/>
        </w:rPr>
        <w:t xml:space="preserve">, </w:t>
      </w:r>
      <w:r>
        <w:rPr>
          <w:rtl w:val="true"/>
        </w:rPr>
        <w:t>אחידות הענישה ולקיחת אחריות מוליכים להקלה מסוימת בעונשם של המערערים</w:t>
      </w:r>
      <w:r>
        <w:rPr>
          <w:rtl w:val="true"/>
        </w:rPr>
        <w:t xml:space="preserve">. </w:t>
      </w:r>
      <w:r>
        <w:rPr>
          <w:rtl w:val="true"/>
        </w:rPr>
        <w:t>לכך מצטרפים</w:t>
      </w:r>
      <w:r>
        <w:rPr>
          <w:rtl w:val="true"/>
        </w:rPr>
        <w:t xml:space="preserve">, </w:t>
      </w:r>
      <w:r>
        <w:rPr>
          <w:rtl w:val="true"/>
        </w:rPr>
        <w:t>בעניינו של דרי גם גילו ומצבו הרפואי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אציע לחבריי להעמיד את עונשי המאסר בפועל של שני המערערים על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 כל אחד</w:t>
      </w:r>
      <w:r>
        <w:rPr>
          <w:rtl w:val="true"/>
        </w:rPr>
        <w:t xml:space="preserve">, </w:t>
      </w:r>
      <w:r>
        <w:rPr>
          <w:rtl w:val="true"/>
        </w:rPr>
        <w:t xml:space="preserve">בניכוי ימי מעצרם </w:t>
      </w:r>
      <w:r>
        <w:rPr>
          <w:rtl w:val="true"/>
        </w:rPr>
        <w:t>(</w:t>
      </w:r>
      <w:r>
        <w:rPr>
          <w:rtl w:val="true"/>
        </w:rPr>
        <w:t xml:space="preserve">חלף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 בעניינו של כנפו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 בעניינו של דרי</w:t>
      </w:r>
      <w:r>
        <w:rPr>
          <w:rtl w:val="true"/>
        </w:rPr>
        <w:t xml:space="preserve">). </w:t>
      </w:r>
      <w:r>
        <w:rPr>
          <w:rtl w:val="true"/>
        </w:rPr>
        <w:t>אעיר כי הגם שמצאתי להטיל על כנפו ודרי עונשי מאסר בפועל באורך זהה</w:t>
      </w:r>
      <w:r>
        <w:rPr>
          <w:rtl w:val="true"/>
        </w:rPr>
        <w:t xml:space="preserve">, </w:t>
      </w:r>
      <w:r>
        <w:rPr>
          <w:rtl w:val="true"/>
        </w:rPr>
        <w:t>אין בכך כדי ללמד כי חומרת מעשיהם דומה</w:t>
      </w:r>
      <w:r>
        <w:rPr>
          <w:rtl w:val="true"/>
        </w:rPr>
        <w:t xml:space="preserve">. </w:t>
      </w:r>
      <w:r>
        <w:rPr>
          <w:rtl w:val="true"/>
        </w:rPr>
        <w:t>מעשיו של דרי מבטאים חומרה יתרה ביחס לכנפו</w:t>
      </w:r>
      <w:r>
        <w:rPr>
          <w:rtl w:val="true"/>
        </w:rPr>
        <w:t xml:space="preserve">, </w:t>
      </w:r>
      <w:r>
        <w:rPr>
          <w:rtl w:val="true"/>
        </w:rPr>
        <w:t>בין היתר במספר עבירות השוחד</w:t>
      </w:r>
      <w:r>
        <w:rPr>
          <w:rtl w:val="true"/>
        </w:rPr>
        <w:t xml:space="preserve">, </w:t>
      </w:r>
      <w:r>
        <w:rPr>
          <w:rtl w:val="true"/>
        </w:rPr>
        <w:t>בשווי השוחד</w:t>
      </w:r>
      <w:r>
        <w:rPr>
          <w:rtl w:val="true"/>
        </w:rPr>
        <w:t xml:space="preserve">, </w:t>
      </w:r>
      <w:r>
        <w:rPr>
          <w:rtl w:val="true"/>
        </w:rPr>
        <w:t xml:space="preserve">בכך שחלק מעבירות השוחד שבהן הורשע בוצעו לאחר כניסתו לתוקף של תיקון </w:t>
      </w:r>
      <w:r>
        <w:rPr/>
        <w:t>103</w:t>
      </w:r>
      <w:r>
        <w:rPr>
          <w:rtl w:val="true"/>
        </w:rPr>
        <w:t xml:space="preserve">, </w:t>
      </w:r>
      <w:r>
        <w:rPr>
          <w:rtl w:val="true"/>
        </w:rPr>
        <w:t xml:space="preserve">ובכך שדרי הורשע גם בעבירות לפי </w:t>
      </w:r>
      <w:hyperlink r:id="rId6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 ו</w:t>
      </w:r>
      <w:hyperlink r:id="rId6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. </w:t>
      </w:r>
      <w:r>
        <w:rPr>
          <w:rtl w:val="true"/>
        </w:rPr>
        <w:t>חרף האמור</w:t>
      </w:r>
      <w:r>
        <w:rPr>
          <w:rtl w:val="true"/>
        </w:rPr>
        <w:t xml:space="preserve">, </w:t>
      </w:r>
      <w:r>
        <w:rPr>
          <w:rtl w:val="true"/>
        </w:rPr>
        <w:t>מצבו הרפואי וגילו של דרי הוליכו לענישה שאותה אני מציע</w:t>
      </w:r>
      <w:r>
        <w:rPr>
          <w:rtl w:val="true"/>
        </w:rPr>
        <w:t xml:space="preserve">, </w:t>
      </w:r>
      <w:r>
        <w:rPr>
          <w:rtl w:val="true"/>
        </w:rPr>
        <w:t>אשר מקרינה גם על עניינו של כנפו</w:t>
      </w:r>
      <w:r>
        <w:rPr>
          <w:rtl w:val="true"/>
        </w:rPr>
        <w:t xml:space="preserve">. </w:t>
      </w:r>
      <w:r>
        <w:rPr>
          <w:rtl w:val="true"/>
        </w:rPr>
        <w:t xml:space="preserve">לכך יש להוסיף כי יתר רכיבי הענישה </w:t>
      </w:r>
      <w:r>
        <w:rPr>
          <w:rtl w:val="true"/>
        </w:rPr>
        <w:t>–</w:t>
      </w:r>
      <w:r>
        <w:rPr>
          <w:rtl w:val="true"/>
        </w:rPr>
        <w:t xml:space="preserve"> שנותרו כאמור בעינם </w:t>
      </w:r>
      <w:r>
        <w:rPr>
          <w:rtl w:val="true"/>
        </w:rPr>
        <w:t>–</w:t>
      </w:r>
      <w:r>
        <w:rPr>
          <w:rtl w:val="true"/>
        </w:rPr>
        <w:t xml:space="preserve"> מבטאים אף הם את השונות בין העבירות שבהן הורשעו השניים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המערערים שלפנינו הורשעו בפרשת שחיתות חמורה שקשורה בהפעלת אחת מהסמכויות הרגישות ביותר של השלטון המקומי </w:t>
      </w:r>
      <w:r>
        <w:rPr>
          <w:rtl w:val="true"/>
        </w:rPr>
        <w:t>–</w:t>
      </w:r>
      <w:r>
        <w:rPr>
          <w:rtl w:val="true"/>
        </w:rPr>
        <w:t xml:space="preserve"> הליכי התכנון והבניה</w:t>
      </w:r>
      <w:r>
        <w:rPr>
          <w:rtl w:val="true"/>
        </w:rPr>
        <w:t xml:space="preserve">. </w:t>
      </w:r>
      <w:r>
        <w:rPr>
          <w:rtl w:val="true"/>
        </w:rPr>
        <w:t>בעבור בצע כסף פעלו המערערים לקידום ענייניהם של יזמים ובעלי אינטרסים בתחום העירייה</w:t>
      </w:r>
      <w:r>
        <w:rPr>
          <w:rtl w:val="true"/>
        </w:rPr>
        <w:t xml:space="preserve">, </w:t>
      </w:r>
      <w:r>
        <w:rPr>
          <w:rtl w:val="true"/>
        </w:rPr>
        <w:t>העניקו להם תמורה ממשית תוך סטייה מן השורה</w:t>
      </w:r>
      <w:r>
        <w:rPr>
          <w:rtl w:val="true"/>
        </w:rPr>
        <w:t xml:space="preserve">. </w:t>
      </w:r>
      <w:r>
        <w:rPr>
          <w:rtl w:val="true"/>
        </w:rPr>
        <w:t>בפעולות אלו פגעו בדמותו של השירות הציבורי בכלל ובמאטריה הרגישה של הליכי תכנון בפרט</w:t>
      </w:r>
      <w:r>
        <w:rPr>
          <w:rtl w:val="true"/>
        </w:rPr>
        <w:t xml:space="preserve">. </w:t>
      </w:r>
      <w:r>
        <w:rPr>
          <w:rtl w:val="true"/>
        </w:rPr>
        <w:t>עבירות אלו מצדיקות הטלת עונשי מאסר ממושכים</w:t>
      </w:r>
      <w:r>
        <w:rPr>
          <w:rtl w:val="true"/>
        </w:rPr>
        <w:t xml:space="preserve">, </w:t>
      </w:r>
      <w:r>
        <w:rPr>
          <w:rtl w:val="true"/>
        </w:rPr>
        <w:t>וכך אכן קבע בית המשפט המחוזי במקרה שלפנינו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השיקולים שפרטנו לעיל</w:t>
      </w:r>
      <w:r>
        <w:rPr>
          <w:rtl w:val="true"/>
        </w:rPr>
        <w:t xml:space="preserve">, </w:t>
      </w:r>
      <w:r>
        <w:rPr>
          <w:rtl w:val="true"/>
        </w:rPr>
        <w:t>ובהם נטילת האחריות של המערערים על מעשיהם</w:t>
      </w:r>
      <w:r>
        <w:rPr>
          <w:rtl w:val="true"/>
        </w:rPr>
        <w:t xml:space="preserve">, </w:t>
      </w:r>
      <w:r>
        <w:rPr>
          <w:rtl w:val="true"/>
        </w:rPr>
        <w:t>חלוף הזמן ואחידות הענישה</w:t>
      </w:r>
      <w:r>
        <w:rPr>
          <w:rtl w:val="true"/>
        </w:rPr>
        <w:t xml:space="preserve">, </w:t>
      </w:r>
      <w:r>
        <w:rPr>
          <w:rtl w:val="true"/>
        </w:rPr>
        <w:t xml:space="preserve">כמו גם גילו ומצבו הרפואי של דרי מוליכים למסקנה כי יש להקל </w:t>
      </w:r>
      <w:r>
        <w:rPr>
          <w:rtl w:val="true"/>
        </w:rPr>
        <w:t>–</w:t>
      </w:r>
      <w:r>
        <w:rPr>
          <w:rtl w:val="true"/>
        </w:rPr>
        <w:t xml:space="preserve"> במידת מה </w:t>
      </w:r>
      <w:r>
        <w:rPr>
          <w:rtl w:val="true"/>
        </w:rPr>
        <w:t>–</w:t>
      </w:r>
      <w:r>
        <w:rPr>
          <w:rtl w:val="true"/>
        </w:rPr>
        <w:t xml:space="preserve"> בענשם של המערערים</w:t>
      </w:r>
      <w:r>
        <w:rPr>
          <w:rtl w:val="true"/>
        </w:rPr>
        <w:t xml:space="preserve">, </w:t>
      </w:r>
      <w:r>
        <w:rPr>
          <w:rtl w:val="true"/>
        </w:rPr>
        <w:t>וכך אציע לחבריי לעשות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לו תישמע דעתי ערעורו של כנפו על גזר הדין יתקבל</w:t>
      </w:r>
      <w:r>
        <w:rPr>
          <w:rtl w:val="true"/>
        </w:rPr>
        <w:t xml:space="preserve">, </w:t>
      </w:r>
      <w:r>
        <w:rPr>
          <w:rtl w:val="true"/>
        </w:rPr>
        <w:t xml:space="preserve">במובן זה שעונש המאסר בפועל שהוטל עליו יועמד על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 xml:space="preserve">. </w:t>
      </w:r>
      <w:r>
        <w:rPr>
          <w:rtl w:val="true"/>
        </w:rPr>
        <w:t>יתר רכיבי הענישה שהוטלו עליו בגזר הדין יוותרו ללא שינוי</w:t>
      </w:r>
      <w:r>
        <w:rPr>
          <w:rtl w:val="true"/>
        </w:rPr>
        <w:t xml:space="preserve">. </w:t>
      </w:r>
      <w:r>
        <w:rPr>
          <w:rtl w:val="true"/>
        </w:rPr>
        <w:t>ערעורו של דרי על גזר הדין יתקבל</w:t>
      </w:r>
      <w:r>
        <w:rPr>
          <w:rtl w:val="true"/>
        </w:rPr>
        <w:t xml:space="preserve">, </w:t>
      </w:r>
      <w:r>
        <w:rPr>
          <w:rtl w:val="true"/>
        </w:rPr>
        <w:t>במובן זה שעונש המאסר בפועל שהוטל עליו יופחת 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 xml:space="preserve">. </w:t>
      </w:r>
      <w:r>
        <w:rPr>
          <w:rtl w:val="true"/>
        </w:rPr>
        <w:t>יתר רכיבי הענישה שהוטלו עליו בגזר הדין יוותרו ללא שינוי</w:t>
      </w:r>
      <w:r>
        <w:rPr>
          <w:rtl w:val="true"/>
        </w:rPr>
        <w:t xml:space="preserve">. </w:t>
      </w:r>
      <w:r>
        <w:rPr>
          <w:rtl w:val="true"/>
        </w:rPr>
        <w:t xml:space="preserve">מכירת דירת המגורים של דרי וחילוט מחצית משוויה בסך </w:t>
      </w:r>
      <w:r>
        <w:rPr/>
        <w:t>1.375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יבוצע בעוד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וזאת רק ככל שלא יעלה בידי דרי לשלם את הסכום האמור לקופת המדינה בתקופה זו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2"/>
        <w:gridCol w:w="2782"/>
        <w:gridCol w:w="2799"/>
      </w:tblGrid>
      <w:tr>
        <w:trPr/>
        <w:tc>
          <w:tcPr>
            <w:tcW w:w="278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2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9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סולברג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אלרון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פוגלמן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4762/22</w:t>
      </w:r>
      <w:r>
        <w:rPr>
          <w:rtl w:val="true"/>
        </w:rPr>
        <w:t xml:space="preserve">, </w:t>
      </w:r>
      <w:r>
        <w:rPr>
          <w:rtl w:val="true"/>
        </w:rPr>
        <w:t>עמרם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כנפו</w:t>
      </w:r>
      <w:r>
        <w:rPr>
          <w:rtl w:val="true"/>
        </w:rPr>
        <w:t xml:space="preserve">, </w:t>
      </w:r>
      <w:r>
        <w:rPr>
          <w:rtl w:val="true"/>
        </w:rPr>
        <w:t>יתייצב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אוהלי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18.12.2023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טלפונים</w:t>
      </w:r>
      <w:r>
        <w:rPr>
          <w:rFonts w:eastAsia="Arial TUR;Arial" w:cs="Arial TUR;Arial"/>
          <w:rtl w:val="true"/>
        </w:rPr>
        <w:t xml:space="preserve"> </w:t>
      </w:r>
      <w:r>
        <w:rPr/>
        <w:t>074-7831077</w:t>
      </w:r>
      <w:r>
        <w:rPr>
          <w:rtl w:val="true"/>
        </w:rPr>
        <w:t xml:space="preserve">, </w:t>
      </w:r>
      <w:r>
        <w:rPr/>
        <w:t>074-7831078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4915/22</w:t>
      </w:r>
      <w:r>
        <w:rPr>
          <w:rtl w:val="true"/>
        </w:rPr>
        <w:t xml:space="preserve">, </w:t>
      </w:r>
      <w:r>
        <w:rPr>
          <w:rtl w:val="true"/>
        </w:rPr>
        <w:t>יצחק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</w:t>
      </w:r>
      <w:r>
        <w:rPr>
          <w:rtl w:val="true"/>
        </w:rPr>
        <w:t xml:space="preserve">, </w:t>
      </w:r>
      <w:r>
        <w:rPr>
          <w:rtl w:val="true"/>
        </w:rPr>
        <w:t>יתייצב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אוהלי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8.10.2023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טלפונים</w:t>
      </w:r>
      <w:r>
        <w:rPr>
          <w:rFonts w:eastAsia="Arial TUR;Arial" w:cs="Arial TUR;Arial"/>
          <w:rtl w:val="true"/>
        </w:rPr>
        <w:t xml:space="preserve"> </w:t>
      </w:r>
      <w:r>
        <w:rPr/>
        <w:t>074-7831077</w:t>
      </w:r>
      <w:r>
        <w:rPr>
          <w:rtl w:val="true"/>
        </w:rPr>
        <w:t xml:space="preserve">, </w:t>
      </w:r>
      <w:r>
        <w:rPr/>
        <w:t>074-7831078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bookmarkStart w:id="15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15.8.2023</w:t>
      </w:r>
      <w:r>
        <w:rPr>
          <w:rFonts w:cs="Century" w:ascii="Century" w:hAnsi="Century"/>
          <w:rtl w:val="true"/>
        </w:rPr>
        <w:t xml:space="preserve">). </w:t>
      </w:r>
      <w:bookmarkEnd w:id="15"/>
    </w:p>
    <w:p>
      <w:pPr>
        <w:pStyle w:val="Ruller41"/>
        <w:ind w:end="0"/>
        <w:jc w:val="both"/>
        <w:rPr>
          <w:rFonts w:ascii="Century" w:hAnsi="Century" w:cs="Century"/>
          <w:color w:val="FFFFFF"/>
          <w:sz w:val="2"/>
          <w:szCs w:val="2"/>
        </w:rPr>
      </w:pPr>
      <w:r>
        <w:rPr>
          <w:rFonts w:cs="Century" w:ascii="Century" w:hAnsi="Century"/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3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22047620</w:t>
      </w:r>
      <w:r>
        <w:rPr>
          <w:sz w:val="16"/>
          <w:rtl w:val="true"/>
        </w:rPr>
        <w:t>_</w:t>
      </w:r>
      <w:r>
        <w:rPr>
          <w:sz w:val="16"/>
        </w:rPr>
        <w:t>M22.docx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דפ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5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pacing w:val="10"/>
          <w:szCs w:val="22"/>
        </w:rPr>
      </w:pPr>
      <w:r>
        <w:rPr>
          <w:rFonts w:cs="David" w:ascii="David" w:hAnsi="David"/>
          <w:color w:val="000000"/>
          <w:spacing w:val="10"/>
          <w:szCs w:val="22"/>
          <w:rtl w:val="true"/>
        </w:rPr>
      </w:r>
    </w:p>
    <w:p>
      <w:pPr>
        <w:pStyle w:val="Ruller381"/>
        <w:keepNext w:val="true"/>
        <w:ind w:end="0"/>
        <w:jc w:val="start"/>
        <w:rPr/>
      </w:pPr>
      <w:r>
        <w:rPr>
          <w:rFonts w:ascii="David" w:hAnsi="David"/>
          <w:color w:val="000000"/>
          <w:spacing w:val="10"/>
          <w:szCs w:val="22"/>
          <w:rtl w:val="true"/>
        </w:rPr>
        <w:t>נ</w:t>
      </w:r>
      <w:r>
        <w:rPr>
          <w:rFonts w:cs="David" w:ascii="David" w:hAnsi="David"/>
          <w:color w:val="000000"/>
          <w:spacing w:val="10"/>
          <w:szCs w:val="22"/>
          <w:rtl w:val="true"/>
        </w:rPr>
        <w:t xml:space="preserve">' </w:t>
      </w:r>
      <w:r>
        <w:rPr>
          <w:rFonts w:ascii="David" w:hAnsi="David"/>
          <w:color w:val="000000"/>
          <w:spacing w:val="10"/>
          <w:szCs w:val="22"/>
          <w:rtl w:val="true"/>
        </w:rPr>
        <w:t>סולברג</w:t>
      </w:r>
      <w:r>
        <w:rPr>
          <w:rFonts w:ascii="David" w:hAnsi="David"/>
          <w:color w:val="000000"/>
          <w:spacing w:val="10"/>
          <w:szCs w:val="22"/>
          <w:rtl w:val="true"/>
        </w:rPr>
        <w:t xml:space="preserve"> </w:t>
      </w:r>
      <w:r>
        <w:rPr>
          <w:rFonts w:cs="David" w:ascii="David" w:hAnsi="David"/>
          <w:color w:val="000000"/>
          <w:spacing w:val="10"/>
          <w:szCs w:val="22"/>
        </w:rPr>
        <w:t>54678313-4762/22</w:t>
      </w:r>
    </w:p>
    <w:p>
      <w:pPr>
        <w:pStyle w:val="Ruller381"/>
        <w:ind w:end="0"/>
        <w:jc w:val="start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color w:val="000000"/>
          <w:spacing w:val="10"/>
          <w:szCs w:val="28"/>
          <w:rtl w:val="true"/>
        </w:rPr>
        <w:t>נוסח</w:t>
      </w:r>
      <w:r>
        <w:rPr>
          <w:rFonts w:ascii="Century" w:hAnsi="Century" w:eastAsia="Century" w:cs="Century"/>
          <w:color w:val="000000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Cs w:val="28"/>
          <w:rtl w:val="true"/>
        </w:rPr>
        <w:t>מסמך</w:t>
      </w:r>
      <w:r>
        <w:rPr>
          <w:rFonts w:ascii="Century" w:hAnsi="Century" w:eastAsia="Century" w:cs="Century"/>
          <w:color w:val="000000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color w:val="000000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Cs w:val="28"/>
          <w:rtl w:val="true"/>
        </w:rPr>
        <w:t>כפוף</w:t>
      </w:r>
      <w:r>
        <w:rPr>
          <w:rFonts w:ascii="Century" w:hAnsi="Century" w:eastAsia="Century" w:cs="Century"/>
          <w:color w:val="000000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Cs w:val="28"/>
          <w:rtl w:val="true"/>
        </w:rPr>
        <w:t>לשינויי</w:t>
      </w:r>
      <w:r>
        <w:rPr>
          <w:rFonts w:ascii="Century" w:hAnsi="Century" w:eastAsia="Century" w:cs="Century"/>
          <w:color w:val="000000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Cs w:val="28"/>
          <w:rtl w:val="true"/>
        </w:rPr>
        <w:t>ניסוח</w:t>
      </w:r>
      <w:r>
        <w:rPr>
          <w:rFonts w:ascii="Century" w:hAnsi="Century" w:eastAsia="Century" w:cs="Century"/>
          <w:color w:val="000000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Cs w:val="28"/>
          <w:rtl w:val="true"/>
        </w:rPr>
        <w:t>ועריכה</w:t>
      </w:r>
    </w:p>
    <w:p>
      <w:pPr>
        <w:pStyle w:val="Ruller381"/>
        <w:ind w:end="0"/>
        <w:jc w:val="start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381"/>
        <w:ind w:end="0"/>
        <w:jc w:val="center"/>
        <w:rPr>
          <w:rFonts w:ascii="Century" w:hAnsi="Century" w:cs="Century"/>
          <w:color w:val="0000FF"/>
          <w:spacing w:val="10"/>
          <w:szCs w:val="24"/>
          <w:u w:val="single"/>
        </w:rPr>
      </w:pPr>
      <w:hyperlink r:id="rId66">
        <w:r>
          <w:rPr>
            <w:rStyle w:val="Hyperlink"/>
            <w:rFonts w:ascii="Century" w:hAnsi="Century" w:cs="Century"/>
            <w:color w:val="0000FF"/>
            <w:spacing w:val="10"/>
            <w:szCs w:val="24"/>
            <w:u w:val="single"/>
            <w:rtl w:val="true"/>
          </w:rPr>
          <w:t>בעניין</w:t>
        </w:r>
        <w:r>
          <w:rPr>
            <w:rStyle w:val="Hyperlink"/>
            <w:rFonts w:ascii="Century" w:hAnsi="Century" w:cs="Century"/>
            <w:color w:val="0000FF"/>
            <w:spacing w:val="1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pacing w:val="10"/>
            <w:szCs w:val="24"/>
            <w:u w:val="single"/>
            <w:rtl w:val="true"/>
          </w:rPr>
          <w:t>עריכה</w:t>
        </w:r>
        <w:r>
          <w:rPr>
            <w:rStyle w:val="Hyperlink"/>
            <w:rFonts w:ascii="Century" w:hAnsi="Century" w:cs="Century"/>
            <w:color w:val="0000FF"/>
            <w:spacing w:val="1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pacing w:val="10"/>
            <w:szCs w:val="24"/>
            <w:u w:val="single"/>
            <w:rtl w:val="true"/>
          </w:rPr>
          <w:t>ושינויים</w:t>
        </w:r>
        <w:r>
          <w:rPr>
            <w:rStyle w:val="Hyperlink"/>
            <w:rFonts w:ascii="Century" w:hAnsi="Century" w:cs="Century"/>
            <w:color w:val="0000FF"/>
            <w:spacing w:val="1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pacing w:val="10"/>
            <w:szCs w:val="24"/>
            <w:u w:val="single"/>
            <w:rtl w:val="true"/>
          </w:rPr>
          <w:t>במסמכי</w:t>
        </w:r>
        <w:r>
          <w:rPr>
            <w:rStyle w:val="Hyperlink"/>
            <w:rFonts w:ascii="Century" w:hAnsi="Century" w:cs="Century"/>
            <w:color w:val="0000FF"/>
            <w:spacing w:val="1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pacing w:val="10"/>
            <w:szCs w:val="24"/>
            <w:u w:val="single"/>
            <w:rtl w:val="true"/>
          </w:rPr>
          <w:t>פסיקה</w:t>
        </w:r>
        <w:r>
          <w:rPr>
            <w:rStyle w:val="Hyperlink"/>
            <w:rFonts w:cs="Century" w:ascii="Century" w:hAnsi="Century"/>
            <w:color w:val="0000FF"/>
            <w:spacing w:val="10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spacing w:val="10"/>
            <w:szCs w:val="24"/>
            <w:u w:val="single"/>
            <w:rtl w:val="true"/>
          </w:rPr>
          <w:t>חקיקה</w:t>
        </w:r>
        <w:r>
          <w:rPr>
            <w:rStyle w:val="Hyperlink"/>
            <w:rFonts w:ascii="Century" w:hAnsi="Century" w:cs="Century"/>
            <w:color w:val="0000FF"/>
            <w:spacing w:val="1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pacing w:val="10"/>
            <w:szCs w:val="24"/>
            <w:u w:val="single"/>
            <w:rtl w:val="true"/>
          </w:rPr>
          <w:t>ועוד</w:t>
        </w:r>
        <w:r>
          <w:rPr>
            <w:rStyle w:val="Hyperlink"/>
            <w:rFonts w:ascii="Century" w:hAnsi="Century" w:cs="Century"/>
            <w:color w:val="0000FF"/>
            <w:spacing w:val="1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pacing w:val="10"/>
            <w:szCs w:val="24"/>
            <w:u w:val="single"/>
            <w:rtl w:val="true"/>
          </w:rPr>
          <w:t>באתר</w:t>
        </w:r>
        <w:r>
          <w:rPr>
            <w:rStyle w:val="Hyperlink"/>
            <w:rFonts w:ascii="Century" w:hAnsi="Century" w:cs="Century"/>
            <w:color w:val="0000FF"/>
            <w:spacing w:val="1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pacing w:val="10"/>
            <w:szCs w:val="24"/>
            <w:u w:val="single"/>
            <w:rtl w:val="true"/>
          </w:rPr>
          <w:t>נבו</w:t>
        </w:r>
        <w:r>
          <w:rPr>
            <w:rStyle w:val="Hyperlink"/>
            <w:rFonts w:ascii="Century" w:hAnsi="Century" w:cs="Century"/>
            <w:color w:val="0000FF"/>
            <w:spacing w:val="10"/>
            <w:szCs w:val="24"/>
            <w:u w:val="single"/>
            <w:rtl w:val="true"/>
          </w:rPr>
          <w:t xml:space="preserve"> – </w:t>
        </w:r>
        <w:r>
          <w:rPr>
            <w:rStyle w:val="Hyperlink"/>
            <w:rFonts w:ascii="Century" w:hAnsi="Century" w:cs="Century"/>
            <w:color w:val="0000FF"/>
            <w:spacing w:val="10"/>
            <w:szCs w:val="24"/>
            <w:u w:val="single"/>
            <w:rtl w:val="true"/>
          </w:rPr>
          <w:t>הקש</w:t>
        </w:r>
        <w:r>
          <w:rPr>
            <w:rStyle w:val="Hyperlink"/>
            <w:rFonts w:ascii="Century" w:hAnsi="Century" w:cs="Century"/>
            <w:color w:val="0000FF"/>
            <w:spacing w:val="1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pacing w:val="10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ascii="Century" w:hAnsi="Century" w:cs="Century"/>
          <w:color w:val="0000FF"/>
          <w:spacing w:val="10"/>
          <w:szCs w:val="24"/>
          <w:u w:val="single"/>
        </w:rPr>
      </w:pPr>
      <w:r>
        <w:rPr>
          <w:rFonts w:cs="Century" w:ascii="Century" w:hAnsi="Century"/>
          <w:color w:val="0000FF"/>
          <w:spacing w:val="10"/>
          <w:szCs w:val="24"/>
          <w:u w:val="single"/>
          <w:rtl w:val="true"/>
        </w:rPr>
      </w:r>
    </w:p>
    <w:sectPr>
      <w:headerReference w:type="default" r:id="rId67"/>
      <w:footerReference w:type="default" r:id="rId6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4762/22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</w:rPr>
      <w:t>28095-04-17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עמרם כנפו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isLgl/>
      <w:numFmt w:val="decimal"/>
      <w:lvlText w:val="%1."/>
      <w:lvlJc w:val="start"/>
      <w:pPr>
        <w:tabs>
          <w:tab w:val="num" w:pos="0"/>
        </w:tabs>
        <w:ind w:start="720" w:hanging="720"/>
      </w:pPr>
      <w:rPr>
        <w:b w:val="false"/>
        <w:bCs w:val="false"/>
        <w:rFonts w:ascii="David" w:hAnsi="David" w:cs="David"/>
        <w:lang w:val="en-US"/>
      </w:rPr>
    </w:lvl>
    <w:lvl w:ilvl="1">
      <w:start w:val="1"/>
      <w:pStyle w:val="Heading2"/>
      <w:isLgl/>
      <w:numFmt w:val="decimal"/>
      <w:lvlText w:val="%1.%2"/>
      <w:lvlJc w:val="end"/>
      <w:pPr>
        <w:tabs>
          <w:tab w:val="num" w:pos="0"/>
        </w:tabs>
        <w:ind w:start="720" w:hanging="0"/>
      </w:pPr>
      <w:rPr>
        <w:b w:val="false"/>
        <w:bCs w:val="false"/>
        <w:rFonts w:ascii="David" w:hAnsi="David" w:cs="David"/>
      </w:rPr>
    </w:lvl>
    <w:lvl w:ilvl="2">
      <w:start w:val="1"/>
      <w:pStyle w:val="Heading3"/>
      <w:isLgl/>
      <w:numFmt w:val="decimal"/>
      <w:lvlText w:val="%1.%2.%3"/>
      <w:lvlJc w:val="start"/>
      <w:pPr>
        <w:tabs>
          <w:tab w:val="num" w:pos="0"/>
        </w:tabs>
        <w:ind w:start="2410" w:hanging="970"/>
      </w:pPr>
      <w:rPr>
        <w:rFonts w:ascii="David" w:hAnsi="David" w:cs="David"/>
      </w:rPr>
    </w:lvl>
    <w:lvl w:ilvl="3">
      <w:start w:val="1"/>
      <w:pStyle w:val="Heading4"/>
      <w:isLgl/>
      <w:numFmt w:val="decimal"/>
      <w:lvlText w:val="%1.%2.%3.%4"/>
      <w:lvlJc w:val="start"/>
      <w:pPr>
        <w:tabs>
          <w:tab w:val="num" w:pos="2410"/>
        </w:tabs>
        <w:ind w:start="3651" w:hanging="1241"/>
      </w:pPr>
      <w:rPr>
        <w:rFonts w:ascii="David" w:hAnsi="David" w:cs="David"/>
      </w:rPr>
    </w:lvl>
    <w:lvl w:ilvl="4">
      <w:start w:val="1"/>
      <w:pStyle w:val="Heading5"/>
      <w:numFmt w:val="hebrew1"/>
      <w:lvlText w:val="(%5)"/>
      <w:lvlJc w:val="start"/>
      <w:pPr>
        <w:tabs>
          <w:tab w:val="num" w:pos="3651"/>
        </w:tabs>
        <w:ind w:start="4372" w:hanging="721"/>
      </w:pPr>
      <w:rPr>
        <w:rFonts w:ascii="David" w:hAnsi="David" w:cs="David"/>
      </w:rPr>
    </w:lvl>
    <w:lvl w:ilvl="5">
      <w:start w:val="1"/>
      <w:pStyle w:val="Heading6"/>
      <w:numFmt w:val="decimal"/>
      <w:lvlText w:val="(%6)"/>
      <w:lvlJc w:val="start"/>
      <w:pPr>
        <w:tabs>
          <w:tab w:val="num" w:pos="4372"/>
        </w:tabs>
        <w:ind w:start="5092" w:hanging="720"/>
      </w:pPr>
      <w:rPr>
        <w:rFonts w:ascii="David" w:hAnsi="David" w:cs="David"/>
      </w:r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5092"/>
        </w:tabs>
        <w:ind w:start="0" w:hanging="0"/>
      </w:pPr>
      <w:rPr>
        <w:rFonts w:cs="David"/>
      </w:r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end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BodyText"/>
    <w:qFormat/>
    <w:pPr>
      <w:numPr>
        <w:ilvl w:val="0"/>
        <w:numId w:val="1"/>
      </w:numPr>
      <w:overflowPunct w:val="true"/>
      <w:autoSpaceDE w:val="true"/>
      <w:spacing w:lineRule="auto" w:line="360" w:before="0" w:after="120"/>
      <w:jc w:val="both"/>
      <w:textAlignment w:val="auto"/>
      <w:outlineLvl w:val="0"/>
    </w:pPr>
    <w:rPr>
      <w:kern w:val="2"/>
      <w:sz w:val="24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overflowPunct w:val="true"/>
      <w:autoSpaceDE w:val="true"/>
      <w:spacing w:lineRule="auto" w:line="360" w:before="0" w:after="120"/>
      <w:jc w:val="both"/>
      <w:textAlignment w:val="auto"/>
      <w:outlineLvl w:val="1"/>
    </w:pPr>
    <w:rPr>
      <w:sz w:val="24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overflowPunct w:val="true"/>
      <w:autoSpaceDE w:val="true"/>
      <w:spacing w:lineRule="auto" w:line="360" w:before="0" w:after="120"/>
      <w:jc w:val="both"/>
      <w:textAlignment w:val="auto"/>
      <w:outlineLvl w:val="2"/>
    </w:pPr>
    <w:rPr>
      <w:sz w:val="24"/>
    </w:rPr>
  </w:style>
  <w:style w:type="paragraph" w:styleId="Heading4">
    <w:name w:val="heading 4"/>
    <w:basedOn w:val="Normal"/>
    <w:next w:val="BodyText"/>
    <w:qFormat/>
    <w:pPr>
      <w:keepNext w:val="true"/>
      <w:numPr>
        <w:ilvl w:val="3"/>
        <w:numId w:val="1"/>
      </w:numPr>
      <w:overflowPunct w:val="true"/>
      <w:autoSpaceDE w:val="true"/>
      <w:spacing w:lineRule="auto" w:line="360" w:before="0" w:after="120"/>
      <w:ind w:hanging="1242" w:start="3652" w:end="0"/>
      <w:jc w:val="both"/>
      <w:textAlignment w:val="auto"/>
      <w:outlineLvl w:val="3"/>
    </w:pPr>
    <w:rPr>
      <w:sz w:val="24"/>
    </w:rPr>
  </w:style>
  <w:style w:type="paragraph" w:styleId="Heading5">
    <w:name w:val="heading 5"/>
    <w:basedOn w:val="Normal"/>
    <w:next w:val="BodyText"/>
    <w:qFormat/>
    <w:pPr>
      <w:numPr>
        <w:ilvl w:val="4"/>
        <w:numId w:val="1"/>
      </w:numPr>
      <w:overflowPunct w:val="true"/>
      <w:autoSpaceDE w:val="true"/>
      <w:spacing w:lineRule="auto" w:line="360" w:before="0" w:after="120"/>
      <w:ind w:hanging="720" w:start="4371" w:end="0"/>
      <w:jc w:val="both"/>
      <w:textAlignment w:val="auto"/>
      <w:outlineLvl w:val="4"/>
    </w:pPr>
    <w:rPr>
      <w:sz w:val="24"/>
    </w:rPr>
  </w:style>
  <w:style w:type="paragraph" w:styleId="Heading6">
    <w:name w:val="heading 6"/>
    <w:basedOn w:val="Normal"/>
    <w:next w:val="BodyText"/>
    <w:qFormat/>
    <w:pPr>
      <w:numPr>
        <w:ilvl w:val="5"/>
        <w:numId w:val="1"/>
      </w:numPr>
      <w:overflowPunct w:val="true"/>
      <w:autoSpaceDE w:val="true"/>
      <w:spacing w:lineRule="auto" w:line="360" w:before="0" w:after="120"/>
      <w:jc w:val="both"/>
      <w:textAlignment w:val="auto"/>
      <w:outlineLvl w:val="5"/>
    </w:pPr>
    <w:rPr>
      <w:sz w:val="24"/>
    </w:rPr>
  </w:style>
  <w:style w:type="paragraph" w:styleId="Heading7">
    <w:name w:val="heading 7"/>
    <w:basedOn w:val="Normal"/>
    <w:next w:val="BodyText"/>
    <w:qFormat/>
    <w:pPr>
      <w:numPr>
        <w:ilvl w:val="6"/>
        <w:numId w:val="1"/>
      </w:numPr>
      <w:overflowPunct w:val="true"/>
      <w:autoSpaceDE w:val="true"/>
      <w:spacing w:lineRule="auto" w:line="360" w:before="0" w:after="120"/>
      <w:jc w:val="both"/>
      <w:textAlignment w:val="auto"/>
      <w:outlineLvl w:val="6"/>
    </w:pPr>
    <w:rPr>
      <w:sz w:val="24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David" w:hAnsi="David" w:cs="David"/>
      <w:b w:val="false"/>
      <w:bCs w:val="false"/>
      <w:lang w:val="en-US"/>
    </w:rPr>
  </w:style>
  <w:style w:type="character" w:styleId="WW8Num12z1">
    <w:name w:val="WW8Num12z1"/>
    <w:qFormat/>
    <w:rPr>
      <w:rFonts w:ascii="David" w:hAnsi="David" w:cs="David"/>
      <w:b w:val="false"/>
      <w:bCs w:val="false"/>
    </w:rPr>
  </w:style>
  <w:style w:type="character" w:styleId="WW8Num12z2">
    <w:name w:val="WW8Num12z2"/>
    <w:qFormat/>
    <w:rPr>
      <w:rFonts w:ascii="David" w:hAnsi="David" w:cs="David"/>
    </w:rPr>
  </w:style>
  <w:style w:type="character" w:styleId="WW8Num12z6">
    <w:name w:val="WW8Num12z6"/>
    <w:qFormat/>
    <w:rPr>
      <w:rFonts w:cs="David"/>
    </w:rPr>
  </w:style>
  <w:style w:type="character" w:styleId="WW8Num12z7">
    <w:name w:val="WW8Num12z7"/>
    <w:qFormat/>
    <w:rPr/>
  </w:style>
  <w:style w:type="character" w:styleId="WW8Num13z0">
    <w:name w:val="WW8Num13z0"/>
    <w:qFormat/>
    <w:rPr>
      <w:b w:val="false"/>
      <w:bCs w:val="false"/>
      <w:i w:val="false"/>
      <w:iCs w:val="false"/>
      <w:color w:val="000000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lang w:bidi="he-I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Heading1Char">
    <w:name w:val="Heading 1 Char"/>
    <w:qFormat/>
    <w:rPr>
      <w:rFonts w:cs="David"/>
      <w:kern w:val="2"/>
      <w:sz w:val="24"/>
      <w:szCs w:val="24"/>
    </w:rPr>
  </w:style>
  <w:style w:type="character" w:styleId="Heading2Char">
    <w:name w:val="Heading 2 Char"/>
    <w:qFormat/>
    <w:rPr>
      <w:rFonts w:cs="David"/>
      <w:sz w:val="24"/>
      <w:szCs w:val="24"/>
    </w:rPr>
  </w:style>
  <w:style w:type="character" w:styleId="Heading3Char">
    <w:name w:val="Heading 3 Char"/>
    <w:qFormat/>
    <w:rPr>
      <w:rFonts w:cs="David"/>
      <w:sz w:val="24"/>
      <w:szCs w:val="24"/>
    </w:rPr>
  </w:style>
  <w:style w:type="character" w:styleId="Heading4Char">
    <w:name w:val="Heading 4 Char"/>
    <w:qFormat/>
    <w:rPr>
      <w:rFonts w:cs="David"/>
      <w:sz w:val="24"/>
      <w:szCs w:val="24"/>
    </w:rPr>
  </w:style>
  <w:style w:type="character" w:styleId="Heading5Char">
    <w:name w:val="Heading 5 Char"/>
    <w:qFormat/>
    <w:rPr>
      <w:rFonts w:cs="David"/>
      <w:sz w:val="24"/>
      <w:szCs w:val="24"/>
    </w:rPr>
  </w:style>
  <w:style w:type="character" w:styleId="Heading6Char">
    <w:name w:val="Heading 6 Char"/>
    <w:qFormat/>
    <w:rPr>
      <w:rFonts w:cs="David"/>
      <w:sz w:val="24"/>
      <w:szCs w:val="24"/>
    </w:rPr>
  </w:style>
  <w:style w:type="character" w:styleId="Heading7Char">
    <w:name w:val="Heading 7 Char"/>
    <w:qFormat/>
    <w:rPr>
      <w:rFonts w:cs="David"/>
      <w:sz w:val="24"/>
      <w:szCs w:val="24"/>
    </w:rPr>
  </w:style>
  <w:style w:type="character" w:styleId="ListParagraphChar">
    <w:name w:val="List Paragraph Char"/>
    <w:qFormat/>
    <w:rPr>
      <w:rFonts w:ascii="Calibri" w:hAnsi="Calibri" w:eastAsia="Calibri" w:cs="Arial"/>
      <w:sz w:val="22"/>
      <w:szCs w:val="22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2"/>
      </w:numPr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3"/>
      </w:numPr>
    </w:pPr>
    <w:rPr/>
  </w:style>
  <w:style w:type="paragraph" w:styleId="ListParagraph">
    <w:name w:val="List Paragraph"/>
    <w:basedOn w:val="Normal"/>
    <w:qFormat/>
    <w:pPr>
      <w:overflowPunct w:val="true"/>
      <w:autoSpaceDE w:val="true"/>
      <w:spacing w:lineRule="auto" w:line="276" w:before="0" w:after="200"/>
      <w:ind w:hanging="0" w:start="720" w:end="0"/>
      <w:contextualSpacing/>
      <w:textAlignment w:val="auto"/>
    </w:pPr>
    <w:rPr>
      <w:rFonts w:ascii="Calibri" w:hAnsi="Calibri" w:eastAsia="Calibri" w:cs="Arial"/>
      <w:sz w:val="22"/>
      <w:szCs w:val="22"/>
    </w:rPr>
  </w:style>
  <w:style w:type="paragraph" w:styleId="ruller421">
    <w:name w:val="ruller42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Style7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539547" TargetMode="External"/><Relationship Id="rId3" Type="http://schemas.openxmlformats.org/officeDocument/2006/relationships/hyperlink" Target="http://www.nevo.co.il/law/91073" TargetMode="External"/><Relationship Id="rId4" Type="http://schemas.openxmlformats.org/officeDocument/2006/relationships/hyperlink" Target="http://www.nevo.co.il/law/91073/44b.b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iC" TargetMode="External"/><Relationship Id="rId7" Type="http://schemas.openxmlformats.org/officeDocument/2006/relationships/hyperlink" Target="http://www.nevo.co.il/law/74345" TargetMode="External"/><Relationship Id="rId8" Type="http://schemas.openxmlformats.org/officeDocument/2006/relationships/hyperlink" Target="http://www.nevo.co.il/law/84255" TargetMode="External"/><Relationship Id="rId9" Type="http://schemas.openxmlformats.org/officeDocument/2006/relationships/hyperlink" Target="http://www.nevo.co.il/law/75025" TargetMode="External"/><Relationship Id="rId10" Type="http://schemas.openxmlformats.org/officeDocument/2006/relationships/hyperlink" Target="http://www.nevo.co.il/law/75025/7" TargetMode="External"/><Relationship Id="rId11" Type="http://schemas.openxmlformats.org/officeDocument/2006/relationships/hyperlink" Target="http://www.nevo.co.il/case/28785949" TargetMode="External"/><Relationship Id="rId12" Type="http://schemas.openxmlformats.org/officeDocument/2006/relationships/hyperlink" Target="http://www.nevo.co.il/case/28785949" TargetMode="External"/><Relationship Id="rId13" Type="http://schemas.openxmlformats.org/officeDocument/2006/relationships/hyperlink" Target="http://www.nevo.co.il/case/20681850" TargetMode="External"/><Relationship Id="rId14" Type="http://schemas.openxmlformats.org/officeDocument/2006/relationships/hyperlink" Target="http://www.nevo.co.il/law/74345" TargetMode="External"/><Relationship Id="rId15" Type="http://schemas.openxmlformats.org/officeDocument/2006/relationships/hyperlink" Target="http://www.nevo.co.il/law/84255" TargetMode="External"/><Relationship Id="rId16" Type="http://schemas.openxmlformats.org/officeDocument/2006/relationships/hyperlink" Target="http://www.nevo.co.il/law/91073/44b.b" TargetMode="External"/><Relationship Id="rId17" Type="http://schemas.openxmlformats.org/officeDocument/2006/relationships/hyperlink" Target="http://www.nevo.co.il/law/91073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4345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23777558" TargetMode="External"/><Relationship Id="rId22" Type="http://schemas.openxmlformats.org/officeDocument/2006/relationships/hyperlink" Target="http://www.nevo.co.il/case/27508057" TargetMode="External"/><Relationship Id="rId23" Type="http://schemas.openxmlformats.org/officeDocument/2006/relationships/hyperlink" Target="http://www.nevo.co.il/law/70301/iC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20267277" TargetMode="External"/><Relationship Id="rId26" Type="http://schemas.openxmlformats.org/officeDocument/2006/relationships/hyperlink" Target="http://www.nevo.co.il/case/5704648" TargetMode="External"/><Relationship Id="rId27" Type="http://schemas.openxmlformats.org/officeDocument/2006/relationships/hyperlink" Target="http://www.nevo.co.il/case/17930548" TargetMode="External"/><Relationship Id="rId28" Type="http://schemas.openxmlformats.org/officeDocument/2006/relationships/hyperlink" Target="http://www.nevo.co.il/case/26310439" TargetMode="External"/><Relationship Id="rId29" Type="http://schemas.openxmlformats.org/officeDocument/2006/relationships/hyperlink" Target="http://www.nevo.co.il/law/91073" TargetMode="External"/><Relationship Id="rId30" Type="http://schemas.openxmlformats.org/officeDocument/2006/relationships/hyperlink" Target="http://www.nevo.co.il/case/25325002" TargetMode="External"/><Relationship Id="rId31" Type="http://schemas.openxmlformats.org/officeDocument/2006/relationships/hyperlink" Target="http://www.nevo.co.il/case/17918628" TargetMode="External"/><Relationship Id="rId32" Type="http://schemas.openxmlformats.org/officeDocument/2006/relationships/hyperlink" Target="http://www.nevo.co.il/case/17945912" TargetMode="External"/><Relationship Id="rId33" Type="http://schemas.openxmlformats.org/officeDocument/2006/relationships/hyperlink" Target="http://www.nevo.co.il/case/20681850" TargetMode="External"/><Relationship Id="rId34" Type="http://schemas.openxmlformats.org/officeDocument/2006/relationships/hyperlink" Target="http://www.nevo.co.il/case/28606523" TargetMode="External"/><Relationship Id="rId35" Type="http://schemas.openxmlformats.org/officeDocument/2006/relationships/hyperlink" Target="http://www.nevo.co.il/case/26793458" TargetMode="External"/><Relationship Id="rId36" Type="http://schemas.openxmlformats.org/officeDocument/2006/relationships/hyperlink" Target="http://www.nevo.co.il/case/20402459" TargetMode="External"/><Relationship Id="rId37" Type="http://schemas.openxmlformats.org/officeDocument/2006/relationships/hyperlink" Target="http://www.nevo.co.il/case/5993032" TargetMode="External"/><Relationship Id="rId38" Type="http://schemas.openxmlformats.org/officeDocument/2006/relationships/hyperlink" Target="http://www.nevo.co.il/case/5993036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case/27897504" TargetMode="External"/><Relationship Id="rId41" Type="http://schemas.openxmlformats.org/officeDocument/2006/relationships/hyperlink" Target="http://www.nevo.co.il/case/5702163" TargetMode="External"/><Relationship Id="rId42" Type="http://schemas.openxmlformats.org/officeDocument/2006/relationships/hyperlink" Target="http://www.nevo.co.il/law/74345" TargetMode="External"/><Relationship Id="rId43" Type="http://schemas.openxmlformats.org/officeDocument/2006/relationships/hyperlink" Target="http://www.nevo.co.il/law/84255" TargetMode="External"/><Relationship Id="rId44" Type="http://schemas.openxmlformats.org/officeDocument/2006/relationships/hyperlink" Target="http://www.nevo.co.il/case/5589547" TargetMode="External"/><Relationship Id="rId45" Type="http://schemas.openxmlformats.org/officeDocument/2006/relationships/hyperlink" Target="http://www.nevo.co.il/case/26310439" TargetMode="External"/><Relationship Id="rId46" Type="http://schemas.openxmlformats.org/officeDocument/2006/relationships/hyperlink" Target="http://www.nevo.co.il/case/17072942" TargetMode="External"/><Relationship Id="rId47" Type="http://schemas.openxmlformats.org/officeDocument/2006/relationships/hyperlink" Target="http://www.nevo.co.il/case/20687587" TargetMode="External"/><Relationship Id="rId48" Type="http://schemas.openxmlformats.org/officeDocument/2006/relationships/hyperlink" Target="http://www.nevo.co.il/case/5568807" TargetMode="External"/><Relationship Id="rId49" Type="http://schemas.openxmlformats.org/officeDocument/2006/relationships/hyperlink" Target="http://www.nevo.co.il/case/5568807" TargetMode="External"/><Relationship Id="rId50" Type="http://schemas.openxmlformats.org/officeDocument/2006/relationships/hyperlink" Target="http://www.nevo.co.il/case/5711108" TargetMode="External"/><Relationship Id="rId51" Type="http://schemas.openxmlformats.org/officeDocument/2006/relationships/hyperlink" Target="http://www.nevo.co.il/case/6244115" TargetMode="External"/><Relationship Id="rId52" Type="http://schemas.openxmlformats.org/officeDocument/2006/relationships/hyperlink" Target="http://www.nevo.co.il/case/18653952" TargetMode="External"/><Relationship Id="rId53" Type="http://schemas.openxmlformats.org/officeDocument/2006/relationships/hyperlink" Target="http://www.nevo.co.il/case/21476660" TargetMode="External"/><Relationship Id="rId54" Type="http://schemas.openxmlformats.org/officeDocument/2006/relationships/hyperlink" Target="http://www.nevo.co.il/case/28142541" TargetMode="External"/><Relationship Id="rId55" Type="http://schemas.openxmlformats.org/officeDocument/2006/relationships/hyperlink" Target="http://www.nevo.co.il/case/27742715" TargetMode="External"/><Relationship Id="rId56" Type="http://schemas.openxmlformats.org/officeDocument/2006/relationships/hyperlink" Target="http://www.nevo.co.il/case/27980952" TargetMode="External"/><Relationship Id="rId57" Type="http://schemas.openxmlformats.org/officeDocument/2006/relationships/hyperlink" Target="http://www.nevo.co.il/case/23587357" TargetMode="External"/><Relationship Id="rId58" Type="http://schemas.openxmlformats.org/officeDocument/2006/relationships/hyperlink" Target="http://www.nevo.co.il/case/27841905" TargetMode="External"/><Relationship Id="rId59" Type="http://schemas.openxmlformats.org/officeDocument/2006/relationships/hyperlink" Target="http://www.nevo.co.il/case/17954217" TargetMode="External"/><Relationship Id="rId60" Type="http://schemas.openxmlformats.org/officeDocument/2006/relationships/hyperlink" Target="http://www.nevo.co.il/case/6247807" TargetMode="External"/><Relationship Id="rId61" Type="http://schemas.openxmlformats.org/officeDocument/2006/relationships/hyperlink" Target="http://www.nevo.co.il/law/75025/7" TargetMode="External"/><Relationship Id="rId62" Type="http://schemas.openxmlformats.org/officeDocument/2006/relationships/hyperlink" Target="http://www.nevo.co.il/law/75025" TargetMode="External"/><Relationship Id="rId63" Type="http://schemas.openxmlformats.org/officeDocument/2006/relationships/hyperlink" Target="http://www.nevo.co.il/law/74345" TargetMode="External"/><Relationship Id="rId64" Type="http://schemas.openxmlformats.org/officeDocument/2006/relationships/hyperlink" Target="http://www.nevo.co.il/law/84255" TargetMode="External"/><Relationship Id="rId65" Type="http://schemas.openxmlformats.org/officeDocument/2006/relationships/hyperlink" Target="https://supreme.court.gov.il/" TargetMode="External"/><Relationship Id="rId66" Type="http://schemas.openxmlformats.org/officeDocument/2006/relationships/hyperlink" Target="http://www.nevo.co.il/advertisements/nevo-100.doc" TargetMode="External"/><Relationship Id="rId67" Type="http://schemas.openxmlformats.org/officeDocument/2006/relationships/header" Target="header1.xml"/><Relationship Id="rId68" Type="http://schemas.openxmlformats.org/officeDocument/2006/relationships/footer" Target="footer1.xml"/><Relationship Id="rId69" Type="http://schemas.openxmlformats.org/officeDocument/2006/relationships/numbering" Target="numbering.xml"/><Relationship Id="rId70" Type="http://schemas.openxmlformats.org/officeDocument/2006/relationships/fontTable" Target="fontTable.xml"/><Relationship Id="rId71" Type="http://schemas.openxmlformats.org/officeDocument/2006/relationships/settings" Target="settings.xml"/><Relationship Id="rId7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2023-08-21T05:28:00Z</dcterms:created>
  <dc:creator>h4</dc:creator>
  <dc:description/>
  <cp:keywords/>
  <dc:language>en-IL</dc:language>
  <cp:lastModifiedBy>h1</cp:lastModifiedBy>
  <cp:lastPrinted>2023-08-15T12:02:00Z</cp:lastPrinted>
  <dcterms:modified xsi:type="dcterms:W3CDTF">2023-08-21T05:28:00Z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עמרם כנפו;יצחק דרי;כד-גל בע#מ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22539547;23777558;27508057;20267277;5704648;17930548;26310439:2;25325002;17918628;17945912;20681850;28606523;26793458;20402459;5993032;5993036;27897504;5702163;5589547;17072942;20687587;5568807:2;5711108;6244115;18653952;21476660;28142541;27742715</vt:lpwstr>
  </property>
  <property fmtid="{D5CDD505-2E9C-101B-9397-08002B2CF9AE}" pid="9" name="CASESLISTTMP2">
    <vt:lpwstr>27980952;23587357;27841905;17954217;6247807</vt:lpwstr>
  </property>
  <property fmtid="{D5CDD505-2E9C-101B-9397-08002B2CF9AE}" pid="10" name="CITY">
    <vt:lpwstr/>
  </property>
  <property fmtid="{D5CDD505-2E9C-101B-9397-08002B2CF9AE}" pid="11" name="DATE">
    <vt:lpwstr>20230815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נ' סולברג;י' אלרון;ע' פוגלמן</vt:lpwstr>
  </property>
  <property fmtid="{D5CDD505-2E9C-101B-9397-08002B2CF9AE}" pid="15" name="LAWLISTTMP1">
    <vt:lpwstr>91073/044b.b</vt:lpwstr>
  </property>
  <property fmtid="{D5CDD505-2E9C-101B-9397-08002B2CF9AE}" pid="16" name="LAWLISTTMP2">
    <vt:lpwstr>70301/iC</vt:lpwstr>
  </property>
  <property fmtid="{D5CDD505-2E9C-101B-9397-08002B2CF9AE}" pid="17" name="LAWLISTTMP3">
    <vt:lpwstr>74345:3</vt:lpwstr>
  </property>
  <property fmtid="{D5CDD505-2E9C-101B-9397-08002B2CF9AE}" pid="18" name="LAWLISTTMP4">
    <vt:lpwstr>84255:2</vt:lpwstr>
  </property>
  <property fmtid="{D5CDD505-2E9C-101B-9397-08002B2CF9AE}" pid="19" name="LAWLISTTMP5">
    <vt:lpwstr>75025/007</vt:lpwstr>
  </property>
  <property fmtid="{D5CDD505-2E9C-101B-9397-08002B2CF9AE}" pid="20" name="LAWYER">
    <vt:lpwstr>נבות תל-צור;טל שפירא;  רעות סרנת;רון שפירא;דניאל נאמן;קובי בן-שעיה;שרית משגב;מיכל בלומנטל;שלום שיפר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METAKZER">
    <vt:lpwstr>נעה</vt:lpwstr>
  </property>
  <property fmtid="{D5CDD505-2E9C-101B-9397-08002B2CF9AE}" pid="27" name="NEWPARTA">
    <vt:lpwstr/>
  </property>
  <property fmtid="{D5CDD505-2E9C-101B-9397-08002B2CF9AE}" pid="28" name="NEWPARTB">
    <vt:lpwstr/>
  </property>
  <property fmtid="{D5CDD505-2E9C-101B-9397-08002B2CF9AE}" pid="29" name="NEWPARTC">
    <vt:lpwstr/>
  </property>
  <property fmtid="{D5CDD505-2E9C-101B-9397-08002B2CF9AE}" pid="30" name="NEWPROC">
    <vt:lpwstr/>
  </property>
  <property fmtid="{D5CDD505-2E9C-101B-9397-08002B2CF9AE}" pid="31" name="NOSE11">
    <vt:lpwstr>עונשין</vt:lpwstr>
  </property>
  <property fmtid="{D5CDD505-2E9C-101B-9397-08002B2CF9AE}" pid="32" name="NOSE110">
    <vt:lpwstr/>
  </property>
  <property fmtid="{D5CDD505-2E9C-101B-9397-08002B2CF9AE}" pid="33" name="NOSE12">
    <vt:lpwstr>עונשין</vt:lpwstr>
  </property>
  <property fmtid="{D5CDD505-2E9C-101B-9397-08002B2CF9AE}" pid="34" name="NOSE13">
    <vt:lpwstr>עונשין</vt:lpwstr>
  </property>
  <property fmtid="{D5CDD505-2E9C-101B-9397-08002B2CF9AE}" pid="35" name="NOSE14">
    <vt:lpwstr>עונשין</vt:lpwstr>
  </property>
  <property fmtid="{D5CDD505-2E9C-101B-9397-08002B2CF9AE}" pid="36" name="NOSE15">
    <vt:lpwstr>עונשין</vt:lpwstr>
  </property>
  <property fmtid="{D5CDD505-2E9C-101B-9397-08002B2CF9AE}" pid="37" name="NOSE16">
    <vt:lpwstr>עונשין</vt:lpwstr>
  </property>
  <property fmtid="{D5CDD505-2E9C-101B-9397-08002B2CF9AE}" pid="38" name="NOSE17">
    <vt:lpwstr>עונשין</vt:lpwstr>
  </property>
  <property fmtid="{D5CDD505-2E9C-101B-9397-08002B2CF9AE}" pid="39" name="NOSE18">
    <vt:lpwstr/>
  </property>
  <property fmtid="{D5CDD505-2E9C-101B-9397-08002B2CF9AE}" pid="40" name="NOSE19">
    <vt:lpwstr/>
  </property>
  <property fmtid="{D5CDD505-2E9C-101B-9397-08002B2CF9AE}" pid="41" name="NOSE1ID">
    <vt:lpwstr>77;77;77;77;77;77;77</vt:lpwstr>
  </property>
  <property fmtid="{D5CDD505-2E9C-101B-9397-08002B2CF9AE}" pid="42" name="NOSE21">
    <vt:lpwstr>עבירות</vt:lpwstr>
  </property>
  <property fmtid="{D5CDD505-2E9C-101B-9397-08002B2CF9AE}" pid="43" name="NOSE210">
    <vt:lpwstr/>
  </property>
  <property fmtid="{D5CDD505-2E9C-101B-9397-08002B2CF9AE}" pid="44" name="NOSE22">
    <vt:lpwstr>עבירות</vt:lpwstr>
  </property>
  <property fmtid="{D5CDD505-2E9C-101B-9397-08002B2CF9AE}" pid="45" name="NOSE23">
    <vt:lpwstr>ענישה</vt:lpwstr>
  </property>
  <property fmtid="{D5CDD505-2E9C-101B-9397-08002B2CF9AE}" pid="46" name="NOSE24">
    <vt:lpwstr>ענישה</vt:lpwstr>
  </property>
  <property fmtid="{D5CDD505-2E9C-101B-9397-08002B2CF9AE}" pid="47" name="NOSE25">
    <vt:lpwstr>ענישה</vt:lpwstr>
  </property>
  <property fmtid="{D5CDD505-2E9C-101B-9397-08002B2CF9AE}" pid="48" name="NOSE26">
    <vt:lpwstr>ענישה</vt:lpwstr>
  </property>
  <property fmtid="{D5CDD505-2E9C-101B-9397-08002B2CF9AE}" pid="49" name="NOSE27">
    <vt:lpwstr>ענישה</vt:lpwstr>
  </property>
  <property fmtid="{D5CDD505-2E9C-101B-9397-08002B2CF9AE}" pid="50" name="NOSE28">
    <vt:lpwstr/>
  </property>
  <property fmtid="{D5CDD505-2E9C-101B-9397-08002B2CF9AE}" pid="51" name="NOSE29">
    <vt:lpwstr/>
  </property>
  <property fmtid="{D5CDD505-2E9C-101B-9397-08002B2CF9AE}" pid="52" name="NOSE2ID">
    <vt:lpwstr>1443;1443;1446;1446;1446;1446;1446</vt:lpwstr>
  </property>
  <property fmtid="{D5CDD505-2E9C-101B-9397-08002B2CF9AE}" pid="53" name="NOSE31">
    <vt:lpwstr>שוחד</vt:lpwstr>
  </property>
  <property fmtid="{D5CDD505-2E9C-101B-9397-08002B2CF9AE}" pid="54" name="NOSE310">
    <vt:lpwstr/>
  </property>
  <property fmtid="{D5CDD505-2E9C-101B-9397-08002B2CF9AE}" pid="55" name="NOSE32">
    <vt:lpwstr>הפרת אמונים</vt:lpwstr>
  </property>
  <property fmtid="{D5CDD505-2E9C-101B-9397-08002B2CF9AE}" pid="56" name="NOSE33">
    <vt:lpwstr>מדיניות ענישה: שוחד ושחיתות</vt:lpwstr>
  </property>
  <property fmtid="{D5CDD505-2E9C-101B-9397-08002B2CF9AE}" pid="57" name="NOSE34">
    <vt:lpwstr>מדיניות ענישה: עבירות עובדי ציבור</vt:lpwstr>
  </property>
  <property fmtid="{D5CDD505-2E9C-101B-9397-08002B2CF9AE}" pid="58" name="NOSE35">
    <vt:lpwstr>התערבות ערכאת הערעור</vt:lpwstr>
  </property>
  <property fmtid="{D5CDD505-2E9C-101B-9397-08002B2CF9AE}" pid="59" name="NOSE36">
    <vt:lpwstr>מדיניות ענישה: שיקולים לקולה</vt:lpwstr>
  </property>
  <property fmtid="{D5CDD505-2E9C-101B-9397-08002B2CF9AE}" pid="60" name="NOSE37">
    <vt:lpwstr>אחדות הענישה</vt:lpwstr>
  </property>
  <property fmtid="{D5CDD505-2E9C-101B-9397-08002B2CF9AE}" pid="61" name="NOSE38">
    <vt:lpwstr/>
  </property>
  <property fmtid="{D5CDD505-2E9C-101B-9397-08002B2CF9AE}" pid="62" name="NOSE39">
    <vt:lpwstr/>
  </property>
  <property fmtid="{D5CDD505-2E9C-101B-9397-08002B2CF9AE}" pid="63" name="NOSE3ID">
    <vt:lpwstr>8931;8811;13985;11606;8978;8996;12547</vt:lpwstr>
  </property>
  <property fmtid="{D5CDD505-2E9C-101B-9397-08002B2CF9AE}" pid="64" name="PADIDATE">
    <vt:lpwstr>20230816</vt:lpwstr>
  </property>
  <property fmtid="{D5CDD505-2E9C-101B-9397-08002B2CF9AE}" pid="65" name="PADIMAIL">
    <vt:lpwstr>YES</vt:lpwstr>
  </property>
  <property fmtid="{D5CDD505-2E9C-101B-9397-08002B2CF9AE}" pid="66" name="PAGE">
    <vt:lpwstr/>
  </property>
  <property fmtid="{D5CDD505-2E9C-101B-9397-08002B2CF9AE}" pid="67" name="PART">
    <vt:lpwstr/>
  </property>
  <property fmtid="{D5CDD505-2E9C-101B-9397-08002B2CF9AE}" pid="68" name="PROCESS">
    <vt:lpwstr>עפ;עפ</vt:lpwstr>
  </property>
  <property fmtid="{D5CDD505-2E9C-101B-9397-08002B2CF9AE}" pid="69" name="PROCNUM">
    <vt:lpwstr>4762;4915</vt:lpwstr>
  </property>
  <property fmtid="{D5CDD505-2E9C-101B-9397-08002B2CF9AE}" pid="70" name="PROCYEAR">
    <vt:lpwstr>22;22</vt:lpwstr>
  </property>
  <property fmtid="{D5CDD505-2E9C-101B-9397-08002B2CF9AE}" pid="71" name="PSAKDIN">
    <vt:lpwstr>פסק-דין</vt:lpwstr>
  </property>
  <property fmtid="{D5CDD505-2E9C-101B-9397-08002B2CF9AE}" pid="72" name="TYPE">
    <vt:lpwstr>1</vt:lpwstr>
  </property>
  <property fmtid="{D5CDD505-2E9C-101B-9397-08002B2CF9AE}" pid="73" name="TYPE_ABS_DATE">
    <vt:lpwstr>410120230815</vt:lpwstr>
  </property>
  <property fmtid="{D5CDD505-2E9C-101B-9397-08002B2CF9AE}" pid="74" name="TYPE_N_DATE">
    <vt:lpwstr>41020230815</vt:lpwstr>
  </property>
  <property fmtid="{D5CDD505-2E9C-101B-9397-08002B2CF9AE}" pid="75" name="VOLUME">
    <vt:lpwstr/>
  </property>
  <property fmtid="{D5CDD505-2E9C-101B-9397-08002B2CF9AE}" pid="76" name="WORDNUMPAGES">
    <vt:lpwstr>23</vt:lpwstr>
  </property>
</Properties>
</file>