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4777/17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חיפה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04.05.2017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547-10-16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03.01.2018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רוי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shd w:fill="FAFAFA" w:val="clear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ש העליון עמד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לא אחת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על חומרתה של עבירת השוד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בייחוד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כשהיא מכוונת כלפי קשישים וחסרי ישע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המגמה המסתמנת בפסיק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ת בימ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הינה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מתן 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לעקרונות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וההרתעה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האחרים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בהתחשב באמות מידה אלו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העונש שהושת על המערער הוא מתון ונוטה לקולא ואין להתערב בו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shd w:fill="FAFAFA" w:val="clear"/>
        </w:rPr>
      </w:pP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שוד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shd w:fill="FAFAFA" w:val="clear"/>
        </w:rPr>
      </w:pP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עבירות נגד קשישים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shd w:fill="FAFAFA" w:val="clear"/>
        </w:rPr>
      </w:pP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shd w:fill="FAFAFA" w:val="clear"/>
        </w:rPr>
      </w:pP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shd w:fill="FAFAFA" w:val="clear"/>
        </w:rPr>
      </w:pPr>
      <w:r>
        <w:rPr>
          <w:rFonts w:cs="Times New Roman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הוטל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40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ותשלום פיצויים למתלונן בסך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בעקבות הרשעתו במסגרת הסדר טיעון בביצוע עבירת שוד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מדובר בשוד אלים של קשיש כבן </w:t>
      </w:r>
      <w:r>
        <w:rPr>
          <w:rFonts w:cs="Times New Roman" w:ascii="Times New Roman" w:hAnsi="Times New Roman"/>
          <w:spacing w:val="0"/>
          <w:sz w:val="24"/>
          <w:szCs w:val="26"/>
        </w:rPr>
        <w:t>83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שיצא מחנותו לעבר סניף בנק סמוך במטרה להפקיד את הפדיון השבועי של החנות והוכה ללא רחם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המערער ומעורב נוסף שטרם נתפס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יצוין כי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הוכר כנכה בשיעור של </w:t>
      </w:r>
      <w:r>
        <w:rPr>
          <w:rFonts w:cs="Times New Roman" w:ascii="Times New Roman" w:hAnsi="Times New Roman"/>
          <w:spacing w:val="0"/>
          <w:sz w:val="24"/>
          <w:szCs w:val="26"/>
        </w:rPr>
        <w:t>100%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מחלה סכיזופרנית פרנואידית והתמכרות לסמים פסיכו אקטיביים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מסקנת חוו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הפסיכיאטר המחוזי נקבע כי אין במחלתו הנפשית כדי להוות נסיבה רלוונטית בשלב קביעת מתחם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ביותר בהם נפלה בגזר הדין טעות מהותית או שהעונש שנגזר חורג באופן קיצוני מרמת הענישה המקובלת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מנוי על אחד החריגים דלעיל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מגלה טעות כלשהי המצדיקה התערבותו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בעבירת אלימות קשה ואכזרית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והמעורב הנוסף ארבו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קשיש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 אותו באופן מתמשך וללא רחם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והמשיכו להפליא מכותיהם גם לאחר שהפילו אותו ארצה ושדדו ממנו סכום כסף נכבד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להקל ראש בהתנהגות שכזו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 כאשר זו מכוונת כלפי קשישים וחסרי ישע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עמד לא אחת על חומרתה של עבירת השוד המבוצעת 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ברעה חולה שחובה על בתי המשפט לעקור משורש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צוינה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המגמה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מפסיקותיו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המשלבות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הנותן 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לעקרונות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במדיניות ענישה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ולאור 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 xml:space="preserve">מתחם הענישה שנקבע למעשי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רכיבי ענישה של מאסר על תנאי ופיצוי כספי למתלונן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Calibri" w:hAnsi="Calibri" w:eastAsia="Calibri" w:cs="Calibri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>הולם את מעשיו</w:t>
      </w:r>
      <w:r>
        <w:rPr>
          <w:rFonts w:eastAsia="Calibri"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>העונש שהושת עליו אינו ברף הגבוה</w:t>
      </w:r>
      <w:r>
        <w:rPr>
          <w:rFonts w:eastAsia="Calibri"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>ואין כל מקום להתערב בו</w:t>
      </w:r>
      <w:r>
        <w:rPr>
          <w:rFonts w:eastAsia="Calibri"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מפורט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מונה באופן סדור את כלל הנסיבות שאינן קשורות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מתן משקל הולם לנסיבותיו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גילו ומצבו הרפואי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שקל היטב 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ובסופו של יום נתן להן משקל בלתי מבוטל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וקבע כי עונשו של המערער ייגזר בחלקו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התחתון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מתחם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עלה בידי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המערער לשכנע כי העונש שנגזר על המערער חמור או חורג ממדיניות הענישה המקובלת בעבירות 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היפוכם של דברים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המערער הוא מתון ונוטה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eastAsia="Calibri" w:cs="Times New Roman"/>
          <w:spacing w:val="0"/>
          <w:sz w:val="24"/>
          <w:sz w:val="24"/>
          <w:szCs w:val="26"/>
          <w:rtl w:val="true"/>
        </w:rPr>
        <w:t xml:space="preserve">כן לא נמצא ממש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ביתר טענותיו הפרטניות של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צוין 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ראיה לכך כי נפגעה יכולתו של נאשם להבין את מעשה העבירה שביצע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הפסול שבמעשהו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בעובדה כי הנאשם לוקה במחלת נפש 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להשפיע על קביעת 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 זה רלוונטי לשלב בו בוחן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נסיבותיו האישיות של נאשם זה או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קביעת העונש בתוך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ומאחר 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ממסקנות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הפסיכיאטר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מקום להידרש לטענותיו 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547-10-16</w:t>
        </w:r>
      </w:hyperlink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4.5.2017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20.9.2016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הנוסף</w:t>
      </w:r>
      <w:r>
        <w:rPr>
          <w:rtl w:val="true"/>
        </w:rPr>
        <w:t xml:space="preserve">),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קשיש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וחיפשו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ושפשופים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ובברכו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 xml:space="preserve">, </w:t>
      </w:r>
      <w:r>
        <w:rPr>
          <w:rtl w:val="true"/>
        </w:rPr>
        <w:t>רגישות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 שהגיעו הצדדים להסדר טיעון לעניין ההרשעה</w:t>
      </w:r>
      <w:r>
        <w:rPr>
          <w:rtl w:val="true"/>
        </w:rPr>
        <w:t xml:space="preserve">, </w:t>
      </w:r>
      <w:r>
        <w:rPr>
          <w:rtl w:val="true"/>
        </w:rPr>
        <w:t>ובטרם מתן גזר דין</w:t>
      </w:r>
      <w:r>
        <w:rPr>
          <w:rtl w:val="true"/>
        </w:rPr>
        <w:t xml:space="preserve">, </w:t>
      </w:r>
      <w:r>
        <w:rPr>
          <w:rtl w:val="true"/>
        </w:rPr>
        <w:t>הורה בית המשפט קמא על עריכת תסקיר שירות המבחן למערער</w:t>
      </w:r>
      <w:r>
        <w:rPr>
          <w:rtl w:val="true"/>
        </w:rPr>
        <w:t xml:space="preserve">, </w:t>
      </w:r>
      <w:r>
        <w:rPr>
          <w:rtl w:val="true"/>
        </w:rPr>
        <w:t xml:space="preserve">נוכח גילו הצעיר </w:t>
      </w:r>
      <w:r>
        <w:rPr>
          <w:rtl w:val="true"/>
        </w:rPr>
        <w:t>–</w:t>
      </w:r>
      <w:r>
        <w:rPr>
          <w:rtl w:val="true"/>
        </w:rPr>
        <w:t xml:space="preserve"> כבן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 ביצוע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תחלואה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כפולה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סכיזופרנית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פרנואידית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והתמכרות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אקטיביים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ובעברו אושפז מספר פעמים במרכז לבריאות הנפש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טירת הכרמל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פורט בתסקיר מצבה הסוציו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אקונומי הקשה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רישומו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החובק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בשיתוף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והתרשמותם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ממיעוט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ומוטיבציה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 שמיעת הצדדים</w:t>
      </w:r>
      <w:r>
        <w:rPr>
          <w:rtl w:val="true"/>
        </w:rPr>
        <w:t xml:space="preserve">, </w:t>
      </w:r>
      <w:r>
        <w:rPr>
          <w:rtl w:val="true"/>
        </w:rPr>
        <w:t>נפנה בית משפט קמא לגזור את עונשו של המערער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קבע בית משפט קמא את מתחם הענישה ההולם</w:t>
      </w:r>
      <w:r>
        <w:rPr>
          <w:rtl w:val="true"/>
        </w:rPr>
        <w:t xml:space="preserve">, </w:t>
      </w:r>
      <w:r>
        <w:rPr>
          <w:rtl w:val="true"/>
        </w:rPr>
        <w:t>ובקשר לכך עמד על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על חומרת מעשה העבירה</w:t>
      </w:r>
      <w:r>
        <w:rPr>
          <w:rtl w:val="true"/>
        </w:rPr>
        <w:t xml:space="preserve">, </w:t>
      </w:r>
      <w:r>
        <w:rPr>
          <w:rtl w:val="true"/>
        </w:rPr>
        <w:t>ועל הערכים המוגנים שנפגעו כתוצאה מהמעשים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קשיש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והוכה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ורגשיים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</w:t>
      </w:r>
      <w:r>
        <w:rPr>
          <w:rtl w:val="true"/>
        </w:rPr>
        <w:t xml:space="preserve">;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2.11.2016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;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כוח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בנימוקיו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בהרחבה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השגותיו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ומיקד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נגרר</w:t>
      </w:r>
      <w:r>
        <w:rPr>
          <w:rtl w:val="true"/>
        </w:rPr>
        <w:t xml:space="preserve">"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sz w:val="24"/>
        </w:rPr>
        <w:t>21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כוח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המשיבה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לדחות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לטענתו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משקף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בוחן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ומאזן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תוצאתו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22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עובר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לדיון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שנערך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הוגש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לעיונו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המתייחס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העדכני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כעולה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מהתסקיר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מוטיבציה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להשתלב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בטיפול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ההתמכרויות</w:t>
      </w:r>
      <w:r>
        <w:rPr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23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דין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להידחות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ערכאת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תתערב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הערכאה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מהותית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חורג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קיצוני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מרמת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המקובלת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למשל</w:t>
      </w:r>
      <w:r>
        <w:rPr>
          <w:sz w:val="24"/>
          <w:rtl w:val="true"/>
        </w:rPr>
        <w:t xml:space="preserve">: </w:t>
      </w:r>
      <w:hyperlink r:id="rId1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1242/97</w:t>
        </w:r>
      </w:hyperlink>
      <w:r>
        <w:rPr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4"/>
          <w:rtl w:val="true"/>
        </w:rPr>
        <w:t>(</w:t>
      </w:r>
      <w:r>
        <w:rPr>
          <w:sz w:val="24"/>
        </w:rPr>
        <w:t>3.2.1998</w:t>
      </w:r>
      <w:r>
        <w:rPr>
          <w:sz w:val="24"/>
          <w:rtl w:val="true"/>
        </w:rPr>
        <w:t>)).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sz w:val="24"/>
        </w:rPr>
        <w:t>24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לאחר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עיון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בהודעת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ונימוקיה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ולאחר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הגענו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למסקנה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החריגים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המצדיקה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התערבותו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4"/>
        </w:rPr>
      </w:pPr>
      <w:r>
        <w:rPr>
          <w:rFonts w:eastAsia="Calibri"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rFonts w:eastAsia="Calibri" w:cs="Century" w:ascii="Century" w:hAnsi="Century"/>
        </w:rPr>
        <w:t>25</w:t>
      </w:r>
      <w:r>
        <w:rPr>
          <w:rFonts w:eastAsia="Calibri" w:cs="Century" w:ascii="Century" w:hAnsi="Century"/>
          <w:rtl w:val="true"/>
        </w:rPr>
        <w:t>.</w:t>
      </w:r>
      <w:r>
        <w:rPr>
          <w:rFonts w:eastAsia="Calibri" w:cs="Century" w:ascii="Century" w:hAnsi="Century"/>
          <w:rtl w:val="true"/>
        </w:rPr>
        <w:tab/>
      </w:r>
      <w:r>
        <w:rPr>
          <w:rFonts w:ascii="Century" w:hAnsi="Century" w:eastAsia="Calibri" w:cs="Century"/>
          <w:rtl w:val="true"/>
        </w:rPr>
        <w:t>כמפורט לעיל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sz w:val="24"/>
          <w:sz w:val="24"/>
          <w:rtl w:val="true"/>
        </w:rPr>
        <w:t>עסקינן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ואכזרית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והמעורב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הנוסף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ארבו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אדם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מתמשך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והמשיכו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להפליא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מכותיהם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שהפילו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ארצה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ושדדו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נכבד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בהתנהגות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המהווה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רעה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הפושה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במחוזותינו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בייחוד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מכוונת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קשישים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וחסרי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המבוצעת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נקבע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3307/08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טועמי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4.3.2009</w:t>
      </w:r>
      <w:r>
        <w:rPr>
          <w:sz w:val="28"/>
          <w:rtl w:val="true"/>
        </w:rPr>
        <w:t>)</w:t>
      </w:r>
      <w:r>
        <w:rPr>
          <w:sz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ובמיוחד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מופנות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לעקור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משורש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דווקא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לאוכלוסייה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אוכלוסיית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הקשישים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אוכלוסייה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משקפת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חברתיות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ומגלמת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אכזריות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ואדישות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>".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sz w:val="24"/>
        </w:rPr>
        <w:t>26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עוד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המגמה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מפסיקותיו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המשלבות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ותקיפת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הנותן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דגש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לעקרונות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הגמול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וההרתעה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למשל</w:t>
      </w:r>
      <w:r>
        <w:rPr>
          <w:sz w:val="24"/>
          <w:rtl w:val="true"/>
        </w:rPr>
        <w:t xml:space="preserve">: </w:t>
      </w:r>
      <w:hyperlink r:id="rId1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5881/14</w:t>
        </w:r>
      </w:hyperlink>
      <w:r>
        <w:rPr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עמנואל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4"/>
          <w:rtl w:val="true"/>
        </w:rPr>
        <w:t>(</w:t>
      </w:r>
      <w:r>
        <w:rPr>
          <w:sz w:val="24"/>
        </w:rPr>
        <w:t>26.7.2015</w:t>
      </w:r>
      <w:r>
        <w:rPr>
          <w:sz w:val="24"/>
          <w:rtl w:val="true"/>
        </w:rPr>
        <w:t>))</w:t>
      </w:r>
      <w:r>
        <w:rPr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27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בהתחשב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במדיניות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sz w:val="24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מתחם הענישה שנקבע למעשי המערער הולם את מעשיו</w:t>
      </w:r>
      <w:r>
        <w:rPr>
          <w:rFonts w:eastAsia="Calibri" w:cs="Century" w:ascii="Century" w:hAnsi="Century"/>
          <w:rtl w:val="true"/>
        </w:rPr>
        <w:t xml:space="preserve">; </w:t>
      </w:r>
      <w:r>
        <w:rPr>
          <w:rFonts w:ascii="Century" w:hAnsi="Century" w:eastAsia="Calibri" w:cs="Century"/>
          <w:rtl w:val="true"/>
        </w:rPr>
        <w:t>העונש שהושת עליו אינו ברף הגבוה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ואין כל מקום להתערב בו</w:t>
      </w:r>
      <w:r>
        <w:rPr>
          <w:rFonts w:eastAsia="Calibri" w:cs="Century" w:ascii="Century" w:hAnsi="Century"/>
          <w:rtl w:val="true"/>
        </w:rPr>
        <w:t xml:space="preserve">; </w:t>
      </w:r>
      <w:r>
        <w:rPr>
          <w:rFonts w:ascii="Century" w:hAnsi="Century" w:eastAsia="Calibri" w:cs="Century"/>
          <w:rtl w:val="true"/>
        </w:rPr>
        <w:t xml:space="preserve">וכי אין להענות </w:t>
      </w:r>
      <w:r>
        <w:rPr>
          <w:sz w:val="24"/>
          <w:sz w:val="24"/>
          <w:rtl w:val="true"/>
        </w:rPr>
        <w:t>לטענותיו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הפרטניות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כוח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שיפורט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28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כקביעת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בהעדר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הפסול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שבמעשהו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לוקה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במחלת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כשלעצמה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להשפיע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קביעת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ההולם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שיקול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רלוונטי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בוחן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קביעת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המתחם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משכך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ומאחר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כוח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ממסקנות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הפסיכיאטר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להידרש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לטענותיו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אשר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מספק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להעדרו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תכנון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מקדים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כדבעי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בשיקול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באופן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מקביעת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לחלקו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ומעורבותו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המעורב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הנוסף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הודאת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בצוותא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המעורב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מדברת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עצמה</w:t>
      </w:r>
      <w:r>
        <w:rPr>
          <w:sz w:val="24"/>
          <w:rtl w:val="true"/>
        </w:rPr>
        <w:t xml:space="preserve">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30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4"/>
          <w:sz w:val="24"/>
          <w:rtl w:val="true"/>
        </w:rPr>
        <w:t>לנסיבותיו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לרבות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ומצבו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הרפואי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היטב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ובסופו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מבוטל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וקבע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בחלקו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התחתון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sz w:val="24"/>
          <w:rtl w:val="true"/>
        </w:rPr>
        <w:t>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אשר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כוח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לשכנע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חורג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ממדיניות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המקובלת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היפוכם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לעמדתנו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העונש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ונוטה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>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sz w:val="24"/>
          <w:sz w:val="24"/>
          <w:rtl w:val="true"/>
        </w:rPr>
        <w:t>כעולה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מהתסקיר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המשלים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שהונח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נתון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לטיפול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פסיכיאטרי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מקבל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שוהה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בתנאי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השגחה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חרף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הנפשית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לתסקיר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שהונח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ומטיעוני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כוח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ניכר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הרפואי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מצריך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התייחסות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ניתנת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מצופה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ישובו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ויבחנו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האמצעים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הטיפוליים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מעת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שהותו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בתנאי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השגחה</w:t>
      </w:r>
      <w:r>
        <w:rPr>
          <w:sz w:val="24"/>
          <w:rtl w:val="true"/>
        </w:rPr>
        <w:t>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</w:rPr>
        <w:t>33</w:t>
      </w:r>
      <w:r>
        <w:rPr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סוף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הערעור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נדחה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בזאת</w:t>
      </w:r>
      <w:r>
        <w:rPr>
          <w:sz w:val="24"/>
          <w:rtl w:val="true"/>
        </w:rPr>
        <w:t>.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1"/>
        <w:ind w:end="0"/>
        <w:jc w:val="both"/>
        <w:rPr>
          <w:sz w:val="24"/>
        </w:rPr>
      </w:pPr>
      <w:r>
        <w:rPr>
          <w:rFonts w:eastAsia="Arial TUR;Arial" w:cs="Arial TUR;Arial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>, ‏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eastAsia="Arial TUR;Arial" w:cs="Arial TUR;Arial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10.1.2018</w:t>
      </w:r>
      <w:r>
        <w:rPr>
          <w:sz w:val="24"/>
          <w:rtl w:val="true"/>
        </w:rPr>
        <w:t xml:space="preserve">). </w:t>
      </w:r>
    </w:p>
    <w:p>
      <w:pPr>
        <w:pStyle w:val="Ruller41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17047770</w:t>
      </w:r>
      <w:r>
        <w:rPr>
          <w:sz w:val="16"/>
          <w:rtl w:val="true"/>
        </w:rPr>
        <w:t>_</w:t>
      </w:r>
      <w:r>
        <w:rPr>
          <w:sz w:val="16"/>
        </w:rPr>
        <w:t>J03.doc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אר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54678313-4777/17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4777/17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tabs>
        <w:tab w:val="left" w:pos="800" w:leader="none"/>
        <w:tab w:val="left" w:pos="907" w:leader="none"/>
      </w:tabs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83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6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case/21480831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i.a.6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755866" TargetMode="External"/><Relationship Id="rId12" Type="http://schemas.openxmlformats.org/officeDocument/2006/relationships/hyperlink" Target="http://www.nevo.co.il/case/5887913" TargetMode="External"/><Relationship Id="rId13" Type="http://schemas.openxmlformats.org/officeDocument/2006/relationships/hyperlink" Target="http://www.nevo.co.il/case/17948114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2018-01-11T11:38:00Z</dcterms:created>
  <dc:creator> </dc:creator>
  <dc:description/>
  <cp:keywords/>
  <dc:language>en-IL</dc:language>
  <cp:lastModifiedBy>orly</cp:lastModifiedBy>
  <cp:lastPrinted>2018-01-10T08:54:00Z</cp:lastPrinted>
  <dcterms:modified xsi:type="dcterms:W3CDTF">2018-01-11T11:38:00Z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23507758;21480831:2;5755866;5887913;17948114</vt:lpwstr>
  </property>
  <property fmtid="{D5CDD505-2E9C-101B-9397-08002B2CF9AE}" pid="9" name="CITY">
    <vt:lpwstr/>
  </property>
  <property fmtid="{D5CDD505-2E9C-101B-9397-08002B2CF9AE}" pid="10" name="DATE">
    <vt:lpwstr>20180110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מינץ;י' אלרון</vt:lpwstr>
  </property>
  <property fmtid="{D5CDD505-2E9C-101B-9397-08002B2CF9AE}" pid="14" name="LAWLISTTMP1">
    <vt:lpwstr>70301/402.b;040i.a.6</vt:lpwstr>
  </property>
  <property fmtid="{D5CDD505-2E9C-101B-9397-08002B2CF9AE}" pid="15" name="LAWYER">
    <vt:lpwstr>ארז בן ארויה;בריק פארס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שוד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נגד קשישים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15019;14903;8995;8982</vt:lpwstr>
  </property>
  <property fmtid="{D5CDD505-2E9C-101B-9397-08002B2CF9AE}" pid="59" name="PADIDATE">
    <vt:lpwstr>20180111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4777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410120180110</vt:lpwstr>
  </property>
  <property fmtid="{D5CDD505-2E9C-101B-9397-08002B2CF9AE}" pid="69" name="TYPE_N_DATE">
    <vt:lpwstr>41020180110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