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4813/17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3275-03-15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דיסקין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רענן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ושלומית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יעקובוביץ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6692" w:type="dxa"/>
        <w:jc w:val="start"/>
        <w:tblInd w:w="180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3435"/>
      </w:tblGrid>
      <w:tr>
        <w:trPr/>
        <w:tc>
          <w:tcPr>
            <w:tcW w:w="3257" w:type="dxa"/>
            <w:tcBorders/>
          </w:tcPr>
          <w:p>
            <w:pPr>
              <w:pStyle w:val="ruller31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הישיבה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3435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בסיון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28.05.18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גלאון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קפלנסקי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יחזקאל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קפלנסקי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נדחה ערעור על עונש בן </w:t>
      </w:r>
      <w:r>
        <w:rPr>
          <w:rFonts w:cs="Times New Roman" w:ascii="Times New Roman" w:hAnsi="Times New Roman"/>
          <w:spacing w:val="0"/>
          <w:szCs w:val="26"/>
        </w:rPr>
        <w:t>9.5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שהושת על המערער בגין הרשעתו בעבירות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זה מקרה המצדיק התערבות בעונש נוכח 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יש לנקוט במדיניות ענישה מחמירה בעבירות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כבר שקל את היות המערער נתין זר ואת עמדתה הרחומה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כשנמנע מלגזור עליו עונש מאסר ארוך מזה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מעשים הנמצאים ברף העליון של עבירות המין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נתין זר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בעבירות מעשה מגונה בכוח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אינוס תוך גרימת חבלה גופנית ומעשה סדום תוך גרימת חבלה גופנית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בשני מקרים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בהדחה בחקירה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ריבוי מקרים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ובשיבוש מהלכי 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גזר על המערער עונש של </w:t>
      </w:r>
      <w:r>
        <w:rPr>
          <w:rFonts w:cs="Times New Roman" w:ascii="Times New Roman" w:hAnsi="Times New Roman"/>
          <w:spacing w:val="0"/>
          <w:szCs w:val="26"/>
        </w:rPr>
        <w:t>9.5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ומאסר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חויב המערער לשלם לנפגעת העבירה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פיצוי בסך </w:t>
      </w:r>
      <w:r>
        <w:rPr>
          <w:rFonts w:cs="Times New Roman" w:ascii="Times New Roman" w:hAnsi="Times New Roman"/>
          <w:spacing w:val="0"/>
          <w:szCs w:val="26"/>
        </w:rPr>
        <w:t>15,000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מתייחס לאורך תקופת המאסר בפועל בלבד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גרוסקופף ובהסכמת השופטים סולברג ומינץ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הלכה היא שערכאת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איננה מחליפה את שיקול דעת הערכאה הדיונית בגזירת עונשו של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התערבות בגזר דין שניתן תיעשה רק במקרים חריגים בהם נפלה טעות מהותית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העונש שנגזר חורג באופן קיצוני מרמת הענישה המקובלת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עניינו של המערער אינו נמנה עם אותם מקרים בהם מוצדקת התערבות בעונש שגזר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 נפסק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הן מהעבירות החמורות ביותר בחוק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 יש לנקוט במדיניות ענישה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נפסק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המסר המתבקש מההחמרה בענישה בעבירות מין הוא כי החברה לא תסכין עם פגיעה חמורה בגופן ובנפשן של קרבנות עבירות מין ואלימות ותוקיע מעשים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באמצעות עונשים חמורים שיבודדו את עבריין המין לתקופה ארוכה מחיים בחברה כאדם חפשי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שהוטל על המערער עולה בקנה אחד עם מגמה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ואינו חורג לחומרה ממדיניות הענישה הנוהגת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אומנם באירוע אחד שנמשך לא יותר משעה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עסקינן בסדרה של עבירות מין הכוללות הפעלת אלימות קשה נגד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חרף אי הסכמתה המפורשת ותחנוניה החוזרים ונשנים כי יחדל ממעשיו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היה זה מקרה האלימות הראשון של המערער כלפי נשים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ניכר כי המערער מגלה דפוס התנהגות חוזר שלא השתנה עם השנים ולקחו טרם נלמד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בכדי נגזרו עליו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וחצי 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הכוללות גם הפעלת עונש מאסר על תנאי בן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בגין הרשעה קודמת בעבירות של הסגת גבול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 שוד בנסיבות מחמירות והיזק בזדון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שהוטל על המערער הוא עונש 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במיוחד בשים לב להיותו נתין 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 עליו לרצות עונש מאסר ממושך בארץ נוכרייה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כבר הביא בחשבון עובדה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את עמדתה הרחומה של המתלוננת כלפי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כשנמנע מלגזור עליו עונש מאסר ארוך מזה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מעשים הנמצאים ברף העליון של עבירות המין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דיסקין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רענן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ושלומית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יעקובוביץ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3275-03-15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30.4.2017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המערער הורשע ביום </w:t>
      </w:r>
      <w:r>
        <w:rPr/>
        <w:t>10.1.2017</w:t>
      </w:r>
      <w:r>
        <w:rPr>
          <w:rtl w:val="true"/>
        </w:rPr>
        <w:t xml:space="preserve">, </w:t>
      </w:r>
      <w:r>
        <w:rPr>
          <w:rtl w:val="true"/>
        </w:rPr>
        <w:t>לאחר ניהול הוכחות</w:t>
      </w:r>
      <w:r>
        <w:rPr>
          <w:rtl w:val="true"/>
        </w:rPr>
        <w:t xml:space="preserve">, </w:t>
      </w:r>
      <w:r>
        <w:rPr>
          <w:rtl w:val="true"/>
        </w:rPr>
        <w:t>בשני אישומים</w:t>
      </w:r>
      <w:r>
        <w:rPr>
          <w:rtl w:val="true"/>
        </w:rPr>
        <w:t xml:space="preserve">. </w:t>
      </w:r>
      <w:r>
        <w:rPr>
          <w:rtl w:val="true"/>
        </w:rPr>
        <w:t xml:space="preserve">באישום הראשון הורשע בעבירות מעשה מגונה בכוח לפי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szCs w:val="24"/>
          <w:rtl w:val="true"/>
        </w:rPr>
        <w:t>חוק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העונשין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 xml:space="preserve">אינוס תוך גרימת חבלה גופנית לפי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ומעשה סדום תוך גרימת חבלה גופנית </w:t>
      </w:r>
      <w:r>
        <w:rPr>
          <w:rtl w:val="true"/>
        </w:rPr>
        <w:t>(</w:t>
      </w:r>
      <w:r>
        <w:rPr>
          <w:rtl w:val="true"/>
        </w:rPr>
        <w:t>בשני מקרים</w:t>
      </w:r>
      <w:r>
        <w:rPr>
          <w:rtl w:val="true"/>
        </w:rPr>
        <w:t xml:space="preserve">)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באישום השני הורשע בהדחה בחקירה </w:t>
      </w:r>
      <w:r>
        <w:rPr>
          <w:rtl w:val="true"/>
        </w:rPr>
        <w:t>(</w:t>
      </w:r>
      <w:r>
        <w:rPr>
          <w:rtl w:val="true"/>
        </w:rPr>
        <w:t>ריבוי מקרים</w:t>
      </w:r>
      <w:r>
        <w:rPr>
          <w:rtl w:val="true"/>
        </w:rPr>
        <w:t xml:space="preserve">) </w:t>
      </w:r>
      <w:r>
        <w:rPr>
          <w:rtl w:val="true"/>
        </w:rPr>
        <w:t xml:space="preserve">לפי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ושיבוש מהלכי משפט לפי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וזאת בהתייחס למסכת האירועים המתוארת להלן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405" w:start="765" w:end="0"/>
        <w:jc w:val="both"/>
        <w:rPr/>
      </w:pPr>
      <w:r>
        <w:rPr>
          <w:rtl w:val="true"/>
        </w:rPr>
        <w:t>המערער והמתלוננת התגוררו בסמיכות במתחם דיור הכולל יחידות דיור בנות חדר אחד</w:t>
      </w:r>
      <w:r>
        <w:rPr>
          <w:rtl w:val="true"/>
        </w:rPr>
        <w:t xml:space="preserve">, </w:t>
      </w:r>
      <w:r>
        <w:rPr>
          <w:rtl w:val="true"/>
        </w:rPr>
        <w:t xml:space="preserve">המושכרות בנפרד לדיירים שונים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חדרים</w:t>
      </w:r>
      <w:r>
        <w:rPr>
          <w:rtl w:val="true"/>
        </w:rPr>
        <w:t xml:space="preserve">"), </w:t>
      </w:r>
      <w:r>
        <w:rPr>
          <w:rtl w:val="true"/>
        </w:rPr>
        <w:t>בעוד המטבח והשירותים היו משותפים לכולם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20.2.2015</w:t>
      </w:r>
      <w:r>
        <w:rPr>
          <w:rtl w:val="true"/>
        </w:rPr>
        <w:t xml:space="preserve"> </w:t>
      </w:r>
      <w:r>
        <w:rPr>
          <w:rtl w:val="true"/>
        </w:rPr>
        <w:t>בשעות אחר הצהריים פגש המערער במתלוננת בבית קפה</w:t>
      </w:r>
      <w:r>
        <w:rPr>
          <w:rtl w:val="true"/>
        </w:rPr>
        <w:t xml:space="preserve">, </w:t>
      </w:r>
      <w:r>
        <w:rPr>
          <w:rtl w:val="true"/>
        </w:rPr>
        <w:t>וכאשר אמרה שהיא הולכת בחזרה לחדרה</w:t>
      </w:r>
      <w:r>
        <w:rPr>
          <w:rtl w:val="true"/>
        </w:rPr>
        <w:t xml:space="preserve">, </w:t>
      </w:r>
      <w:r>
        <w:rPr>
          <w:rtl w:val="true"/>
        </w:rPr>
        <w:t>הוא הצטרף אליה וליווה אותה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405" w:start="765" w:end="0"/>
        <w:jc w:val="both"/>
        <w:rPr/>
      </w:pPr>
      <w:r>
        <w:rPr>
          <w:rtl w:val="true"/>
        </w:rPr>
        <w:t>בהגיעם אל חדרה של המתלוננת</w:t>
      </w:r>
      <w:r>
        <w:rPr>
          <w:rtl w:val="true"/>
        </w:rPr>
        <w:t xml:space="preserve">, </w:t>
      </w:r>
      <w:r>
        <w:rPr>
          <w:rtl w:val="true"/>
        </w:rPr>
        <w:t>הציע המערער למתלוננת לראות את חדרו</w:t>
      </w:r>
      <w:r>
        <w:rPr>
          <w:rtl w:val="true"/>
        </w:rPr>
        <w:t xml:space="preserve">, </w:t>
      </w:r>
      <w:r>
        <w:rPr>
          <w:rtl w:val="true"/>
        </w:rPr>
        <w:t>אך היא סירבה</w:t>
      </w:r>
      <w:r>
        <w:rPr>
          <w:rtl w:val="true"/>
        </w:rPr>
        <w:t xml:space="preserve">. </w:t>
      </w:r>
      <w:r>
        <w:rPr>
          <w:rtl w:val="true"/>
        </w:rPr>
        <w:t>בסמוך לכך</w:t>
      </w:r>
      <w:r>
        <w:rPr>
          <w:rtl w:val="true"/>
        </w:rPr>
        <w:t xml:space="preserve">, </w:t>
      </w:r>
      <w:r>
        <w:rPr>
          <w:rtl w:val="true"/>
        </w:rPr>
        <w:t>נכנס המערער לחדרה של המתלוננת בעקבותיה</w:t>
      </w:r>
      <w:r>
        <w:rPr>
          <w:rtl w:val="true"/>
        </w:rPr>
        <w:t xml:space="preserve">, </w:t>
      </w:r>
      <w:r>
        <w:rPr>
          <w:rtl w:val="true"/>
        </w:rPr>
        <w:t>התיישב על מיטתה</w:t>
      </w:r>
      <w:r>
        <w:rPr>
          <w:rtl w:val="true"/>
        </w:rPr>
        <w:t xml:space="preserve">, </w:t>
      </w:r>
      <w:r>
        <w:rPr>
          <w:rtl w:val="true"/>
        </w:rPr>
        <w:t>משך בידה והושיבה לצדו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המערער ניסה להשכיב את המתלוננת על המיטה</w:t>
      </w:r>
      <w:r>
        <w:rPr>
          <w:rtl w:val="true"/>
        </w:rPr>
        <w:t xml:space="preserve">, </w:t>
      </w:r>
      <w:r>
        <w:rPr>
          <w:rtl w:val="true"/>
        </w:rPr>
        <w:t>תוך שחיבק אותה בכוח בעוד היא התנגדה לו</w:t>
      </w:r>
      <w:r>
        <w:rPr>
          <w:rtl w:val="true"/>
        </w:rPr>
        <w:t xml:space="preserve">. </w:t>
      </w:r>
      <w:r>
        <w:rPr>
          <w:rtl w:val="true"/>
        </w:rPr>
        <w:t>חרף התנגדותה</w:t>
      </w:r>
      <w:r>
        <w:rPr>
          <w:rtl w:val="true"/>
        </w:rPr>
        <w:t xml:space="preserve">, </w:t>
      </w:r>
      <w:r>
        <w:rPr>
          <w:rtl w:val="true"/>
        </w:rPr>
        <w:t xml:space="preserve">אמר לה המערער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סקס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השכיב אותה על המיטה וביצע בה מעשה מגונה בכוח בכך שחיבק אותה בחוזקה</w:t>
      </w:r>
      <w:r>
        <w:rPr>
          <w:rtl w:val="true"/>
        </w:rPr>
        <w:t xml:space="preserve">, </w:t>
      </w:r>
      <w:r>
        <w:rPr>
          <w:rtl w:val="true"/>
        </w:rPr>
        <w:t>תפס בראשה ונישק אותה על שפתיה</w:t>
      </w:r>
      <w:r>
        <w:rPr>
          <w:rtl w:val="true"/>
        </w:rPr>
        <w:t xml:space="preserve">, </w:t>
      </w:r>
      <w:r>
        <w:rPr>
          <w:rtl w:val="true"/>
        </w:rPr>
        <w:t>וזאת בניגוד להסכמתה ותוך שהוא מתעלם מבקשותיה שיחדל ומטענתה שיש לה חבר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405" w:start="765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המתלוננת ביקשה ללכת לשירותים</w:t>
      </w:r>
      <w:r>
        <w:rPr>
          <w:rtl w:val="true"/>
        </w:rPr>
        <w:t xml:space="preserve">, </w:t>
      </w:r>
      <w:r>
        <w:rPr>
          <w:rtl w:val="true"/>
        </w:rPr>
        <w:t>אך המערער לא אפשר לה וכרך את זרועו סביב צווארה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המערער אפשר למתלוננת ללכת לשירותים אך הוא ליווה אותה תוך שאחז בידה בדרכם לשם</w:t>
      </w:r>
      <w:r>
        <w:rPr>
          <w:rtl w:val="true"/>
        </w:rPr>
        <w:t xml:space="preserve">. </w:t>
      </w:r>
      <w:r>
        <w:rPr>
          <w:rtl w:val="true"/>
        </w:rPr>
        <w:t>המתלוננת הצליחה להשתחרר מאחיזתו וניסתה להימלט ממנו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המערער תפס אותה</w:t>
      </w:r>
      <w:r>
        <w:rPr>
          <w:rtl w:val="true"/>
        </w:rPr>
        <w:t xml:space="preserve">, </w:t>
      </w:r>
      <w:r>
        <w:rPr>
          <w:rtl w:val="true"/>
        </w:rPr>
        <w:t>היא התיישבה על הרצפה והחלה לצעוק לעזרה</w:t>
      </w:r>
      <w:r>
        <w:rPr>
          <w:rtl w:val="true"/>
        </w:rPr>
        <w:t xml:space="preserve">, </w:t>
      </w:r>
      <w:r>
        <w:rPr>
          <w:rtl w:val="true"/>
        </w:rPr>
        <w:t>והוא החל לגרור אותה בכוח לחדרו</w:t>
      </w:r>
      <w:r>
        <w:rPr>
          <w:rtl w:val="true"/>
        </w:rPr>
        <w:t xml:space="preserve">, </w:t>
      </w:r>
      <w:r>
        <w:rPr>
          <w:rtl w:val="true"/>
        </w:rPr>
        <w:t>תוך שהוא תופס בידה ובמכנסיה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405" w:start="765" w:end="0"/>
        <w:jc w:val="both"/>
        <w:rPr/>
      </w:pPr>
      <w:r>
        <w:rPr>
          <w:rtl w:val="true"/>
        </w:rPr>
        <w:t>בחדרו</w:t>
      </w:r>
      <w:r>
        <w:rPr>
          <w:rtl w:val="true"/>
        </w:rPr>
        <w:t xml:space="preserve">, </w:t>
      </w:r>
      <w:r>
        <w:rPr>
          <w:rtl w:val="true"/>
        </w:rPr>
        <w:t>המערער דחף את המתלוננת לכיוון מיטתו</w:t>
      </w:r>
      <w:r>
        <w:rPr>
          <w:rtl w:val="true"/>
        </w:rPr>
        <w:t xml:space="preserve">, </w:t>
      </w:r>
      <w:r>
        <w:rPr>
          <w:rtl w:val="true"/>
        </w:rPr>
        <w:t>הוריד את חגורתו והחל לתקוף באמצעותה את המתלוננת וגרם לה לחבלות</w:t>
      </w:r>
      <w:r>
        <w:rPr>
          <w:rtl w:val="true"/>
        </w:rPr>
        <w:t xml:space="preserve">. </w:t>
      </w:r>
      <w:r>
        <w:rPr>
          <w:rtl w:val="true"/>
        </w:rPr>
        <w:t>בניסיון להגן על עצמה</w:t>
      </w:r>
      <w:r>
        <w:rPr>
          <w:rtl w:val="true"/>
        </w:rPr>
        <w:t xml:space="preserve">, </w:t>
      </w:r>
      <w:r>
        <w:rPr>
          <w:rtl w:val="true"/>
        </w:rPr>
        <w:t>המתלוננת נטלה כבל חשמלי שמצאה והכתה באמצעותו במערער</w:t>
      </w:r>
      <w:r>
        <w:rPr>
          <w:rtl w:val="true"/>
        </w:rPr>
        <w:t xml:space="preserve">, </w:t>
      </w:r>
      <w:r>
        <w:rPr>
          <w:rtl w:val="true"/>
        </w:rPr>
        <w:t>וזה נפצע באזור גבת עין שמאל</w:t>
      </w:r>
      <w:r>
        <w:rPr>
          <w:rtl w:val="true"/>
        </w:rPr>
        <w:t xml:space="preserve">. </w:t>
      </w:r>
      <w:r>
        <w:rPr>
          <w:rtl w:val="true"/>
        </w:rPr>
        <w:t>בעודו ממשיך להכות אותה</w:t>
      </w:r>
      <w:r>
        <w:rPr>
          <w:rtl w:val="true"/>
        </w:rPr>
        <w:t xml:space="preserve">, </w:t>
      </w:r>
      <w:r>
        <w:rPr>
          <w:rtl w:val="true"/>
        </w:rPr>
        <w:t>דרש המערער מהמתלוננת להתפשט</w:t>
      </w:r>
      <w:r>
        <w:rPr>
          <w:rtl w:val="true"/>
        </w:rPr>
        <w:t xml:space="preserve">, </w:t>
      </w:r>
      <w:r>
        <w:rPr>
          <w:rtl w:val="true"/>
        </w:rPr>
        <w:t>ומשזו סירבה המשיך לתקוף אותה בכל חלקי גופה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קרע את חולצתה עד שמהפחד מפניו הורידה המתלוננת את שאר בגדיה</w:t>
      </w:r>
      <w:r>
        <w:rPr>
          <w:rtl w:val="true"/>
        </w:rPr>
        <w:t xml:space="preserve">. </w:t>
      </w:r>
      <w:r>
        <w:rPr>
          <w:rtl w:val="true"/>
        </w:rPr>
        <w:t>המערער דחף את המתלוננת על המיטה כשהיא ערומה</w:t>
      </w:r>
      <w:r>
        <w:rPr>
          <w:rtl w:val="true"/>
        </w:rPr>
        <w:t xml:space="preserve">, </w:t>
      </w:r>
      <w:r>
        <w:rPr>
          <w:rtl w:val="true"/>
        </w:rPr>
        <w:t>תפס בשערה והורה לה להוריד את מכנסיו</w:t>
      </w:r>
      <w:r>
        <w:rPr>
          <w:rtl w:val="true"/>
        </w:rPr>
        <w:t xml:space="preserve">. </w:t>
      </w:r>
      <w:r>
        <w:rPr>
          <w:rtl w:val="true"/>
        </w:rPr>
        <w:t>המערער הוריד את שאר בגדיו</w:t>
      </w:r>
      <w:r>
        <w:rPr>
          <w:rtl w:val="true"/>
        </w:rPr>
        <w:t xml:space="preserve">, </w:t>
      </w:r>
      <w:r>
        <w:rPr>
          <w:rtl w:val="true"/>
        </w:rPr>
        <w:t>תפס במתלוננת והורידה לרצפה כך שהיא ישובה על ברכיה מולו והורה לה למצוץ את איבר מינו תוך שאיים עליה כי ימשיך להכותה בחגורתו אם לא תעשה כן</w:t>
      </w:r>
      <w:r>
        <w:rPr>
          <w:rtl w:val="true"/>
        </w:rPr>
        <w:t xml:space="preserve">. </w:t>
      </w:r>
      <w:r>
        <w:rPr>
          <w:rtl w:val="true"/>
        </w:rPr>
        <w:t>המתלוננת בכתה</w:t>
      </w:r>
      <w:r>
        <w:rPr>
          <w:rtl w:val="true"/>
        </w:rPr>
        <w:t xml:space="preserve">, </w:t>
      </w:r>
      <w:r>
        <w:rPr>
          <w:rtl w:val="true"/>
        </w:rPr>
        <w:t>אמרה כי מעולם לא עשתה זאת</w:t>
      </w:r>
      <w:r>
        <w:rPr>
          <w:rtl w:val="true"/>
        </w:rPr>
        <w:t xml:space="preserve">, </w:t>
      </w:r>
      <w:r>
        <w:rPr>
          <w:rtl w:val="true"/>
        </w:rPr>
        <w:t>ואז המערער תפס בשערה ועשה בה מעשה סדום שלא בהסכמתה תוך שהחדיר את איבר מינו לפיה</w:t>
      </w:r>
      <w:r>
        <w:rPr>
          <w:rtl w:val="true"/>
        </w:rPr>
        <w:t xml:space="preserve">. </w:t>
      </w:r>
      <w:r>
        <w:rPr>
          <w:rtl w:val="true"/>
        </w:rPr>
        <w:t>מיד בסמוך לכך</w:t>
      </w:r>
      <w:r>
        <w:rPr>
          <w:rtl w:val="true"/>
        </w:rPr>
        <w:t xml:space="preserve">, </w:t>
      </w:r>
      <w:r>
        <w:rPr>
          <w:rtl w:val="true"/>
        </w:rPr>
        <w:t>סובב המערער את המתלוננת תוך שהוא תופס בשערה</w:t>
      </w:r>
      <w:r>
        <w:rPr>
          <w:rtl w:val="true"/>
        </w:rPr>
        <w:t xml:space="preserve">, </w:t>
      </w:r>
      <w:r>
        <w:rPr>
          <w:rtl w:val="true"/>
        </w:rPr>
        <w:t>כך שהיא מכופפת עם גבה אליו</w:t>
      </w:r>
      <w:r>
        <w:rPr>
          <w:rtl w:val="true"/>
        </w:rPr>
        <w:t xml:space="preserve">, </w:t>
      </w:r>
      <w:r>
        <w:rPr>
          <w:rtl w:val="true"/>
        </w:rPr>
        <w:t>ובעל אותה שלא בהסכמתה על ידי החדרת איבר מינו לאיבר מינה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הורה למתלוננת לשבת על המיטה ושב וביצע מעשה סדום תוך שהחדיר את איבר מינו לפיה</w:t>
      </w:r>
      <w:r>
        <w:rPr>
          <w:rtl w:val="true"/>
        </w:rPr>
        <w:t xml:space="preserve">, </w:t>
      </w:r>
      <w:r>
        <w:rPr>
          <w:rtl w:val="true"/>
        </w:rPr>
        <w:t>בניגוד להסכמתה וחרף תחנוניה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405" w:start="765" w:end="0"/>
        <w:jc w:val="both"/>
        <w:rPr/>
      </w:pPr>
      <w:r>
        <w:rPr>
          <w:rtl w:val="true"/>
        </w:rPr>
        <w:t>מאוחר יותר</w:t>
      </w:r>
      <w:r>
        <w:rPr>
          <w:rtl w:val="true"/>
        </w:rPr>
        <w:t xml:space="preserve">, </w:t>
      </w:r>
      <w:r>
        <w:rPr>
          <w:rtl w:val="true"/>
        </w:rPr>
        <w:t xml:space="preserve">במהלך חודש מאי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במספר הזדמנויות התקשר המערער למתלוננת מבית המעצר אבו</w:t>
      </w:r>
      <w:r>
        <w:rPr>
          <w:rtl w:val="true"/>
        </w:rPr>
        <w:t>-</w:t>
      </w:r>
      <w:r>
        <w:rPr>
          <w:rtl w:val="true"/>
        </w:rPr>
        <w:t xml:space="preserve">כביר וביקש ממנה </w:t>
      </w:r>
      <w:r>
        <w:rPr>
          <w:rtl w:val="true"/>
        </w:rPr>
        <w:t>"</w:t>
      </w:r>
      <w:r>
        <w:rPr>
          <w:rtl w:val="true"/>
        </w:rPr>
        <w:t>לסגור את התיק</w:t>
      </w:r>
      <w:r>
        <w:rPr>
          <w:rtl w:val="true"/>
        </w:rPr>
        <w:t xml:space="preserve">".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המערער ניסה להניע את המתלוננת שתחזור בה מההודעה שמסרה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להשלמת התמונה יובהר כי המערער הודה בקיום יחסי מין עם המתלוננת במועד ובמקום המצוינים</w:t>
      </w:r>
      <w:r>
        <w:rPr>
          <w:rtl w:val="true"/>
        </w:rPr>
        <w:t xml:space="preserve">, </w:t>
      </w:r>
      <w:r>
        <w:rPr>
          <w:rtl w:val="true"/>
        </w:rPr>
        <w:t>אך טען כי הקשר שנרקם בין השניים בימים שקדמו ליום האירוע היה קשר רומנטי ומתפתח</w:t>
      </w:r>
      <w:r>
        <w:rPr>
          <w:rtl w:val="true"/>
        </w:rPr>
        <w:t xml:space="preserve">, </w:t>
      </w:r>
      <w:r>
        <w:rPr>
          <w:rtl w:val="true"/>
        </w:rPr>
        <w:t>שכלל חיבוקים ונשיקות בפומבי</w:t>
      </w:r>
      <w:r>
        <w:rPr>
          <w:rtl w:val="true"/>
        </w:rPr>
        <w:t xml:space="preserve">. </w:t>
      </w:r>
      <w:r>
        <w:rPr>
          <w:rtl w:val="true"/>
        </w:rPr>
        <w:t>על רקע זה טען כי ביום האירוע קיימו יחסי מין בהסכמה</w:t>
      </w:r>
      <w:r>
        <w:rPr>
          <w:rtl w:val="true"/>
        </w:rPr>
        <w:t xml:space="preserve">, </w:t>
      </w:r>
      <w:r>
        <w:rPr>
          <w:rtl w:val="true"/>
        </w:rPr>
        <w:t>ללא כל אלימות פיזית או כפייה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הכחיש המערער את קיומם של יחסי המין האוראליים</w:t>
      </w:r>
      <w:r>
        <w:rPr>
          <w:rtl w:val="true"/>
        </w:rPr>
        <w:t xml:space="preserve">. </w:t>
      </w:r>
      <w:r>
        <w:rPr>
          <w:rtl w:val="true"/>
        </w:rPr>
        <w:t>את פציעתו באזור הגבה</w:t>
      </w:r>
      <w:r>
        <w:rPr>
          <w:rtl w:val="true"/>
        </w:rPr>
        <w:t xml:space="preserve">, </w:t>
      </w:r>
      <w:r>
        <w:rPr>
          <w:rtl w:val="true"/>
        </w:rPr>
        <w:t>שעל פי כתב האישום נגרמה על ידי המתלוננת תוך כדי מאבקה בו</w:t>
      </w:r>
      <w:r>
        <w:rPr>
          <w:rtl w:val="true"/>
        </w:rPr>
        <w:t xml:space="preserve">, </w:t>
      </w:r>
      <w:r>
        <w:rPr>
          <w:rtl w:val="true"/>
        </w:rPr>
        <w:t>הסביר המערער כחבלה שהתרחשה במהלך עבודתו</w:t>
      </w:r>
      <w:r>
        <w:rPr>
          <w:rtl w:val="true"/>
        </w:rPr>
        <w:t xml:space="preserve">. </w:t>
      </w:r>
      <w:r>
        <w:rPr>
          <w:rtl w:val="true"/>
        </w:rPr>
        <w:t xml:space="preserve">בכל הנוגע לשיחות הטלפון עם המתלוננת במהלך חודש מאי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כפר המערער מכל וכל בעובדות ובביצוע העבירות שיוחסו לו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בית משפט קמא אימץ את גרסתה של המתלוננת</w:t>
      </w:r>
      <w:r>
        <w:rPr>
          <w:rtl w:val="true"/>
        </w:rPr>
        <w:t xml:space="preserve">, </w:t>
      </w:r>
      <w:r>
        <w:rPr>
          <w:rtl w:val="true"/>
        </w:rPr>
        <w:t>ודחה את גרסתו של המערער</w:t>
      </w:r>
      <w:r>
        <w:rPr>
          <w:rtl w:val="true"/>
        </w:rPr>
        <w:t xml:space="preserve">, </w:t>
      </w:r>
      <w:r>
        <w:rPr>
          <w:rtl w:val="true"/>
        </w:rPr>
        <w:t>תוך שהוא מציין את הדברים הבאים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עוצמת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והחיזוקים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שנמצאו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הותיר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וניכר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ומבלי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לבדיקה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מדוקדקת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ומהימנה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שבחנו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הגרסה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נדחית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ההיגיון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ועמידתה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בסתירה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לממצאים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חיצוניים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שנמצא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האוזן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לפסק הדין</w:t>
      </w:r>
      <w:r>
        <w:rPr>
          <w:rtl w:val="true"/>
        </w:rPr>
        <w:t xml:space="preserve">). </w:t>
      </w:r>
      <w:r>
        <w:rPr>
          <w:rtl w:val="true"/>
        </w:rPr>
        <w:t xml:space="preserve">כן דחה בית המשפט את טענותיו של המערער באשר לשיחות הטלפון עם המתלוננת במהלך חודש מאי </w:t>
      </w:r>
      <w:r>
        <w:rPr/>
        <w:t>2015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Normal"/>
        <w:ind w:end="0"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גזר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דין</w:t>
      </w:r>
    </w:p>
    <w:p>
      <w:pPr>
        <w:pStyle w:val="Ruller4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בגזר דינו מיום </w:t>
      </w:r>
      <w:r>
        <w:rPr/>
        <w:t>30.4.2017</w:t>
      </w:r>
      <w:r>
        <w:rPr>
          <w:rtl w:val="true"/>
        </w:rPr>
        <w:t xml:space="preserve"> </w:t>
      </w:r>
      <w:r>
        <w:rPr>
          <w:rtl w:val="true"/>
        </w:rPr>
        <w:t xml:space="preserve">קבע בית משפט קמא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אישומים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מגולל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נפרד</w:t>
      </w:r>
      <w:r>
        <w:rPr>
          <w:rtl w:val="true"/>
        </w:rPr>
        <w:t xml:space="preserve">", </w:t>
      </w:r>
      <w:r>
        <w:rPr>
          <w:rtl w:val="true"/>
        </w:rPr>
        <w:t xml:space="preserve">וציין כי בבחינת האירועים מושא שני האישומים לא נמצא </w:t>
      </w:r>
      <w:r>
        <w:rPr>
          <w:rtl w:val="true"/>
        </w:rPr>
        <w:t>"</w:t>
      </w:r>
      <w:r>
        <w:rPr>
          <w:rtl w:val="true"/>
        </w:rPr>
        <w:t>קשר הדוק</w:t>
      </w:r>
      <w:r>
        <w:rPr>
          <w:rtl w:val="true"/>
        </w:rPr>
        <w:t xml:space="preserve">" </w:t>
      </w:r>
      <w:r>
        <w:rPr>
          <w:rtl w:val="true"/>
        </w:rPr>
        <w:t>בין המעשים המפורטים בהם</w:t>
      </w:r>
      <w:r>
        <w:rPr>
          <w:rtl w:val="true"/>
        </w:rPr>
        <w:t xml:space="preserve">, </w:t>
      </w:r>
      <w:r>
        <w:rPr>
          <w:rtl w:val="true"/>
        </w:rPr>
        <w:t>שכן אמנם אירעו כלפי אותה מתלוננת אך במועדים ובמקומות שונים</w:t>
      </w:r>
      <w:r>
        <w:rPr>
          <w:rtl w:val="true"/>
        </w:rPr>
        <w:t xml:space="preserve">. </w:t>
      </w:r>
      <w:r>
        <w:rPr>
          <w:rtl w:val="true"/>
        </w:rPr>
        <w:t>על כן נקבע כי מדובר במספר עבירות המהוות שני אירועים נבדלים</w:t>
      </w:r>
      <w:r>
        <w:rPr>
          <w:rtl w:val="true"/>
        </w:rPr>
        <w:t xml:space="preserve">, </w:t>
      </w:r>
      <w:r>
        <w:rPr>
          <w:rtl w:val="true"/>
        </w:rPr>
        <w:t>שיש לקבוע מתחם ענישה נפרד לכל אחד מהם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במסגרת הראיות לעונש התייצבה המתלוננת כעדת אופי מטעם ההגנה</w:t>
      </w:r>
      <w:r>
        <w:rPr>
          <w:rtl w:val="true"/>
        </w:rPr>
        <w:t xml:space="preserve">. </w:t>
      </w:r>
      <w:r>
        <w:rPr>
          <w:rtl w:val="true"/>
        </w:rPr>
        <w:t>המתלוננת ביקשה את שחרור המערער מן הטעם שסלחה לו על מעשיו</w:t>
      </w:r>
      <w:r>
        <w:rPr>
          <w:rtl w:val="true"/>
        </w:rPr>
        <w:t xml:space="preserve">, </w:t>
      </w:r>
      <w:r>
        <w:rPr>
          <w:rtl w:val="true"/>
        </w:rPr>
        <w:t>והיות והיא רואה בתקופת מעצרו עד כה עונש מספק</w:t>
      </w:r>
      <w:r>
        <w:rPr>
          <w:rtl w:val="true"/>
        </w:rPr>
        <w:t xml:space="preserve">. </w:t>
      </w:r>
      <w:r>
        <w:rPr>
          <w:rtl w:val="true"/>
        </w:rPr>
        <w:t>עוד ציינה כי מאז האירועים היא מקיימת קשר זוגי ואף נולד לה ילד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בבואו לקבוע את מתחם העונש ההולם באשר לאישום הראשון עמד בית משפט קמא על הערכים החברתיים המוגנים באמצעות הענישה על עבירות מין</w:t>
      </w:r>
      <w:r>
        <w:rPr>
          <w:rtl w:val="true"/>
        </w:rPr>
        <w:t xml:space="preserve">, </w:t>
      </w:r>
      <w:r>
        <w:rPr>
          <w:rtl w:val="true"/>
        </w:rPr>
        <w:t>ועל הפגיעה החמורה הטמונה בעבירות הללו</w:t>
      </w:r>
      <w:r>
        <w:rPr>
          <w:rtl w:val="true"/>
        </w:rPr>
        <w:t xml:space="preserve">, </w:t>
      </w:r>
      <w:r>
        <w:rPr>
          <w:rtl w:val="true"/>
        </w:rPr>
        <w:t>ובכלל זאת</w:t>
      </w:r>
      <w:r>
        <w:rPr>
          <w:rtl w:val="true"/>
        </w:rPr>
        <w:t xml:space="preserve">: </w:t>
      </w:r>
      <w:r>
        <w:rPr>
          <w:rtl w:val="true"/>
        </w:rPr>
        <w:t>הפגיעה בכבוד האדם</w:t>
      </w:r>
      <w:r>
        <w:rPr>
          <w:rtl w:val="true"/>
        </w:rPr>
        <w:t xml:space="preserve">, </w:t>
      </w:r>
      <w:r>
        <w:rPr>
          <w:rtl w:val="true"/>
        </w:rPr>
        <w:t>בביטחונה של המתלוננת</w:t>
      </w:r>
      <w:r>
        <w:rPr>
          <w:rtl w:val="true"/>
        </w:rPr>
        <w:t xml:space="preserve">, </w:t>
      </w:r>
      <w:r>
        <w:rPr>
          <w:rtl w:val="true"/>
        </w:rPr>
        <w:t>בזכותה המוחלטת לבחירה אישית מה ייעשה בגופה</w:t>
      </w:r>
      <w:r>
        <w:rPr>
          <w:rtl w:val="true"/>
        </w:rPr>
        <w:t xml:space="preserve">, </w:t>
      </w:r>
      <w:r>
        <w:rPr>
          <w:rtl w:val="true"/>
        </w:rPr>
        <w:t>בחדירה לפרטיותה ועוגמת הנפש שהותירה אצלה צלקות נפשיות ומשקעים לאורך זמן</w:t>
      </w:r>
      <w:r>
        <w:rPr>
          <w:rtl w:val="true"/>
        </w:rPr>
        <w:t xml:space="preserve">. </w:t>
      </w:r>
      <w:r>
        <w:rPr>
          <w:rtl w:val="true"/>
        </w:rPr>
        <w:t>בהיבט של נסיבות ביצוע העבירות בית המשפט קבע כי הגם שמדובר באירוע אחד</w:t>
      </w:r>
      <w:r>
        <w:rPr>
          <w:rtl w:val="true"/>
        </w:rPr>
        <w:t xml:space="preserve">, </w:t>
      </w:r>
      <w:r>
        <w:rPr>
          <w:rtl w:val="true"/>
        </w:rPr>
        <w:t>המערער ביצע שורה של עבירות מין קשות במתלוננת</w:t>
      </w:r>
      <w:r>
        <w:rPr>
          <w:rtl w:val="true"/>
        </w:rPr>
        <w:t xml:space="preserve">, </w:t>
      </w:r>
      <w:r>
        <w:rPr>
          <w:rtl w:val="true"/>
        </w:rPr>
        <w:t>תוך שימוש באלימות ובתוקפנות ברוטאלית</w:t>
      </w:r>
      <w:r>
        <w:rPr>
          <w:rtl w:val="true"/>
        </w:rPr>
        <w:t xml:space="preserve">, </w:t>
      </w:r>
      <w:r>
        <w:rPr>
          <w:rtl w:val="true"/>
        </w:rPr>
        <w:t>כשהוא אוטם ליבו לתחנוניה וגורם לחבלות בגופה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סבר כי כל אלה נסיבות אשר מגבירות את חומרת העבירות ואת אשמו של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בבואו לקבוע את מתחם העונש ההולם באשר לאישום השני עמד בית משפט קמא על הערכים החברתיים המוגנים בעבירות ההדחה ושיבוש מהלכי משפט ומידת הפגיעה בהם</w:t>
      </w:r>
      <w:r>
        <w:rPr>
          <w:rtl w:val="true"/>
        </w:rPr>
        <w:t xml:space="preserve">, </w:t>
      </w:r>
      <w:r>
        <w:rPr>
          <w:rtl w:val="true"/>
        </w:rPr>
        <w:t>ובכלל זאת</w:t>
      </w:r>
      <w:r>
        <w:rPr>
          <w:rtl w:val="true"/>
        </w:rPr>
        <w:t xml:space="preserve">: </w:t>
      </w:r>
      <w:r>
        <w:rPr>
          <w:rtl w:val="true"/>
        </w:rPr>
        <w:t>פגיעה בטוהר ותקינות ההליך המשפטי</w:t>
      </w:r>
      <w:r>
        <w:rPr>
          <w:rtl w:val="true"/>
        </w:rPr>
        <w:t xml:space="preserve">, </w:t>
      </w:r>
      <w:r>
        <w:rPr>
          <w:rtl w:val="true"/>
        </w:rPr>
        <w:t>באפשרות גילוי האמת וביכולת לעשות משפט צדק</w:t>
      </w:r>
      <w:r>
        <w:rPr>
          <w:rtl w:val="true"/>
        </w:rPr>
        <w:t xml:space="preserve">. </w:t>
      </w:r>
      <w:r>
        <w:rPr>
          <w:rtl w:val="true"/>
        </w:rPr>
        <w:t>בהיבט של 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בית המשפט ציין לחומרה את העובדה שבמהלך מעצרו התקשר המערער מספר פעמים למתלוננת ודרש ממנה לבטל את תלונתה</w:t>
      </w:r>
      <w:r>
        <w:rPr>
          <w:rtl w:val="true"/>
        </w:rPr>
        <w:t xml:space="preserve">, </w:t>
      </w:r>
      <w:r>
        <w:rPr>
          <w:rtl w:val="true"/>
        </w:rPr>
        <w:t>דבר שמעיד על כך שלא מדובר באירוע אקראי או חד פעמי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סיכומו של דבר</w:t>
      </w:r>
      <w:r>
        <w:rPr>
          <w:rtl w:val="true"/>
        </w:rPr>
        <w:t xml:space="preserve">, </w:t>
      </w:r>
      <w:r>
        <w:rPr>
          <w:rtl w:val="true"/>
        </w:rPr>
        <w:t>ובהתייחס למדיניות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קמא כי מתחם הענישה הראוי באישום הראשון הוא בטווח שבין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ובגין האישום השני הוא בטווח שבין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לצורך 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 xml:space="preserve">שקל בית המשפט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לחומרא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את עברו הפלילי של המערער בעבירת אלימות וכן את הרשעתו בעבירות של הסגת גבול פלילית וניסיון לתקיפת אדם לשם שוד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33900-08-11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בגדרה הוטל עליו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שהוא בר הפעלה בתיק זה</w:t>
      </w:r>
      <w:r>
        <w:rPr>
          <w:rtl w:val="true"/>
        </w:rPr>
        <w:t xml:space="preserve">. </w:t>
      </w:r>
      <w:r>
        <w:rPr>
          <w:rtl w:val="true"/>
        </w:rPr>
        <w:t>עוד ציין בית המשפט כי לאורך כל הדרך לא נעשה מצד המערער אף צעד לנטילת אחריות על מעשיו או לתיקון תוצאות העבירות שביצע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Fonts w:ascii="Century" w:hAnsi="Century" w:cs="Century"/>
          <w:sz w:val="22"/>
          <w:sz w:val="22"/>
          <w:rtl w:val="true"/>
        </w:rPr>
        <w:t>במסגרת השיקולים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שקל בית המשפט את עדות המתלוננת במסגרת הראיות לעונש</w:t>
      </w:r>
      <w:r>
        <w:rPr>
          <w:rtl w:val="true"/>
        </w:rPr>
        <w:t xml:space="preserve">, </w:t>
      </w:r>
      <w:r>
        <w:rPr>
          <w:rtl w:val="true"/>
        </w:rPr>
        <w:t>ובקשתה להקל בעונשו של המערער</w:t>
      </w:r>
      <w:r>
        <w:rPr>
          <w:rtl w:val="true"/>
        </w:rPr>
        <w:t xml:space="preserve">. </w:t>
      </w:r>
      <w:r>
        <w:rPr>
          <w:rtl w:val="true"/>
        </w:rPr>
        <w:t>עוד ציין בית המשפט בהקשר זה כי אמנם אין תסקיר נפגעת עבירה</w:t>
      </w:r>
      <w:r>
        <w:rPr>
          <w:rtl w:val="true"/>
        </w:rPr>
        <w:t xml:space="preserve">, </w:t>
      </w:r>
      <w:r>
        <w:rPr>
          <w:rtl w:val="true"/>
        </w:rPr>
        <w:t>אך העובדה כי המתלוננת הגיעה לבית המשפט מלווה בבן זוגה לחיים</w:t>
      </w:r>
      <w:r>
        <w:rPr>
          <w:rtl w:val="true"/>
        </w:rPr>
        <w:t xml:space="preserve">, </w:t>
      </w:r>
      <w:r>
        <w:rPr>
          <w:rtl w:val="true"/>
        </w:rPr>
        <w:t>וכחודש לאחר לידת בנם המשותף</w:t>
      </w:r>
      <w:r>
        <w:rPr>
          <w:rtl w:val="true"/>
        </w:rPr>
        <w:t xml:space="preserve">, </w:t>
      </w:r>
      <w:r>
        <w:rPr>
          <w:rtl w:val="true"/>
        </w:rPr>
        <w:t>מעידה על כברת דרך שעשתה בשיקום חייה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נקבע כי יש להתייחס לנסיבות חייו של המערער</w:t>
      </w:r>
      <w:r>
        <w:rPr>
          <w:rtl w:val="true"/>
        </w:rPr>
        <w:t xml:space="preserve">, </w:t>
      </w:r>
      <w:r>
        <w:rPr>
          <w:rtl w:val="true"/>
        </w:rPr>
        <w:t>מצבו האישי</w:t>
      </w:r>
      <w:r>
        <w:rPr>
          <w:rtl w:val="true"/>
        </w:rPr>
        <w:t>-</w:t>
      </w:r>
      <w:r>
        <w:rPr>
          <w:rtl w:val="true"/>
        </w:rPr>
        <w:t>משפחתי</w:t>
      </w:r>
      <w:r>
        <w:rPr>
          <w:rtl w:val="true"/>
        </w:rPr>
        <w:t xml:space="preserve">, </w:t>
      </w:r>
      <w:r>
        <w:rPr>
          <w:rtl w:val="true"/>
        </w:rPr>
        <w:t>ובעיקר להשלכות של היותו נתין זר בישראל על תנאי מאסרו</w:t>
      </w:r>
      <w:r>
        <w:rPr>
          <w:rtl w:val="true"/>
        </w:rPr>
        <w:t xml:space="preserve">, </w:t>
      </w:r>
      <w:r>
        <w:rPr>
          <w:rtl w:val="true"/>
        </w:rPr>
        <w:t>ובכלל זאת קשיי השפה</w:t>
      </w:r>
      <w:r>
        <w:rPr>
          <w:rtl w:val="true"/>
        </w:rPr>
        <w:t xml:space="preserve">, </w:t>
      </w:r>
      <w:r>
        <w:rPr>
          <w:rtl w:val="true"/>
        </w:rPr>
        <w:t>היעדר משפחה ומכרים</w:t>
      </w:r>
      <w:r>
        <w:rPr>
          <w:rtl w:val="true"/>
        </w:rPr>
        <w:t xml:space="preserve">, </w:t>
      </w:r>
      <w:r>
        <w:rPr>
          <w:rtl w:val="true"/>
        </w:rPr>
        <w:t xml:space="preserve">אי יציאה לחופשות ואי קבלת ביקורים </w:t>
      </w:r>
      <w:r>
        <w:rPr>
          <w:rtl w:val="true"/>
        </w:rPr>
        <w:t>–</w:t>
      </w:r>
      <w:r>
        <w:rPr>
          <w:rtl w:val="true"/>
        </w:rPr>
        <w:t xml:space="preserve"> כל אלה יחד עלולים להקשות על מאסרו ולגרום לו סבל במהלכו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 xml:space="preserve">על סמך כל אלה הוטל על המערער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בניכוי ימי מעצרו</w:t>
      </w:r>
      <w:r>
        <w:rPr>
          <w:rtl w:val="true"/>
        </w:rPr>
        <w:t xml:space="preserve">;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כאשר התנאי הוא כי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 לא יעבור המערער עבירות מין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כאשר התנאי הוא כי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מיום שחרורו ממאסר לא יעבור המערער עבירות על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246-243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 xml:space="preserve">ותשלום פיצוי של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למתלוננת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תמצית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טענות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הצדדים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בערעור</w:t>
      </w:r>
    </w:p>
    <w:p>
      <w:pPr>
        <w:pStyle w:val="Ruller4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לטענת המערער שגה בית משפט קמא בכך שגזר עליו עונש חמור בנסיבות הכוללות של האירוע</w:t>
      </w:r>
      <w:r>
        <w:rPr>
          <w:rtl w:val="true"/>
        </w:rPr>
        <w:t xml:space="preserve">, </w:t>
      </w:r>
      <w:r>
        <w:rPr>
          <w:rtl w:val="true"/>
        </w:rPr>
        <w:t>ובהתחשב בנסיבותיו האישיות של המערער</w:t>
      </w:r>
      <w:r>
        <w:rPr>
          <w:rtl w:val="true"/>
        </w:rPr>
        <w:t xml:space="preserve">. </w:t>
      </w:r>
      <w:r>
        <w:rPr>
          <w:rtl w:val="true"/>
        </w:rPr>
        <w:t>למערער ולמתלוננת הייתה היכרות קודמת</w:t>
      </w:r>
      <w:r>
        <w:rPr>
          <w:rtl w:val="true"/>
        </w:rPr>
        <w:t xml:space="preserve">, </w:t>
      </w:r>
      <w:r>
        <w:rPr>
          <w:rtl w:val="true"/>
        </w:rPr>
        <w:t>כאשר המתלוננת מסרה בעדותה במשטרה כי לפי המקובל במדינה היא הייתה מתחתנת עם המערער אם היה מסכים לכך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עזב את ארצו בעקבות מלחמה שפרצה בין אתיופיה לאריתריאה</w:t>
      </w:r>
      <w:r>
        <w:rPr>
          <w:rtl w:val="true"/>
        </w:rPr>
        <w:t xml:space="preserve">, </w:t>
      </w:r>
      <w:r>
        <w:rPr>
          <w:rtl w:val="true"/>
        </w:rPr>
        <w:t xml:space="preserve">שהה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במחנה מעצר</w:t>
      </w:r>
      <w:r>
        <w:rPr>
          <w:rtl w:val="true"/>
        </w:rPr>
        <w:t xml:space="preserve">, </w:t>
      </w:r>
      <w:r>
        <w:rPr>
          <w:rtl w:val="true"/>
        </w:rPr>
        <w:t>נדד רבות עד הגיעו לארץ</w:t>
      </w:r>
      <w:r>
        <w:rPr>
          <w:rtl w:val="true"/>
        </w:rPr>
        <w:t xml:space="preserve">, </w:t>
      </w:r>
      <w:r>
        <w:rPr>
          <w:rtl w:val="true"/>
        </w:rPr>
        <w:t>סבל מקשיי קליטה</w:t>
      </w:r>
      <w:r>
        <w:rPr>
          <w:rtl w:val="true"/>
        </w:rPr>
        <w:t xml:space="preserve">, </w:t>
      </w:r>
      <w:r>
        <w:rPr>
          <w:rtl w:val="true"/>
        </w:rPr>
        <w:t>קשיים כלכליים ועוד</w:t>
      </w:r>
      <w:r>
        <w:rPr>
          <w:rtl w:val="true"/>
        </w:rPr>
        <w:t xml:space="preserve">. </w:t>
      </w:r>
      <w:r>
        <w:rPr>
          <w:rtl w:val="true"/>
        </w:rPr>
        <w:t>כן נטען כי בית המשפט קבע מתחם ענישה גבוה ממקרים דומים אחרים שעלו בפסיקה ומיקם את המערער ברף הגבוה של המתחם</w:t>
      </w:r>
      <w:r>
        <w:rPr>
          <w:rtl w:val="true"/>
        </w:rPr>
        <w:t xml:space="preserve">. </w:t>
      </w:r>
      <w:r>
        <w:rPr>
          <w:rtl w:val="true"/>
        </w:rPr>
        <w:t>בנוסף נטען כי בית משפט קמא לא התחשב בהיות המערער נתין זר</w:t>
      </w:r>
      <w:r>
        <w:rPr>
          <w:rtl w:val="true"/>
        </w:rPr>
        <w:t xml:space="preserve">, </w:t>
      </w:r>
      <w:r>
        <w:rPr>
          <w:rtl w:val="true"/>
        </w:rPr>
        <w:t>ובהשפעה השלילית שיש לעובדה זו בזמן ריצוי מאסרו</w:t>
      </w:r>
      <w:r>
        <w:rPr>
          <w:rtl w:val="true"/>
        </w:rPr>
        <w:t xml:space="preserve">. </w:t>
      </w:r>
      <w:r>
        <w:rPr>
          <w:rtl w:val="true"/>
        </w:rPr>
        <w:t>נראה כי לא ייצא לחופשות</w:t>
      </w:r>
      <w:r>
        <w:rPr>
          <w:rtl w:val="true"/>
        </w:rPr>
        <w:t xml:space="preserve">, </w:t>
      </w:r>
      <w:r>
        <w:rPr>
          <w:rtl w:val="true"/>
        </w:rPr>
        <w:t>לא יקבל ביקורים</w:t>
      </w:r>
      <w:r>
        <w:rPr>
          <w:rtl w:val="true"/>
        </w:rPr>
        <w:t xml:space="preserve">, </w:t>
      </w:r>
      <w:r>
        <w:rPr>
          <w:rtl w:val="true"/>
        </w:rPr>
        <w:t>לא יוכל להשתלב בתכניות שיקומיות הכוללות קיצור העונש</w:t>
      </w:r>
      <w:r>
        <w:rPr>
          <w:rtl w:val="true"/>
        </w:rPr>
        <w:t xml:space="preserve">, </w:t>
      </w:r>
      <w:r>
        <w:rPr>
          <w:rtl w:val="true"/>
        </w:rPr>
        <w:t>ולפיכך יסבול יותר מאשר אסיר שהוא אזרח ישראלי</w:t>
      </w:r>
      <w:r>
        <w:rPr>
          <w:rtl w:val="true"/>
        </w:rPr>
        <w:t xml:space="preserve">. </w:t>
      </w:r>
      <w:r>
        <w:rPr>
          <w:rtl w:val="true"/>
        </w:rPr>
        <w:t>עוד נטען כי לא ניתן משקל מספיק להיות המערער עצור בתנאים לא קלים במהלך המשפט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טען המערער כי שגה בית משפט קמא בכך שבעת גזירת עונשו של המערער לא נתן משקל מספק לעדות המתלוננת</w:t>
      </w:r>
      <w:r>
        <w:rPr>
          <w:rtl w:val="true"/>
        </w:rPr>
        <w:t xml:space="preserve">, </w:t>
      </w:r>
      <w:r>
        <w:rPr>
          <w:rtl w:val="true"/>
        </w:rPr>
        <w:t>אשר מרצונה ביקשה להקל בעונשו</w:t>
      </w:r>
      <w:r>
        <w:rPr>
          <w:rtl w:val="true"/>
        </w:rPr>
        <w:t xml:space="preserve">. </w:t>
      </w:r>
      <w:r>
        <w:rPr>
          <w:rtl w:val="true"/>
        </w:rPr>
        <w:t>כן ביקש להתחשב בדברים שכתב המערער לעניין חרטתו המלאה על 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המשיבה טענה כי יש לדחות את הערעור וסמכה ידיה על גזר דינו של בית משפט קמא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העונש שהושת על המערער מקל בהתחשב במסכת האלימות הברוטלית והקשה</w:t>
      </w:r>
      <w:r>
        <w:rPr>
          <w:rtl w:val="true"/>
        </w:rPr>
        <w:t xml:space="preserve">, </w:t>
      </w:r>
      <w:r>
        <w:rPr>
          <w:rtl w:val="true"/>
        </w:rPr>
        <w:t>וזאת בשל בקשת המתלוננת שלא להחמיר בעונשו ונסיבותיו האישיות הקשות</w:t>
      </w:r>
      <w:r>
        <w:rPr>
          <w:rtl w:val="true"/>
        </w:rPr>
        <w:t xml:space="preserve">, </w:t>
      </w:r>
      <w:r>
        <w:rPr>
          <w:rtl w:val="true"/>
        </w:rPr>
        <w:t>ואין מקום ללכת לקראת המערער מעבר לכך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3702/14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28.</w:t>
      </w:r>
      <w:r>
        <w:rPr/>
        <w:t>9</w:t>
      </w:r>
      <w:r>
        <w:rPr/>
        <w:t>.2014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6294/11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170</w:t>
      </w:r>
      <w:r>
        <w:rPr>
          <w:rtl w:val="true"/>
        </w:rPr>
        <w:t xml:space="preserve"> (</w:t>
      </w:r>
      <w:r>
        <w:rPr/>
        <w:t>20.</w:t>
      </w:r>
      <w:r>
        <w:rPr/>
        <w:t>2</w:t>
      </w:r>
      <w:r>
        <w:rPr/>
        <w:t>.2014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6522/15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חאג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25.5.2016</w:t>
      </w:r>
      <w:r>
        <w:rPr>
          <w:rtl w:val="true"/>
        </w:rPr>
        <w:t xml:space="preserve">)).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4187/04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גנטשקה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24-23</w:t>
      </w:r>
      <w:r>
        <w:rPr>
          <w:rtl w:val="true"/>
        </w:rPr>
        <w:t xml:space="preserve"> (</w:t>
      </w:r>
      <w:r>
        <w:rPr/>
        <w:t>21.6.2006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23.</w:t>
      </w:r>
      <w:r>
        <w:rPr/>
        <w:t>5</w:t>
      </w:r>
      <w:r>
        <w:rPr/>
        <w:t>.2017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8031/13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שדרין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(</w:t>
      </w:r>
      <w:r>
        <w:rPr/>
        <w:t>22.7.2015</w:t>
      </w:r>
      <w:r>
        <w:rPr>
          <w:rtl w:val="true"/>
        </w:rPr>
        <w:t xml:space="preserve">)). </w:t>
      </w:r>
      <w:r>
        <w:rPr>
          <w:rtl w:val="true"/>
        </w:rPr>
        <w:t>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7657/00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28.</w:t>
      </w:r>
      <w:r>
        <w:rPr/>
        <w:t>1</w:t>
      </w:r>
      <w:r>
        <w:rPr/>
        <w:t>.2002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המתבקש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מהחמרה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ובנפשן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קרבנות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ותוקיע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יבודדו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עבריין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ארוכה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חפשי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David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31">
        <w:bookmarkStart w:id="18" w:name="Text1"/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882/14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eastAsia="Miriam" w:cs="Miriam" w:ascii="Miriam" w:hAnsi="Miriam"/>
          <w:b/>
          <w:spacing w:val="0"/>
          <w:szCs w:val="24"/>
          <w:rtl w:val="true"/>
        </w:rPr>
        <w:t>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סמהרט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bookmarkEnd w:id="18"/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21.9.2015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6240/10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אלמנר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14.10.2012</w:t>
      </w:r>
      <w:r>
        <w:rPr>
          <w:rtl w:val="true"/>
        </w:rPr>
        <w:t xml:space="preserve">); </w:t>
      </w:r>
      <w:hyperlink r:id="rId33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5263/10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31.7.2012</w:t>
      </w:r>
      <w:r>
        <w:rPr>
          <w:rtl w:val="true"/>
        </w:rPr>
        <w:t xml:space="preserve">)).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ותחנוניה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דפוס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נלמד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הכוללות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נוכרייה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כולי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התוכניות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הטיפוליות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המוצעות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הסוהר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תוכניות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הנמסר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סגורות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המאמצים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הדרושים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להשתלב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סולברג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/>
          <w:rtl w:val="true"/>
        </w:rPr>
        <w:t>ש ו פ ט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מינץ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/>
          <w:rtl w:val="true"/>
        </w:rPr>
        <w:t>ש ו פ ט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הוחלט כאמור בפסק דינו של השופט ע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גרוסקופף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ג בסיון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6.6.2018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17048130</w:t>
      </w:r>
      <w:r>
        <w:rPr>
          <w:sz w:val="16"/>
          <w:rtl w:val="true"/>
        </w:rPr>
        <w:t>_</w:t>
      </w:r>
      <w:r>
        <w:rPr>
          <w:sz w:val="16"/>
        </w:rPr>
        <w:t>Y06.doc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  <w:r>
        <w:rPr>
          <w:sz w:val="16"/>
          <w:rtl w:val="true"/>
        </w:rPr>
        <w:t>/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4">
        <w:r>
          <w:rPr>
            <w:rStyle w:val="Hyperlink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54678313-4813/17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4813/17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65" w:hanging="405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311">
    <w:name w:val="ruller 31"/>
    <w:basedOn w:val="Casenameintextbody"/>
    <w:qFormat/>
    <w:pPr>
      <w:ind w:hanging="0" w:start="0" w:end="0"/>
      <w:jc w:val="start"/>
    </w:pPr>
    <w:rPr>
      <w:rFonts w:cs="David"/>
      <w:b w:val="false"/>
      <w:bCs w:val="false"/>
      <w:sz w:val="22"/>
      <w:u w:val="none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08041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43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245" TargetMode="External"/><Relationship Id="rId7" Type="http://schemas.openxmlformats.org/officeDocument/2006/relationships/hyperlink" Target="http://www.nevo.co.il/law/70301/245.a" TargetMode="External"/><Relationship Id="rId8" Type="http://schemas.openxmlformats.org/officeDocument/2006/relationships/hyperlink" Target="http://www.nevo.co.il/law/70301/246" TargetMode="External"/><Relationship Id="rId9" Type="http://schemas.openxmlformats.org/officeDocument/2006/relationships/hyperlink" Target="http://www.nevo.co.il/law/70301/345.b.3" TargetMode="External"/><Relationship Id="rId10" Type="http://schemas.openxmlformats.org/officeDocument/2006/relationships/hyperlink" Target="http://www.nevo.co.il/law/70301/347.b" TargetMode="External"/><Relationship Id="rId11" Type="http://schemas.openxmlformats.org/officeDocument/2006/relationships/hyperlink" Target="http://www.nevo.co.il/law/70301/348.c1" TargetMode="External"/><Relationship Id="rId12" Type="http://schemas.openxmlformats.org/officeDocument/2006/relationships/hyperlink" Target="http://www.nevo.co.il/case/20080415" TargetMode="External"/><Relationship Id="rId13" Type="http://schemas.openxmlformats.org/officeDocument/2006/relationships/hyperlink" Target="http://www.nevo.co.il/law/70301/348.c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45.b.3" TargetMode="External"/><Relationship Id="rId16" Type="http://schemas.openxmlformats.org/officeDocument/2006/relationships/hyperlink" Target="http://www.nevo.co.il/law/70301/347.b" TargetMode="External"/><Relationship Id="rId17" Type="http://schemas.openxmlformats.org/officeDocument/2006/relationships/hyperlink" Target="http://www.nevo.co.il/law/70301/345.b.3" TargetMode="External"/><Relationship Id="rId18" Type="http://schemas.openxmlformats.org/officeDocument/2006/relationships/hyperlink" Target="http://www.nevo.co.il/law/70301/245.a" TargetMode="External"/><Relationship Id="rId19" Type="http://schemas.openxmlformats.org/officeDocument/2006/relationships/hyperlink" Target="http://www.nevo.co.il/law/70301/244" TargetMode="External"/><Relationship Id="rId20" Type="http://schemas.openxmlformats.org/officeDocument/2006/relationships/hyperlink" Target="http://www.nevo.co.il/case/4923774" TargetMode="External"/><Relationship Id="rId21" Type="http://schemas.openxmlformats.org/officeDocument/2006/relationships/hyperlink" Target="http://www.nevo.co.il/law/70301/246;244;245;243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18067750" TargetMode="External"/><Relationship Id="rId24" Type="http://schemas.openxmlformats.org/officeDocument/2006/relationships/hyperlink" Target="http://www.nevo.co.il/case/5594098" TargetMode="External"/><Relationship Id="rId25" Type="http://schemas.openxmlformats.org/officeDocument/2006/relationships/hyperlink" Target="http://www.nevo.co.il/case/20618836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5818759" TargetMode="External"/><Relationship Id="rId28" Type="http://schemas.openxmlformats.org/officeDocument/2006/relationships/hyperlink" Target="http://www.nevo.co.il/case/20937932" TargetMode="External"/><Relationship Id="rId29" Type="http://schemas.openxmlformats.org/officeDocument/2006/relationships/hyperlink" Target="http://www.nevo.co.il/case/10538429" TargetMode="External"/><Relationship Id="rId30" Type="http://schemas.openxmlformats.org/officeDocument/2006/relationships/hyperlink" Target="http://www.nevo.co.il/case/6109540" TargetMode="External"/><Relationship Id="rId31" Type="http://schemas.openxmlformats.org/officeDocument/2006/relationships/hyperlink" Target="http://www.nevo.co.il/case/11288638" TargetMode="External"/><Relationship Id="rId32" Type="http://schemas.openxmlformats.org/officeDocument/2006/relationships/hyperlink" Target="http://www.nevo.co.il/case/5883232" TargetMode="External"/><Relationship Id="rId33" Type="http://schemas.openxmlformats.org/officeDocument/2006/relationships/hyperlink" Target="http://www.nevo.co.il/case/6246216" TargetMode="External"/><Relationship Id="rId34" Type="http://schemas.openxmlformats.org/officeDocument/2006/relationships/hyperlink" Target="https://supreme.court.gov.il/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2018-06-07T10:44:00Z</dcterms:created>
  <dc:creator> </dc:creator>
  <dc:description/>
  <cp:keywords/>
  <dc:language>en-IL</dc:language>
  <cp:lastModifiedBy>orly</cp:lastModifiedBy>
  <cp:lastPrinted>2018-06-04T16:39:00Z</cp:lastPrinted>
  <dcterms:modified xsi:type="dcterms:W3CDTF">2018-06-07T10:44:00Z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20080415:2;4923774;18067750;5594098;20618836;5818759;20937932;10538429;6109540;11288638;5883232;6246216</vt:lpwstr>
  </property>
  <property fmtid="{D5CDD505-2E9C-101B-9397-08002B2CF9AE}" pid="9" name="CITY">
    <vt:lpwstr/>
  </property>
  <property fmtid="{D5CDD505-2E9C-101B-9397-08002B2CF9AE}" pid="10" name="DATE">
    <vt:lpwstr>20180606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מינץ;ע' גרוסקופף</vt:lpwstr>
  </property>
  <property fmtid="{D5CDD505-2E9C-101B-9397-08002B2CF9AE}" pid="14" name="LAWLISTTMP1">
    <vt:lpwstr>70301/348.c1;345.b.3:2;347.b;245.a;244:2;246;245;243</vt:lpwstr>
  </property>
  <property fmtid="{D5CDD505-2E9C-101B-9397-08002B2CF9AE}" pid="15" name="LAWYER">
    <vt:lpwstr>אפרת גולדשטיין;גלאון קפלנסקי;יחזקאל קפלנסקי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מין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8988;8994;8982</vt:lpwstr>
  </property>
  <property fmtid="{D5CDD505-2E9C-101B-9397-08002B2CF9AE}" pid="59" name="PADIDATE">
    <vt:lpwstr>20180607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4813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410120180606</vt:lpwstr>
  </property>
  <property fmtid="{D5CDD505-2E9C-101B-9397-08002B2CF9AE}" pid="69" name="TYPE_N_DATE">
    <vt:lpwstr>41020180606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