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4818/18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הריסון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09.05.2018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35080-12-16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דראל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זינגר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אסתר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קטן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סדר הדין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פיצויים בשל מעצר או מאסר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והתוספת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מסלולים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להאשמה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שייפסקו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שזוכה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ותמונתו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פורסמה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נציגת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הפרקליטות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התפתחות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ושקילה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מסלולים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80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להאשמה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מתמקד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ועמום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ההפניה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בלשון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מאפשרת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מהמסלול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שעומדים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שמלכתחילה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הפרקליטות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שייעודו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לייצג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להיאבק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שמתבררת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הבחינה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קריטריונים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שיסודם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והרחמים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שיסודם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שמשמעותה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הזיכוי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הנקודה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לרועץ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ההוצאות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להשתלשלות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מונח בפנינו ערעור על החלטת בית המשפט המחוזי בירושלים 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35080-12-16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זינגר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קלמנוביץ</w:t>
      </w:r>
      <w:r>
        <w:rPr>
          <w:rtl w:val="true"/>
        </w:rPr>
        <w:t xml:space="preserve">) </w:t>
      </w:r>
      <w:r>
        <w:rPr>
          <w:rtl w:val="true"/>
        </w:rPr>
        <w:t xml:space="preserve">לפיה נדחתה בקשת המערער להשית על המדינה את הוצאות הגנתו ולקבלת פיצוי בגין מעצרו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נגד המערער הוגש כתב אישום בגין ביצוע עבירות מין חמורות</w:t>
      </w:r>
      <w:r>
        <w:rPr>
          <w:rtl w:val="true"/>
        </w:rPr>
        <w:t xml:space="preserve">.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לרבות שמו ותמונתו של המערער</w:t>
      </w:r>
      <w:r>
        <w:rPr>
          <w:rtl w:val="true"/>
        </w:rPr>
        <w:t xml:space="preserve">, </w:t>
      </w:r>
      <w:r>
        <w:rPr>
          <w:rtl w:val="true"/>
        </w:rPr>
        <w:t>פורסמה ברבים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נעצר למשך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 ולאחר מכן שהה ב</w:t>
      </w:r>
      <w:r>
        <w:rPr>
          <w:rtl w:val="true"/>
        </w:rPr>
        <w:t>"</w:t>
      </w:r>
      <w:r>
        <w:rPr>
          <w:rtl w:val="true"/>
        </w:rPr>
        <w:t>מעצר בית</w:t>
      </w:r>
      <w:r>
        <w:rPr>
          <w:rtl w:val="true"/>
        </w:rPr>
        <w:t xml:space="preserve">"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נוספים</w:t>
      </w:r>
      <w:r>
        <w:rPr>
          <w:rtl w:val="true"/>
        </w:rPr>
        <w:t xml:space="preserve">. </w:t>
      </w:r>
      <w:r>
        <w:rPr>
          <w:rtl w:val="true"/>
        </w:rPr>
        <w:t xml:space="preserve">התיק נקבע לשמיעת ראיות אך מספר ימים לפני הדיון הודיעה נציגת הפרקליטות כי המדינה החליטה לחזור בה מכתב האישום </w:t>
      </w:r>
      <w:r>
        <w:rPr>
          <w:rtl w:val="true"/>
        </w:rPr>
        <w:t>"</w:t>
      </w:r>
      <w:r>
        <w:rPr>
          <w:rtl w:val="true"/>
        </w:rPr>
        <w:t>בעקבות התפתחות ראייתית שחלה בתיק לאחרונה ושקילה מחודשת של כלל הראיות בתיק</w:t>
      </w:r>
      <w:r>
        <w:rPr>
          <w:rtl w:val="true"/>
        </w:rPr>
        <w:t>...".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ברקע יובהר עוד כי מצבה של המתלוננת בתיק מורכב מאוד</w:t>
      </w:r>
      <w:r>
        <w:rPr>
          <w:rtl w:val="true"/>
        </w:rPr>
        <w:t xml:space="preserve">. </w:t>
      </w:r>
      <w:r>
        <w:rPr>
          <w:rtl w:val="true"/>
        </w:rPr>
        <w:t>נטען כי היא סובלת מבעיות נפשיות לרבות ריבוי זהויות ופיצול אישיות</w:t>
      </w:r>
      <w:r>
        <w:rPr>
          <w:rtl w:val="true"/>
        </w:rPr>
        <w:t xml:space="preserve">. </w:t>
      </w:r>
      <w:r>
        <w:rPr>
          <w:rtl w:val="true"/>
        </w:rPr>
        <w:t>לקראת עדותה בבית משפט</w:t>
      </w:r>
      <w:r>
        <w:rPr>
          <w:rtl w:val="true"/>
        </w:rPr>
        <w:t xml:space="preserve">, </w:t>
      </w:r>
      <w:r>
        <w:rPr>
          <w:rtl w:val="true"/>
        </w:rPr>
        <w:t>ומספר ימים לפני הודעת הפרקליטות בדבר חזרה מהאישום</w:t>
      </w:r>
      <w:r>
        <w:rPr>
          <w:rtl w:val="true"/>
        </w:rPr>
        <w:t xml:space="preserve">, </w:t>
      </w:r>
      <w:r>
        <w:rPr>
          <w:rtl w:val="true"/>
        </w:rPr>
        <w:t>המתלוננת רואיינה  ונחקרה שוב וחזרה בה מהתיאור שמסרה בתחילה בנוגע למצבה הנפשי</w:t>
      </w:r>
      <w:r>
        <w:rPr>
          <w:rtl w:val="true"/>
        </w:rPr>
        <w:t xml:space="preserve">. </w:t>
      </w:r>
      <w:r>
        <w:rPr>
          <w:rtl w:val="true"/>
        </w:rPr>
        <w:t>בחקירה זו מסרה כי המטפלת שלה היא זו אשר הכניסה לראשה את העובדה שיש לה כביכול זהויות נוספות</w:t>
      </w:r>
      <w:r>
        <w:rPr>
          <w:rtl w:val="true"/>
        </w:rPr>
        <w:t xml:space="preserve">, </w:t>
      </w:r>
      <w:r>
        <w:rPr>
          <w:rtl w:val="true"/>
        </w:rPr>
        <w:t>אך אין זה המצב</w:t>
      </w:r>
      <w:r>
        <w:rPr>
          <w:rtl w:val="true"/>
        </w:rPr>
        <w:t xml:space="preserve">. </w:t>
      </w:r>
      <w:r>
        <w:rPr>
          <w:rtl w:val="true"/>
        </w:rPr>
        <w:t>דברים אחרונים אלה לא הובאו על מנת לקבוע ממצא כלשהו אלא על מנת להבהיר את ההתפתחות שהביאה את המדינה להודיע על חזרתה מהאישום וזיכויו של המערער מכל אשמה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המסגרת הנורמטיבית לענייננו מצויה בדלת אמותיו של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הקובע </w:t>
      </w:r>
      <w:hyperlink r:id="rId1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משפט שנפתח שלא דרך קובלנה וראה בית המשפט שלא היה יסוד להאשמה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או שראה נסיבות אחרות המצדיקות זאת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רשאי הוא לצוות כי אוצר המדינה ישלם לנאשם הוצאות הגנתו ופיצוי על מעצרו או מאסרו בשל האשמה שממנה זוכה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 xml:space="preserve">או בשל אישום שבוטל לפי סעיף </w:t>
      </w:r>
      <w:r>
        <w:rPr>
          <w:rStyle w:val="default"/>
          <w:rFonts w:cs="FrankRuehl" w:ascii="FrankRuehl" w:hAnsi="FrankRuehl"/>
          <w:sz w:val="26"/>
          <w:szCs w:val="26"/>
        </w:rPr>
        <w:t>94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>(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ב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) 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ל</w:t>
      </w:r>
      <w:hyperlink r:id="rId20">
        <w:r>
          <w:rPr>
            <w:rStyle w:val="Hyperlink"/>
            <w:rFonts w:ascii="FrankRuehl" w:hAnsi="FrankRuehl"/>
            <w:color w:val="0000FF"/>
            <w:sz w:val="26"/>
            <w:sz w:val="26"/>
            <w:szCs w:val="26"/>
            <w:u w:val="single"/>
            <w:rtl w:val="true"/>
          </w:rPr>
          <w:t>חוק סדר הדין הפלילי</w:t>
        </w:r>
      </w:hyperlink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 xml:space="preserve"> 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>[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נוסח משולב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], 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תשמ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>"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ב–</w:t>
      </w:r>
      <w:r>
        <w:rPr>
          <w:rStyle w:val="default"/>
          <w:rFonts w:cs="FrankRuehl" w:ascii="FrankRuehl" w:hAnsi="FrankRuehl"/>
          <w:sz w:val="26"/>
          <w:szCs w:val="26"/>
        </w:rPr>
        <w:t>1982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Style w:val="default"/>
          <w:rFonts w:ascii="FrankRuehl" w:hAnsi="FrankRuehl"/>
          <w:sz w:val="26"/>
          <w:sz w:val="26"/>
          <w:szCs w:val="26"/>
          <w:rtl w:val="true"/>
        </w:rPr>
        <w:t>בסכום שייראה לבית המשפט</w:t>
      </w:r>
      <w:r>
        <w:rPr>
          <w:rtl w:val="true"/>
        </w:rPr>
        <w:t>..."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" </w:t>
      </w:r>
      <w:r>
        <w:rPr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,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ביעילות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והמיקוד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שמסתיימת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לכבדה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שמלכתחילה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שמתבררת</w:t>
      </w:r>
      <w:r>
        <w:rPr>
          <w:rtl w:val="true"/>
        </w:rPr>
        <w:t xml:space="preserve">.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: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בכללם</w:t>
      </w:r>
      <w:r>
        <w:rPr>
          <w:rtl w:val="true"/>
        </w:rPr>
        <w:t xml:space="preserve">;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דבש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73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" (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1767/94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יוסף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505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טירקל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שמשמעותה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 המקרה טומן בחובו היבטים גבוליים</w:t>
      </w:r>
      <w:r>
        <w:rPr>
          <w:rtl w:val="true"/>
        </w:rPr>
        <w:t xml:space="preserve">. </w:t>
      </w:r>
      <w:r>
        <w:rPr>
          <w:rtl w:val="true"/>
        </w:rPr>
        <w:t>אף הסנגורית שיבחה את ההגינות של הפרקליטות</w:t>
      </w:r>
      <w:r>
        <w:rPr>
          <w:rtl w:val="true"/>
        </w:rPr>
        <w:t xml:space="preserve">. </w:t>
      </w:r>
      <w:r>
        <w:rPr>
          <w:rtl w:val="true"/>
        </w:rPr>
        <w:t>אך זה אינו סוף פסוק</w:t>
      </w:r>
      <w:r>
        <w:rPr>
          <w:rtl w:val="true"/>
        </w:rPr>
        <w:t xml:space="preserve">. </w:t>
      </w:r>
      <w:r>
        <w:rPr>
          <w:rtl w:val="true"/>
        </w:rPr>
        <w:t>נראה כי יש מקום להיעתר לבקשה ולו באופן חלקי בכדי להכיר ולתת ביטוי לקיומן של נסיבות אישיות שמצדיקות זאת</w:t>
      </w:r>
      <w:r>
        <w:rPr>
          <w:rtl w:val="true"/>
        </w:rPr>
        <w:t xml:space="preserve">. </w:t>
      </w:r>
      <w:r>
        <w:rPr>
          <w:rtl w:val="true"/>
        </w:rPr>
        <w:t>רוצה לומר</w:t>
      </w:r>
      <w:r>
        <w:rPr>
          <w:rtl w:val="true"/>
        </w:rPr>
        <w:t xml:space="preserve">, </w:t>
      </w:r>
      <w:r>
        <w:rPr>
          <w:rtl w:val="true"/>
        </w:rPr>
        <w:t>שמהטיעונים ששמענו עולה כי המקרה פגע במערער באופן שאינו שגרתי ושאינו נחלת כל נאשם במצבו</w:t>
      </w:r>
      <w:r>
        <w:rPr>
          <w:rtl w:val="true"/>
        </w:rPr>
        <w:t xml:space="preserve">. </w:t>
      </w:r>
      <w:r>
        <w:rPr>
          <w:rtl w:val="true"/>
        </w:rPr>
        <w:t>נסיבות אלו מציבות אותו בגדר החריג המצדיק מתן תשלום מאוצר המדינה בשל זיכויו</w:t>
      </w:r>
      <w:r>
        <w:rPr>
          <w:rtl w:val="true"/>
        </w:rPr>
        <w:t xml:space="preserve">. </w:t>
      </w:r>
      <w:r>
        <w:rPr>
          <w:rtl w:val="true"/>
        </w:rPr>
        <w:t>לכך יש להוסיף שני שיקולים נוספים</w:t>
      </w:r>
      <w:r>
        <w:rPr>
          <w:rtl w:val="true"/>
        </w:rPr>
        <w:t xml:space="preserve">. </w:t>
      </w:r>
      <w:r>
        <w:rPr>
          <w:rtl w:val="true"/>
        </w:rPr>
        <w:t>האחד נוגע לאופי הזיכוי לפיו המדינה חזרה בה מכתב האישום טרם שמיעת הראיות</w:t>
      </w:r>
      <w:r>
        <w:rPr>
          <w:rtl w:val="true"/>
        </w:rPr>
        <w:t xml:space="preserve">. </w:t>
      </w:r>
      <w:r>
        <w:rPr>
          <w:rtl w:val="true"/>
        </w:rPr>
        <w:t>הנפקות של הדבר היא כי לא מדובר בזיכוי של בית משפט בהכרעת הדין בה צוין כי לא הוכחה האשמה מעבר לכל ספק סביר</w:t>
      </w:r>
      <w:r>
        <w:rPr>
          <w:rtl w:val="true"/>
        </w:rPr>
        <w:t xml:space="preserve">. </w:t>
      </w:r>
      <w:r>
        <w:rPr>
          <w:rtl w:val="true"/>
        </w:rPr>
        <w:t>המשפט נעצר בראשית הדרך אף ללא צורך לשמוע עדים</w:t>
      </w:r>
      <w:r>
        <w:rPr>
          <w:rtl w:val="true"/>
        </w:rPr>
        <w:t xml:space="preserve">. </w:t>
      </w:r>
      <w:r>
        <w:rPr>
          <w:rtl w:val="true"/>
        </w:rPr>
        <w:t>כך על פי ההתפתחויות שצוינו לעיל</w:t>
      </w:r>
      <w:r>
        <w:rPr>
          <w:rtl w:val="true"/>
        </w:rPr>
        <w:t xml:space="preserve">. </w:t>
      </w:r>
      <w:r>
        <w:rPr>
          <w:rtl w:val="true"/>
        </w:rPr>
        <w:t>הנקודה הנוספת היא שעולה שהמערער שיתף פעולה ומסר גרסה מלאה במהלך החקירה</w:t>
      </w:r>
      <w:r>
        <w:rPr>
          <w:rtl w:val="true"/>
        </w:rPr>
        <w:t xml:space="preserve">. </w:t>
      </w:r>
      <w:r>
        <w:rPr>
          <w:rtl w:val="true"/>
        </w:rPr>
        <w:t>שיקולים אלו לא די בהם כשלעצמם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 קיומם היה יכול להוביל לתוצאה אחרת</w:t>
      </w:r>
      <w:r>
        <w:rPr>
          <w:rtl w:val="true"/>
        </w:rPr>
        <w:t xml:space="preserve">. </w:t>
      </w:r>
      <w:r>
        <w:rPr>
          <w:rtl w:val="true"/>
        </w:rPr>
        <w:t>זאת אומרת</w:t>
      </w:r>
      <w:r>
        <w:rPr>
          <w:rtl w:val="true"/>
        </w:rPr>
        <w:t xml:space="preserve">, </w:t>
      </w:r>
      <w:r>
        <w:rPr>
          <w:rtl w:val="true"/>
        </w:rPr>
        <w:t>זיכוי מחמת הספק</w:t>
      </w:r>
      <w:r>
        <w:rPr>
          <w:rtl w:val="true"/>
        </w:rPr>
        <w:t xml:space="preserve">, </w:t>
      </w:r>
      <w:r>
        <w:rPr>
          <w:rtl w:val="true"/>
        </w:rPr>
        <w:t>אי שיתוף פעולה</w:t>
      </w:r>
      <w:r>
        <w:rPr>
          <w:rtl w:val="true"/>
        </w:rPr>
        <w:t xml:space="preserve">, </w:t>
      </w:r>
      <w:r>
        <w:rPr>
          <w:rtl w:val="true"/>
        </w:rPr>
        <w:t xml:space="preserve">או מסירת עובדות לא נכונות היו עומדים לרועץ למערער בבקשה מסוג זה </w:t>
      </w:r>
      <w:r>
        <w:rPr>
          <w:rtl w:val="true"/>
        </w:rPr>
        <w:t>[</w:t>
      </w:r>
      <w:r>
        <w:rPr>
          <w:rtl w:val="true"/>
        </w:rPr>
        <w:t xml:space="preserve">ראו למשל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י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אז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וכן 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8167/12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מן הטיעונים שהוצגו בפנינו עולה כי לא מדובר בנסיבות מיוחדות ברף הגבוה ביותר</w:t>
      </w:r>
      <w:r>
        <w:rPr>
          <w:rtl w:val="true"/>
        </w:rPr>
        <w:t xml:space="preserve">, </w:t>
      </w:r>
      <w:r>
        <w:rPr>
          <w:rtl w:val="true"/>
        </w:rPr>
        <w:t>אך די בהן להטות את הכף לקבלת הבקשה</w:t>
      </w:r>
      <w:r>
        <w:rPr>
          <w:rtl w:val="true"/>
        </w:rPr>
        <w:t xml:space="preserve">. </w:t>
      </w:r>
      <w:r>
        <w:rPr>
          <w:rtl w:val="true"/>
        </w:rPr>
        <w:t>נראה כי בית משפט קמא לא נתן את דעתו על נקודה זו</w:t>
      </w:r>
      <w:r>
        <w:rPr>
          <w:rtl w:val="true"/>
        </w:rPr>
        <w:t xml:space="preserve">. </w:t>
      </w:r>
      <w:r>
        <w:rPr>
          <w:rtl w:val="true"/>
        </w:rPr>
        <w:t>ייתכן שהדבר נובע מכך שבהליך קמא הסנגורית הדגישה בצורה יתרה את הטענה לפיה לא היה יסוד להגשת כתב האישום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 בסיס לקביעה זו</w:t>
      </w:r>
      <w:r>
        <w:rPr>
          <w:rtl w:val="true"/>
        </w:rPr>
        <w:t xml:space="preserve">. </w:t>
      </w:r>
      <w:r>
        <w:rPr>
          <w:rtl w:val="true"/>
        </w:rPr>
        <w:t>אך מצד שני אין בקביעה כזו לסתור קיומן של נסיבות אישיות במידה הדרושה כדי להיעתר לבקשה</w:t>
      </w:r>
      <w:r>
        <w:rPr>
          <w:rtl w:val="true"/>
        </w:rPr>
        <w:t xml:space="preserve">. </w:t>
      </w:r>
      <w:r>
        <w:rPr>
          <w:rtl w:val="true"/>
        </w:rPr>
        <w:t>האיזון יבוא בשיעור ההוצאות שייפסקו</w:t>
      </w:r>
      <w:r>
        <w:rPr>
          <w:rtl w:val="true"/>
        </w:rPr>
        <w:t xml:space="preserve">. </w:t>
      </w:r>
      <w:r>
        <w:rPr>
          <w:rtl w:val="true"/>
        </w:rPr>
        <w:t>אמנם שיעור זה אינו גבוה</w:t>
      </w:r>
      <w:r>
        <w:rPr>
          <w:rtl w:val="true"/>
        </w:rPr>
        <w:t xml:space="preserve">, </w:t>
      </w:r>
      <w:r>
        <w:rPr>
          <w:rtl w:val="true"/>
        </w:rPr>
        <w:t>אך נראה שנכון יותר לתת ביטוי למכלול בקבלת הבקשה ולו באופן חלקי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הייתי מקבל את הערעור וקובע כי המדינה תשלם את הוצאות ההגנה בדמות שכר טרחת עו</w:t>
      </w:r>
      <w:r>
        <w:rPr>
          <w:rtl w:val="true"/>
        </w:rPr>
        <w:t>"</w:t>
      </w:r>
      <w:r>
        <w:rPr>
          <w:rtl w:val="true"/>
        </w:rPr>
        <w:t xml:space="preserve">ד בשיעור שנקבע בתקנות בהתאם להשתלשלות ההליך </w:t>
      </w:r>
      <w:r>
        <w:rPr>
          <w:rtl w:val="true"/>
        </w:rPr>
        <w:t>[</w:t>
      </w:r>
      <w:r>
        <w:rPr>
          <w:rtl w:val="true"/>
        </w:rPr>
        <w:t xml:space="preserve">ראו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והתוספת</w:t>
        </w:r>
      </w:hyperlink>
      <w:r>
        <w:rPr>
          <w:rtl w:val="true"/>
        </w:rPr>
        <w:t xml:space="preserve"> ל</w:t>
      </w:r>
      <w:hyperlink r:id="rId3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פיצויים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>].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 xml:space="preserve">ש ו פ ט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5.8.2019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18048180</w:t>
      </w:r>
      <w:r>
        <w:rPr>
          <w:sz w:val="16"/>
          <w:rtl w:val="true"/>
        </w:rPr>
        <w:t>_</w:t>
      </w:r>
      <w:r>
        <w:rPr>
          <w:sz w:val="16"/>
        </w:rPr>
        <w:t>Z04.docx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54678313-4818/18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4818/18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דוד הריסון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80" TargetMode="External"/><Relationship Id="rId4" Type="http://schemas.openxmlformats.org/officeDocument/2006/relationships/hyperlink" Target="http://www.nevo.co.il/law/70301/80.a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15" TargetMode="External"/><Relationship Id="rId7" Type="http://schemas.openxmlformats.org/officeDocument/2006/relationships/hyperlink" Target="http://www.nevo.co.il/law/74915/1T" TargetMode="External"/><Relationship Id="rId8" Type="http://schemas.openxmlformats.org/officeDocument/2006/relationships/hyperlink" Target="http://www.nevo.co.il/law/74915/9" TargetMode="External"/><Relationship Id="rId9" Type="http://schemas.openxmlformats.org/officeDocument/2006/relationships/hyperlink" Target="http://www.nevo.co.il/law/70301/8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8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80" TargetMode="External"/><Relationship Id="rId14" Type="http://schemas.openxmlformats.org/officeDocument/2006/relationships/hyperlink" Target="http://www.nevo.co.il/law/70301/8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80" TargetMode="External"/><Relationship Id="rId17" Type="http://schemas.openxmlformats.org/officeDocument/2006/relationships/hyperlink" Target="http://www.nevo.co.il/law/70301/80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80.a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0301/8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8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80" TargetMode="External"/><Relationship Id="rId26" Type="http://schemas.openxmlformats.org/officeDocument/2006/relationships/hyperlink" Target="http://www.nevo.co.il/case/5959459" TargetMode="External"/><Relationship Id="rId27" Type="http://schemas.openxmlformats.org/officeDocument/2006/relationships/hyperlink" Target="http://www.nevo.co.il/case/5789852" TargetMode="External"/><Relationship Id="rId28" Type="http://schemas.openxmlformats.org/officeDocument/2006/relationships/hyperlink" Target="http://www.nevo.co.il/case/5995726" TargetMode="External"/><Relationship Id="rId29" Type="http://schemas.openxmlformats.org/officeDocument/2006/relationships/hyperlink" Target="http://www.nevo.co.il/case/6248264" TargetMode="External"/><Relationship Id="rId30" Type="http://schemas.openxmlformats.org/officeDocument/2006/relationships/hyperlink" Target="http://www.nevo.co.il/law/74915/9" TargetMode="External"/><Relationship Id="rId31" Type="http://schemas.openxmlformats.org/officeDocument/2006/relationships/hyperlink" Target="http://www.nevo.co.il/law/74915/1T" TargetMode="External"/><Relationship Id="rId32" Type="http://schemas.openxmlformats.org/officeDocument/2006/relationships/hyperlink" Target="http://www.nevo.co.il/law/74915" TargetMode="External"/><Relationship Id="rId33" Type="http://schemas.openxmlformats.org/officeDocument/2006/relationships/hyperlink" Target="http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2019-08-06T10:38:00Z</dcterms:created>
  <dc:creator>h4</dc:creator>
  <dc:description/>
  <cp:keywords/>
  <dc:language>en-IL</dc:language>
  <cp:lastModifiedBy>orly</cp:lastModifiedBy>
  <cp:lastPrinted>2019-08-05T15:34:00Z</cp:lastPrinted>
  <dcterms:modified xsi:type="dcterms:W3CDTF">2019-08-06T10:38:00Z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הריסון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5959459;5789852;5995726;6248264</vt:lpwstr>
  </property>
  <property fmtid="{D5CDD505-2E9C-101B-9397-08002B2CF9AE}" pid="9" name="CITY">
    <vt:lpwstr/>
  </property>
  <property fmtid="{D5CDD505-2E9C-101B-9397-08002B2CF9AE}" pid="10" name="DATE">
    <vt:lpwstr>20190805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קרא;א' שטיין</vt:lpwstr>
  </property>
  <property fmtid="{D5CDD505-2E9C-101B-9397-08002B2CF9AE}" pid="14" name="LAWLISTTMP1">
    <vt:lpwstr>70301/080:6;080.a</vt:lpwstr>
  </property>
  <property fmtid="{D5CDD505-2E9C-101B-9397-08002B2CF9AE}" pid="15" name="LAWLISTTMP2">
    <vt:lpwstr>74903</vt:lpwstr>
  </property>
  <property fmtid="{D5CDD505-2E9C-101B-9397-08002B2CF9AE}" pid="16" name="LAWLISTTMP3">
    <vt:lpwstr>74915/009;001T</vt:lpwstr>
  </property>
  <property fmtid="{D5CDD505-2E9C-101B-9397-08002B2CF9AE}" pid="17" name="LAWYER">
    <vt:lpwstr>עילית מידן;אסתר בר ציון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</vt:lpwstr>
  </property>
  <property fmtid="{D5CDD505-2E9C-101B-9397-08002B2CF9AE}" pid="39" name="NOSE21">
    <vt:lpwstr>פיצויים והוצאות</vt:lpwstr>
  </property>
  <property fmtid="{D5CDD505-2E9C-101B-9397-08002B2CF9AE}" pid="40" name="NOSE210">
    <vt:lpwstr/>
  </property>
  <property fmtid="{D5CDD505-2E9C-101B-9397-08002B2CF9AE}" pid="41" name="NOSE22">
    <vt:lpwstr>פיצויים והוצאות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1447;1447</vt:lpwstr>
  </property>
  <property fmtid="{D5CDD505-2E9C-101B-9397-08002B2CF9AE}" pid="50" name="NOSE31">
    <vt:lpwstr>חיוב המדינה</vt:lpwstr>
  </property>
  <property fmtid="{D5CDD505-2E9C-101B-9397-08002B2CF9AE}" pid="51" name="NOSE310">
    <vt:lpwstr/>
  </property>
  <property fmtid="{D5CDD505-2E9C-101B-9397-08002B2CF9AE}" pid="52" name="NOSE32">
    <vt:lpwstr>פיצויים לנאשם שזוכה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9009;9012</vt:lpwstr>
  </property>
  <property fmtid="{D5CDD505-2E9C-101B-9397-08002B2CF9AE}" pid="61" name="PADIDATE">
    <vt:lpwstr>20190806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4818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410120190805</vt:lpwstr>
  </property>
  <property fmtid="{D5CDD505-2E9C-101B-9397-08002B2CF9AE}" pid="71" name="TYPE_N_DATE">
    <vt:lpwstr>41020190805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