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4820/18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יהושע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אליצור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המדינה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צאיל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אשתיה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40287-04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צבי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גורפינקל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24.09.2020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קידר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יח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הפחית את עונש המאסר בפועל שהושת על המערער בגין הרשעתו בעבירת הריגה כך שיעמוד על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שלא ניתן משקל הולם למכלול נסיבות העניין המיוחדות ולמאפייני תקרית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נעשתה התחשבות כדבעי במדיניות הענישה הראויה והנוהגת וכן משיקולי אחדות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גובה הפיצוי שנפסק למשפחת המנוח נדחה בהעדר כל מקום להתערב בשיקול דעתה הרחב של הערכאה הדיונית בעניין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הריגה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אחדות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113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נגזרו על המערער בעקבות הרשעתו בעבירת 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שמניינם ממועד מעצרו בברזיל בשנת </w:t>
      </w:r>
      <w:r>
        <w:rPr>
          <w:rFonts w:cs="Times New Roman" w:ascii="Times New Roman" w:hAnsi="Times New Roman"/>
          <w:spacing w:val="0"/>
          <w:szCs w:val="26"/>
        </w:rPr>
        <w:t>2015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הושת על המערער פיצוי בסך של </w:t>
      </w:r>
      <w:r>
        <w:rPr>
          <w:rFonts w:cs="Times New Roman" w:ascii="Times New Roman" w:hAnsi="Times New Roman"/>
          <w:spacing w:val="0"/>
          <w:szCs w:val="26"/>
        </w:rPr>
        <w:t>200,000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לבני משפחת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הרקע להרשעה הוא אירוע משנת </w:t>
      </w:r>
      <w:r>
        <w:rPr>
          <w:rFonts w:cs="Times New Roman" w:ascii="Times New Roman" w:hAnsi="Times New Roman"/>
          <w:spacing w:val="0"/>
          <w:szCs w:val="26"/>
        </w:rPr>
        <w:t>2004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 איש מרות ואינו שוטר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הכניס את עצמו שלא כדין למצב בו עמד עם נשקו אל מול רכב טרנזיט באיו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רכב אשר חשד בנוסעיו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וירה יריה תוך כדי התרחשות מהירה אל צדו של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שחדרה דרך הזרוע של המנוח ומשם לליבו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יריה ממנה מת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גרוסקופף ובהסכמת השופטים עמית 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מות המנוח הוא תוצאה ישירה של סדרת החלטות שגויות שקיבל המערער לבדו ומיוזמתו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להסכין למצב בו הפקדת נשק בידיו של אזרח ישראלי לצורכי מגננה מתורגמת על ידיו למקור ממנו הוא שואב סמכות לקחת את החוק לידיים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ולהטיל מורא על יושבי הארץ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הציג סיבות קלושות לחשד שעוררו בו יושבי הטרנזיט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ומכל מקום גם אם התעורר חשדו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נדרש ממנו לפעול ככל אזרח ולהציף את חשדותיו לרשויות אכיפת החוק המוסמכות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המקרה אינן עונות על הדרישות המקימות את סמכות העיכוב בידי אדם פרטי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לעובדה שלמפגש הקטלני בין המערער ליושבי הטרנזיט אחראי המערער לבדו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עומד למערער סייג ההגנה העצמית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מות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המסר המזלזל שביטא המערער כלפי קדושת החיים ועל השלכות מעשיו הרות האסון לבני משפחת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צריך המערער לתת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לא נתן משקל הולם למכלול נסיבות העניין ולא התחשב כדבעי במדיניות הענישה הראויה והנוהגת במקרים כגון 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מצוי על הצד המחמיר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זה מביא לביטוי את השיקולים לחומרה שמאפיינים את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 נסיבות ביצוע העביר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השלכותיה על בני משפחתו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ואת הימלטות המערער ממתן דין על מעשיו במשך שנים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לא התחשב מספיק בשיקולים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מאפייני תקרית הירי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המקימים הצדקה להקלה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מסגרת הזמן הקצרה שתיחמה את התקרית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ההפתעה שחש המערער עת התרוממה הטרנזיט מהעיקול אל פני הכביש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והעובדה שמנשקו שוחררה ירייה בודדת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תומכות בהתרשמות כי חרף שרשרת ההחלטות השגויות שקיבל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ההריגה עצמו מתמקד באותו רגע גורלי בו לחץ על הדק נשקו פעם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גרימת המוות נעשתה אמנם ללא שעומדת למערער טענת ההגנה העצמית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היא תוצאה של לחץ מהתרחשות מהירה ובלתי צפויה מבחינת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אינו חל 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אולם דרישת ההלימה שנקבעה בתיקון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הייתה נהוגה עוד בטרם תחולתו הסטטוטורית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יפה היא גם עת נדרשים כיום בתי המשפט לעבירות שבוצעו לפני מועד כניסת התיקון לתוקף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בחינת ענייננו ברוח התיקון מעלה כי העונש שנגזר על המערער אינו מבטא משקל הולם לנסיבה בדבר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התכנון שקדם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ולנסיבה בדבר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הסיבות שהביאו את הנאשם לבצע את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הקלה בעונש המאסר מוצדקת גם משיקולי אחידות ענישה בהיותו חורג מהמקובל ביחס לעבירות הריגה שהתרחשו בעקבות התדרדרות בלתי מתוכננת של סיטואציה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הועמד על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במסגרתו נלקח בחשבון גם השיקול לחומרה בדבר הימלטות המערער מאימת הדין שנים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הצדקה להתערב בשיעור הפיצוי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בסוגיה המסורה לשיקול דעתה הרחב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שערכאת הערעור תתערב בו במקרים קיצוניים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לחומרת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לתוצאתם הטראגית ולנזק הרב שגרמו לבני משפחת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פיצוי הולם שאין הצדקה להתערב בשיעורו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שיעור הפיצוי שנפסק לטובת נפגע עבירה אינו נקבע בהתחשב ביכולתו הכלכלית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 על 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מיום </w:t>
      </w:r>
      <w:r>
        <w:rPr/>
        <w:t>9.5.2018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40287-04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tl w:val="true"/>
        </w:rPr>
        <w:t>העמית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גורפינקל</w:t>
      </w:r>
      <w:r>
        <w:rPr>
          <w:rtl w:val="true"/>
        </w:rPr>
        <w:t xml:space="preserve">), </w:t>
      </w:r>
      <w:r>
        <w:rPr>
          <w:rtl w:val="true"/>
        </w:rPr>
        <w:t>בגדרו נגזרו על המערער בעקבות הרשעתו בעבירת הריגה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שמניינם ממועד מעצרו בברזיל ביום </w:t>
      </w:r>
      <w:r>
        <w:rPr/>
        <w:t>18.6.2015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נגד המערער הוגש כתב אישום המייחס לו עבירת הריגה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בגין כך שירה והרג את מר צאיל אשתיה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27.9.2004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12:57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נהג המערער בכביש </w:t>
      </w:r>
      <w:r>
        <w:rPr/>
        <w:t>557</w:t>
      </w:r>
      <w:r>
        <w:rPr>
          <w:rtl w:val="true"/>
        </w:rPr>
        <w:t xml:space="preserve">, </w:t>
      </w:r>
      <w:r>
        <w:rPr>
          <w:rtl w:val="true"/>
        </w:rPr>
        <w:t xml:space="preserve">במקטע שבין מחסום בית פוריק לבין אלון מורה באזור יהודה והשומרון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הכביש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הבחין המערער ברכב מסוג פורד טרנזיט שחלונותיו סגורים</w:t>
      </w:r>
      <w:r>
        <w:rPr>
          <w:rtl w:val="true"/>
        </w:rPr>
        <w:t xml:space="preserve">, </w:t>
      </w:r>
      <w:r>
        <w:rPr>
          <w:rtl w:val="true"/>
        </w:rPr>
        <w:t xml:space="preserve">אשר נסע משמאלו ובאותו כיוון על גבי דרך עפר שעברה במקביל לכביש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הטרנזיט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העפר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בטרנזיט נהג המנוח</w:t>
      </w:r>
      <w:r>
        <w:rPr>
          <w:rtl w:val="true"/>
        </w:rPr>
        <w:t xml:space="preserve">, </w:t>
      </w:r>
      <w:r>
        <w:rPr>
          <w:rtl w:val="true"/>
        </w:rPr>
        <w:t>והיו בה 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. </w:t>
      </w:r>
      <w:r>
        <w:rPr>
          <w:rtl w:val="true"/>
        </w:rPr>
        <w:t>המערער החליט לעצור את הטרנזיט על יושביה בלא שעמדה לו סמכות כדין לעשות כן</w:t>
      </w:r>
      <w:r>
        <w:rPr>
          <w:rtl w:val="true"/>
        </w:rPr>
        <w:t xml:space="preserve">. </w:t>
      </w:r>
      <w:r>
        <w:rPr>
          <w:rtl w:val="true"/>
        </w:rPr>
        <w:t xml:space="preserve">לשם כך התקדם עם רכבו עד לנקודה בה מתעקלת דרך העפר ימינה ומתחברת לכביש בעליה תלולה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העיקול</w:t>
      </w:r>
      <w:r>
        <w:rPr>
          <w:rtl w:val="true"/>
        </w:rPr>
        <w:t xml:space="preserve">). </w:t>
      </w:r>
      <w:r>
        <w:rPr>
          <w:rtl w:val="true"/>
        </w:rPr>
        <w:t>בהגיעו לנקודה זו</w:t>
      </w:r>
      <w:r>
        <w:rPr>
          <w:rtl w:val="true"/>
        </w:rPr>
        <w:t xml:space="preserve">, </w:t>
      </w:r>
      <w:r>
        <w:rPr>
          <w:rtl w:val="true"/>
        </w:rPr>
        <w:t>עצר המערער את הרכב במרכז נתיב נסיעתו בכביש ומול העיקול</w:t>
      </w:r>
      <w:r>
        <w:rPr>
          <w:rtl w:val="true"/>
        </w:rPr>
        <w:t xml:space="preserve">, </w:t>
      </w:r>
      <w:r>
        <w:rPr>
          <w:rtl w:val="true"/>
        </w:rPr>
        <w:t xml:space="preserve">יצא מהרכב כשהוא אוחז בידיו רובה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טעון במחסנית מלאה בכדורים שהיה ברשותו כחוק</w:t>
      </w:r>
      <w:r>
        <w:rPr>
          <w:rtl w:val="true"/>
        </w:rPr>
        <w:t xml:space="preserve">, </w:t>
      </w:r>
      <w:r>
        <w:rPr>
          <w:rtl w:val="true"/>
        </w:rPr>
        <w:t>נעמוד במרכז הכביש</w:t>
      </w:r>
      <w:r>
        <w:rPr>
          <w:rtl w:val="true"/>
        </w:rPr>
        <w:t xml:space="preserve">, </w:t>
      </w:r>
      <w:r>
        <w:rPr>
          <w:rtl w:val="true"/>
        </w:rPr>
        <w:t>והורה לטרנזיט לעצור</w:t>
      </w:r>
      <w:r>
        <w:rPr>
          <w:rtl w:val="true"/>
        </w:rPr>
        <w:t xml:space="preserve">. </w:t>
      </w:r>
      <w:r>
        <w:rPr>
          <w:rtl w:val="true"/>
        </w:rPr>
        <w:t>משהבחין המערער כי הטרנזיט ממשיכה בנסיעתה במעלה העיקול</w:t>
      </w:r>
      <w:r>
        <w:rPr>
          <w:rtl w:val="true"/>
        </w:rPr>
        <w:t xml:space="preserve">, </w:t>
      </w:r>
      <w:r>
        <w:rPr>
          <w:rtl w:val="true"/>
        </w:rPr>
        <w:t>פסע קדימה כמה צעדים על הכביש</w:t>
      </w:r>
      <w:r>
        <w:rPr>
          <w:rtl w:val="true"/>
        </w:rPr>
        <w:t xml:space="preserve">, </w:t>
      </w:r>
      <w:r>
        <w:rPr>
          <w:rtl w:val="true"/>
        </w:rPr>
        <w:t>נעמד בנקודת המפגש של הכביש עם דרך העפר</w:t>
      </w:r>
      <w:r>
        <w:rPr>
          <w:rtl w:val="true"/>
        </w:rPr>
        <w:t xml:space="preserve">, </w:t>
      </w:r>
      <w:r>
        <w:rPr>
          <w:rtl w:val="true"/>
        </w:rPr>
        <w:t>כיוון את נשקו לעבר הטרנזיט</w:t>
      </w:r>
      <w:r>
        <w:rPr>
          <w:rtl w:val="true"/>
        </w:rPr>
        <w:t xml:space="preserve">, </w:t>
      </w:r>
      <w:r>
        <w:rPr>
          <w:rtl w:val="true"/>
        </w:rPr>
        <w:t>והורה שוב לטרנזיט לעצור</w:t>
      </w:r>
      <w:r>
        <w:rPr>
          <w:rtl w:val="true"/>
        </w:rPr>
        <w:t xml:space="preserve">. </w:t>
      </w:r>
      <w:r>
        <w:rPr>
          <w:rtl w:val="true"/>
        </w:rPr>
        <w:t>עקב תנאי הדרך אשר לא אפשרו למנוח לעצור</w:t>
      </w:r>
      <w:r>
        <w:rPr>
          <w:rtl w:val="true"/>
        </w:rPr>
        <w:t xml:space="preserve">, </w:t>
      </w:r>
      <w:r>
        <w:rPr>
          <w:rtl w:val="true"/>
        </w:rPr>
        <w:t>המשיכה הטרנזיט בנסיעתה במעלה העיקול</w:t>
      </w:r>
      <w:r>
        <w:rPr>
          <w:rtl w:val="true"/>
        </w:rPr>
        <w:t xml:space="preserve">. </w:t>
      </w:r>
      <w:r>
        <w:rPr>
          <w:rtl w:val="true"/>
        </w:rPr>
        <w:t>עם השלמת הטיפוס בעיקול ובהגיעה לכביש</w:t>
      </w:r>
      <w:r>
        <w:rPr>
          <w:rtl w:val="true"/>
        </w:rPr>
        <w:t xml:space="preserve">, </w:t>
      </w:r>
      <w:r>
        <w:rPr>
          <w:rtl w:val="true"/>
        </w:rPr>
        <w:t>הפנה המנוח את הטרנזיט ימינה לשולי הכביש בכוונה לעצור את הטרנזיט</w:t>
      </w:r>
      <w:r>
        <w:rPr>
          <w:rtl w:val="true"/>
        </w:rPr>
        <w:t xml:space="preserve">, </w:t>
      </w:r>
      <w:r>
        <w:rPr>
          <w:rtl w:val="true"/>
        </w:rPr>
        <w:t>כך שהמערער ניצב בסמוך לדופנה השמאלית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כיוון המערער את נשקו לעבר הטרנזיט וירה ירייה אחת בודדת ממרחק של כמטר עד שניים</w:t>
      </w:r>
      <w:r>
        <w:rPr>
          <w:rtl w:val="true"/>
        </w:rPr>
        <w:t xml:space="preserve">, </w:t>
      </w:r>
      <w:r>
        <w:rPr>
          <w:rtl w:val="true"/>
        </w:rPr>
        <w:t>לעבר חלון נהג הטרנזיט</w:t>
      </w:r>
      <w:r>
        <w:rPr>
          <w:rtl w:val="true"/>
        </w:rPr>
        <w:t xml:space="preserve">. </w:t>
      </w:r>
      <w:r>
        <w:rPr>
          <w:rtl w:val="true"/>
        </w:rPr>
        <w:t>הקליע חלף דרך שמשת חלון הנהג</w:t>
      </w:r>
      <w:r>
        <w:rPr>
          <w:rtl w:val="true"/>
        </w:rPr>
        <w:t xml:space="preserve">, </w:t>
      </w:r>
      <w:r>
        <w:rPr>
          <w:rtl w:val="true"/>
        </w:rPr>
        <w:t>חדר את זרועו השמאלית של המנוח והגיע לבסוף לבית חזהו שם התנפץ לרסיסים שחוררו את איבריו החיוניים</w:t>
      </w:r>
      <w:r>
        <w:rPr>
          <w:rtl w:val="true"/>
        </w:rPr>
        <w:t xml:space="preserve">. </w:t>
      </w:r>
      <w:r>
        <w:rPr>
          <w:rtl w:val="true"/>
        </w:rPr>
        <w:t>המנוח נפטר זמן קצר לאחר שנורה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עיקר התשתית העובדתית לא היה שנוי במחלוקת בין המערער למדינה</w:t>
      </w:r>
      <w:r>
        <w:rPr>
          <w:rtl w:val="true"/>
        </w:rPr>
        <w:t xml:space="preserve">. </w:t>
      </w:r>
      <w:r>
        <w:rPr>
          <w:rtl w:val="true"/>
        </w:rPr>
        <w:t xml:space="preserve">גרסתו של המערער התגבשה במהלך המשפט וחלק הארי שלה הושתת על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 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העצמית</w:t>
      </w:r>
      <w:r>
        <w:rPr>
          <w:rtl w:val="true"/>
        </w:rPr>
        <w:t xml:space="preserve">), </w:t>
      </w:r>
      <w:r>
        <w:rPr>
          <w:rtl w:val="true"/>
        </w:rPr>
        <w:t>משנטען כי במעשים המתוארים לעיל פעל המערער מתוך הגנה עצמית</w:t>
      </w:r>
      <w:r>
        <w:rPr>
          <w:rtl w:val="true"/>
        </w:rPr>
        <w:t xml:space="preserve">, </w:t>
      </w:r>
      <w:r>
        <w:rPr>
          <w:rtl w:val="true"/>
        </w:rPr>
        <w:t>ומאחר שחש סכנה לחייו מהתקדמותה של הטרנזיט לכיוונו</w:t>
      </w:r>
      <w:r>
        <w:rPr>
          <w:rtl w:val="true"/>
        </w:rPr>
        <w:t xml:space="preserve">. </w:t>
      </w:r>
      <w:r>
        <w:rPr>
          <w:rtl w:val="true"/>
        </w:rPr>
        <w:t>המדינה טענה מנגד כי אין יסוד לטענות המערער בדבר הסכנה שחש לחייו מעצם תנועתה של הטרנזיט בדרך העפר</w:t>
      </w:r>
      <w:r>
        <w:rPr>
          <w:rtl w:val="true"/>
        </w:rPr>
        <w:t xml:space="preserve">, </w:t>
      </w:r>
      <w:r>
        <w:rPr>
          <w:rtl w:val="true"/>
        </w:rPr>
        <w:t>ומשכך במקרה זה לא התקיימו יסודות סייג ההגנה העצמית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הדין מיום </w:t>
      </w:r>
      <w:r>
        <w:rPr/>
        <w:t>6.9.2005</w:t>
      </w:r>
      <w:r>
        <w:rPr>
          <w:rtl w:val="true"/>
        </w:rPr>
        <w:t xml:space="preserve">, </w:t>
      </w:r>
      <w:r>
        <w:rPr>
          <w:rtl w:val="true"/>
        </w:rPr>
        <w:t>שניתנה על ידי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רוזן</w:t>
      </w:r>
      <w:r>
        <w:rPr>
          <w:rtl w:val="true"/>
        </w:rPr>
        <w:t xml:space="preserve">, </w:t>
      </w:r>
      <w:r>
        <w:rPr>
          <w:rtl w:val="true"/>
        </w:rPr>
        <w:t>דחה בית המשפט קמא את גרסתו של המערער</w:t>
      </w:r>
      <w:r>
        <w:rPr>
          <w:rtl w:val="true"/>
        </w:rPr>
        <w:t xml:space="preserve">, </w:t>
      </w:r>
      <w:r>
        <w:rPr>
          <w:rtl w:val="true"/>
        </w:rPr>
        <w:t>והרשיעו במיוחס לו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נקבע כי המערער </w:t>
      </w:r>
      <w:r>
        <w:rPr>
          <w:rtl w:val="true"/>
        </w:rPr>
        <w:t>–</w:t>
      </w:r>
      <w:r>
        <w:rPr>
          <w:rtl w:val="true"/>
        </w:rPr>
        <w:t xml:space="preserve"> כאזרח מן השורה </w:t>
      </w:r>
      <w:r>
        <w:rPr>
          <w:rtl w:val="true"/>
        </w:rPr>
        <w:t>–</w:t>
      </w:r>
      <w:r>
        <w:rPr>
          <w:rtl w:val="true"/>
        </w:rPr>
        <w:t xml:space="preserve"> נטל לעצמו סמכות לא לו עת החליט מיוזמתו לעצור רכב עמוס נוסעים אותם לא הכיר</w:t>
      </w:r>
      <w:r>
        <w:rPr>
          <w:rtl w:val="true"/>
        </w:rPr>
        <w:t xml:space="preserve">. </w:t>
      </w:r>
      <w:r>
        <w:rPr>
          <w:rtl w:val="true"/>
        </w:rPr>
        <w:t>עוד נקבע כי לא הוצגה על ידי ההגנה ולו שמץ ראיה המפריכה את העובדה שנוסעי הטרנזיט נסעו בדרך העפר לתומם</w:t>
      </w:r>
      <w:r>
        <w:rPr>
          <w:rtl w:val="true"/>
        </w:rPr>
        <w:t xml:space="preserve">, </w:t>
      </w:r>
      <w:r>
        <w:rPr>
          <w:rtl w:val="true"/>
        </w:rPr>
        <w:t>ולכן לא ניתן להסביר את התנהגותו של המערער</w:t>
      </w:r>
      <w:r>
        <w:rPr>
          <w:rtl w:val="true"/>
        </w:rPr>
        <w:t xml:space="preserve">, </w:t>
      </w:r>
      <w:r>
        <w:rPr>
          <w:rtl w:val="true"/>
        </w:rPr>
        <w:t>אלא בכך שסבר כי נוסעי הטרנזיט נשאו עמם סכנה בעצם תנועתם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ודווקא בשים לב למטעני העוינות בין תושבי האזור היהודים והערבים שהובלטו על ידי ההגנה</w:t>
      </w:r>
      <w:r>
        <w:rPr>
          <w:rtl w:val="true"/>
        </w:rPr>
        <w:t xml:space="preserve">, </w:t>
      </w:r>
      <w:r>
        <w:rPr>
          <w:rtl w:val="true"/>
        </w:rPr>
        <w:t>פסק בית המשפט כי גם לא נפל כל פסול בהחלטת המנוח שלא לציית להוראות המערער לעצור עת נהג את הטרנזיט במעלה העיקול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הוסיף וקבע כי אף אם היה ממש בחשדותיו של המערער בדבר מסוכנות נוסעי הטרנזיט</w:t>
      </w:r>
      <w:r>
        <w:rPr>
          <w:rtl w:val="true"/>
        </w:rPr>
        <w:t xml:space="preserve">, </w:t>
      </w:r>
      <w:r>
        <w:rPr>
          <w:rtl w:val="true"/>
        </w:rPr>
        <w:t>הרי שהיו עתותיו בידיו לנקוט במגוון פעולות הולמות כגון העברת דיווח על הטרנזיט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לסמן לה לעצור ממרחק בטוח</w:t>
      </w:r>
      <w:r>
        <w:rPr>
          <w:rtl w:val="true"/>
        </w:rPr>
        <w:t xml:space="preserve">. </w:t>
      </w:r>
      <w:r>
        <w:rPr>
          <w:rtl w:val="true"/>
        </w:rPr>
        <w:t>חלף זאת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 xml:space="preserve">בחר המערער לפעול באופן בלתי מתקבל על הדעת וזאת מסיבה אחת בלבד </w:t>
      </w:r>
      <w:r>
        <w:rPr>
          <w:rtl w:val="true"/>
        </w:rPr>
        <w:t>–</w:t>
      </w:r>
      <w:r>
        <w:rPr>
          <w:rtl w:val="true"/>
        </w:rPr>
        <w:t xml:space="preserve"> הכוח שחש מחמת היותו חמוש</w:t>
      </w:r>
      <w:r>
        <w:rPr>
          <w:rtl w:val="true"/>
        </w:rPr>
        <w:t xml:space="preserve">. </w:t>
      </w:r>
      <w:r>
        <w:rPr>
          <w:rtl w:val="true"/>
        </w:rPr>
        <w:t>בלשונו של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מנשקו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דרישתו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בהחלטתו לפעול בדרך זו</w:t>
      </w:r>
      <w:r>
        <w:rPr>
          <w:rtl w:val="true"/>
        </w:rPr>
        <w:t xml:space="preserve">, </w:t>
      </w:r>
      <w:r>
        <w:rPr>
          <w:rtl w:val="true"/>
        </w:rPr>
        <w:t>כך קבע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חפצה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בנשקו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וודאי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פסק בעניין זה </w:t>
      </w:r>
      <w:r>
        <w:rPr>
          <w:rtl w:val="true"/>
        </w:rPr>
        <w:t>–</w:t>
      </w:r>
      <w:r>
        <w:rPr>
          <w:rtl w:val="true"/>
        </w:rPr>
        <w:t xml:space="preserve"> על סמך עדויות וראיות שהובאו לפניו כגון חוות דעת פתולוגית ודו</w:t>
      </w:r>
      <w:r>
        <w:rPr>
          <w:rtl w:val="true"/>
        </w:rPr>
        <w:t>"</w:t>
      </w:r>
      <w:r>
        <w:rPr>
          <w:rtl w:val="true"/>
        </w:rPr>
        <w:t xml:space="preserve">ח בוחן תנועה </w:t>
      </w:r>
      <w:r>
        <w:rPr>
          <w:rtl w:val="true"/>
        </w:rPr>
        <w:t>–</w:t>
      </w:r>
      <w:r>
        <w:rPr>
          <w:rtl w:val="true"/>
        </w:rPr>
        <w:t xml:space="preserve"> כי רק לאחר שהמנוח פנה ימינה לשולי הכביש</w:t>
      </w:r>
      <w:r>
        <w:rPr>
          <w:rtl w:val="true"/>
        </w:rPr>
        <w:t xml:space="preserve">, </w:t>
      </w:r>
      <w:r>
        <w:rPr>
          <w:rtl w:val="true"/>
        </w:rPr>
        <w:t>כך שחזית הטרנזיט כבר לא הופנתה למערער</w:t>
      </w:r>
      <w:r>
        <w:rPr>
          <w:rtl w:val="true"/>
        </w:rPr>
        <w:t xml:space="preserve">, </w:t>
      </w:r>
      <w:r>
        <w:rPr>
          <w:rtl w:val="true"/>
        </w:rPr>
        <w:t>ועל כן לא היה כל חשש שיידרס</w:t>
      </w:r>
      <w:r>
        <w:rPr>
          <w:rtl w:val="true"/>
        </w:rPr>
        <w:t xml:space="preserve">, </w:t>
      </w:r>
      <w:r>
        <w:rPr>
          <w:rtl w:val="true"/>
        </w:rPr>
        <w:t>דרך האחרון את נשקו וירה את אותו כדור קטלני לעברו של המנוח</w:t>
      </w:r>
      <w:r>
        <w:rPr>
          <w:rtl w:val="true"/>
        </w:rPr>
        <w:t xml:space="preserve">. </w:t>
      </w:r>
      <w:r>
        <w:rPr>
          <w:rtl w:val="true"/>
        </w:rPr>
        <w:t>עוד נקבע כי אף לאחר שהבין המערער כי פגע במנוח</w:t>
      </w:r>
      <w:r>
        <w:rPr>
          <w:rtl w:val="true"/>
        </w:rPr>
        <w:t xml:space="preserve">, </w:t>
      </w:r>
      <w:r>
        <w:rPr>
          <w:rtl w:val="true"/>
        </w:rPr>
        <w:t>לא טרח לפעול כדי להזעיק סיוע רפואי</w:t>
      </w:r>
      <w:r>
        <w:rPr>
          <w:rtl w:val="true"/>
        </w:rPr>
        <w:t xml:space="preserve">, </w:t>
      </w:r>
      <w:r>
        <w:rPr>
          <w:rtl w:val="true"/>
        </w:rPr>
        <w:t>וזאת חרף העובדה שהיה ברשותו טלפון נייד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יסוד קביעות אלו</w:t>
      </w:r>
      <w:r>
        <w:rPr>
          <w:rtl w:val="true"/>
        </w:rPr>
        <w:t xml:space="preserve">, </w:t>
      </w:r>
      <w:r>
        <w:rPr>
          <w:rtl w:val="true"/>
        </w:rPr>
        <w:t>ובהתבסס על ההלכה הפסוקה</w:t>
      </w:r>
      <w:r>
        <w:rPr>
          <w:rtl w:val="true"/>
        </w:rPr>
        <w:t xml:space="preserve">, </w:t>
      </w:r>
      <w:r>
        <w:rPr>
          <w:rtl w:val="true"/>
        </w:rPr>
        <w:t>דחה בית המשפט גם את טענות ההגנה בדבר התקיימות סייג ההגנה העצמית</w:t>
      </w:r>
      <w:r>
        <w:rPr>
          <w:rtl w:val="true"/>
        </w:rPr>
        <w:t xml:space="preserve">. </w:t>
      </w:r>
      <w:r>
        <w:rPr>
          <w:rtl w:val="true"/>
        </w:rPr>
        <w:t>נקבע כי בעניינו של המערער מתקיים הסייג לסייג</w:t>
      </w:r>
      <w:r>
        <w:rPr>
          <w:rtl w:val="true"/>
        </w:rPr>
        <w:t xml:space="preserve">, </w:t>
      </w:r>
      <w:r>
        <w:rPr>
          <w:rtl w:val="true"/>
        </w:rPr>
        <w:t xml:space="preserve">לפיו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בהתנהגותו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התפתחות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הסיפא של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 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בנסיבות המקרה אף לא ניתן לייחס לנאשם </w:t>
      </w:r>
      <w:r>
        <w:rPr>
          <w:rtl w:val="true"/>
        </w:rPr>
        <w:t>"</w:t>
      </w:r>
      <w:r>
        <w:rPr>
          <w:rtl w:val="true"/>
        </w:rPr>
        <w:t>הגנה עצמית מדומה</w:t>
      </w:r>
      <w:r>
        <w:rPr>
          <w:rtl w:val="true"/>
        </w:rPr>
        <w:t xml:space="preserve">"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יח</w:t>
        </w:r>
      </w:hyperlink>
      <w:r>
        <w:rPr>
          <w:rtl w:val="true"/>
        </w:rPr>
        <w:t xml:space="preserve"> 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בית המשפט קמא חתם את הכרעת דינו בקביעה כי המערער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נסיעתם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עפר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מתן הכרעת הדין נקבע התיק לשמיעת טיעונים לצורך גזירת דינו של המערער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המערער לא התייצב לדיון שנקבע</w:t>
      </w:r>
      <w:r>
        <w:rPr>
          <w:rtl w:val="true"/>
        </w:rPr>
        <w:t xml:space="preserve">, </w:t>
      </w:r>
      <w:r>
        <w:rPr>
          <w:rtl w:val="true"/>
        </w:rPr>
        <w:t>ולאחר שהוצא לו צו הבאה</w:t>
      </w:r>
      <w:r>
        <w:rPr>
          <w:rtl w:val="true"/>
        </w:rPr>
        <w:t xml:space="preserve">, </w:t>
      </w:r>
      <w:r>
        <w:rPr>
          <w:rtl w:val="true"/>
        </w:rPr>
        <w:t>התברר כי נמלט מהארץ</w:t>
      </w:r>
      <w:r>
        <w:rPr>
          <w:rtl w:val="true"/>
        </w:rPr>
        <w:t xml:space="preserve">. </w:t>
      </w:r>
      <w:r>
        <w:rPr>
          <w:rtl w:val="true"/>
        </w:rPr>
        <w:t xml:space="preserve">על רקע זה הותלו ביום </w:t>
      </w:r>
      <w:r>
        <w:rPr/>
        <w:t>15.10.2007</w:t>
      </w:r>
      <w:r>
        <w:rPr>
          <w:rtl w:val="true"/>
        </w:rPr>
        <w:t xml:space="preserve"> </w:t>
      </w:r>
      <w:r>
        <w:rPr>
          <w:rtl w:val="true"/>
        </w:rPr>
        <w:t>ההליכים המשפטיים נגד המערער</w:t>
      </w:r>
      <w:r>
        <w:rPr>
          <w:rtl w:val="true"/>
        </w:rPr>
        <w:t xml:space="preserve">, </w:t>
      </w:r>
      <w:r>
        <w:rPr>
          <w:rtl w:val="true"/>
        </w:rPr>
        <w:t>וגורמי אכיפת החוק החלו בנקיטת פעולות לאתרו</w:t>
      </w:r>
      <w:r>
        <w:rPr>
          <w:rtl w:val="true"/>
        </w:rPr>
        <w:t xml:space="preserve">. </w:t>
      </w:r>
      <w:r>
        <w:rPr>
          <w:rtl w:val="true"/>
        </w:rPr>
        <w:t>רק בחלוף כעשור ממועד מתן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18.6.2015</w:t>
      </w:r>
      <w:r>
        <w:rPr>
          <w:rtl w:val="true"/>
        </w:rPr>
        <w:t xml:space="preserve">, </w:t>
      </w:r>
      <w:r>
        <w:rPr>
          <w:rtl w:val="true"/>
        </w:rPr>
        <w:t>נעצר המערער בברזיל</w:t>
      </w:r>
      <w:r>
        <w:rPr>
          <w:rtl w:val="true"/>
        </w:rPr>
        <w:t xml:space="preserve">. </w:t>
      </w:r>
      <w:r>
        <w:rPr>
          <w:rtl w:val="true"/>
        </w:rPr>
        <w:t>בתום הליך הסגרה ממושך</w:t>
      </w:r>
      <w:r>
        <w:rPr>
          <w:rtl w:val="true"/>
        </w:rPr>
        <w:t xml:space="preserve">, </w:t>
      </w:r>
      <w:r>
        <w:rPr>
          <w:rtl w:val="true"/>
        </w:rPr>
        <w:t>שנוהל נוכח התנגדות המערער להסגרתו</w:t>
      </w:r>
      <w:r>
        <w:rPr>
          <w:rtl w:val="true"/>
        </w:rPr>
        <w:t xml:space="preserve">, </w:t>
      </w:r>
      <w:r>
        <w:rPr>
          <w:rtl w:val="true"/>
        </w:rPr>
        <w:t xml:space="preserve">הוא הושב לבסוף ביום </w:t>
      </w:r>
      <w:r>
        <w:rPr/>
        <w:t>17.1.2018</w:t>
      </w:r>
      <w:r>
        <w:rPr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>ויותר 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 לאחר מתן הכרעת הדין</w:t>
      </w:r>
      <w:r>
        <w:rPr>
          <w:rtl w:val="true"/>
        </w:rPr>
        <w:t xml:space="preserve">, </w:t>
      </w:r>
      <w:r>
        <w:rPr>
          <w:rtl w:val="true"/>
        </w:rPr>
        <w:t>חודשו ההליכים הפליליים בעניינו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עקב פרישתו בינתיים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רוזן</w:t>
      </w:r>
      <w:r>
        <w:rPr>
          <w:rtl w:val="true"/>
        </w:rPr>
        <w:t xml:space="preserve"> מכס השיפוט</w:t>
      </w:r>
      <w:r>
        <w:rPr>
          <w:rtl w:val="true"/>
        </w:rPr>
        <w:t xml:space="preserve">, </w:t>
      </w:r>
      <w:r>
        <w:rPr>
          <w:rtl w:val="true"/>
        </w:rPr>
        <w:t xml:space="preserve">הועבר הטיפול בהליך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גורפינקל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9.5.2018</w:t>
      </w:r>
      <w:r>
        <w:rPr>
          <w:rtl w:val="true"/>
        </w:rPr>
        <w:t xml:space="preserve"> </w:t>
      </w:r>
      <w:r>
        <w:rPr>
          <w:rtl w:val="true"/>
        </w:rPr>
        <w:t>תיאר בית המשפט את מעשיו של המערער 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תכלית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וקבע שאך בשל מקום מגוריו של המערער באזור</w:t>
      </w:r>
      <w:r>
        <w:rPr>
          <w:rtl w:val="true"/>
        </w:rPr>
        <w:t xml:space="preserve">, </w:t>
      </w:r>
      <w:r>
        <w:rPr>
          <w:rtl w:val="true"/>
        </w:rPr>
        <w:t>ורק משום שאחז בנשק</w:t>
      </w:r>
      <w:r>
        <w:rPr>
          <w:rtl w:val="true"/>
        </w:rPr>
        <w:t xml:space="preserve">, </w:t>
      </w:r>
      <w:r>
        <w:rPr>
          <w:rtl w:val="true"/>
        </w:rPr>
        <w:t>חשד הוא בכל מי שאינו יהודי כמחבל פוטנציאלי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שב בית המשפט על כך שניתן היה ללמוד על הלך רוחו הפסול של המערער מהתנהגותו לאחר הפגיעה במנוח</w:t>
      </w:r>
      <w:r>
        <w:rPr>
          <w:rtl w:val="true"/>
        </w:rPr>
        <w:t xml:space="preserve">, </w:t>
      </w:r>
      <w:r>
        <w:rPr>
          <w:rtl w:val="true"/>
        </w:rPr>
        <w:t>עת סירב להזעיק עזרה רפואית ואף לא אפשר לרכב אחר שהיה במקום להושיט עזרה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הוסיף והתייחס להתנהלותו של המערער לאחר שהוכרע דינו </w:t>
      </w:r>
      <w:r>
        <w:rPr>
          <w:rtl w:val="true"/>
        </w:rPr>
        <w:t>–</w:t>
      </w:r>
      <w:r>
        <w:rPr>
          <w:rtl w:val="true"/>
        </w:rPr>
        <w:t xml:space="preserve"> כאשר נמלט מהארץ והתחמק מאימת הדין</w:t>
      </w:r>
      <w:r>
        <w:rPr>
          <w:rtl w:val="true"/>
        </w:rPr>
        <w:t xml:space="preserve">, </w:t>
      </w:r>
      <w:r>
        <w:rPr>
          <w:rtl w:val="true"/>
        </w:rPr>
        <w:t>ואף סירב להליך ההסגרה כשנתפס בברזיל</w:t>
      </w:r>
      <w:r>
        <w:rPr>
          <w:rtl w:val="true"/>
        </w:rPr>
        <w:t xml:space="preserve">, </w:t>
      </w:r>
      <w:r>
        <w:rPr>
          <w:rtl w:val="true"/>
        </w:rPr>
        <w:t xml:space="preserve">וגרם בכך להתמשכות הליך ההסגרה על פני כמעט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ועמד על כך שזו צובעת את כל הפרשה בחומרה רבה אף 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113</w:t>
      </w:r>
      <w:r>
        <w:rPr>
          <w:rtl w:val="true"/>
        </w:rPr>
        <w:t xml:space="preserve">).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הטרנזיט</w:t>
      </w:r>
      <w:r>
        <w:rPr>
          <w:rtl w:val="true"/>
        </w:rPr>
        <w:t xml:space="preserve">, </w:t>
      </w:r>
      <w:r>
        <w:rPr>
          <w:rtl w:val="true"/>
        </w:rPr>
        <w:t>ופיגועי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ועיוורונם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והשרה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ושיתוף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והתגייר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היהודי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18.6.2015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בברזיל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אשר הופנה תחילה הן כלפי הכרעת הדין והן כלפי גזר הדין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10.9.2020</w:t>
      </w:r>
      <w:r>
        <w:rPr>
          <w:rtl w:val="true"/>
        </w:rPr>
        <w:t xml:space="preserve">, </w:t>
      </w:r>
      <w:r>
        <w:rPr>
          <w:rtl w:val="true"/>
        </w:rPr>
        <w:t>לאחר ששמענו באריכות את טענות הצדדים הן לעניין הכרעת הדין והן לעניין גזר הדין</w:t>
      </w:r>
      <w:r>
        <w:rPr>
          <w:rtl w:val="true"/>
        </w:rPr>
        <w:t xml:space="preserve">, </w:t>
      </w:r>
      <w:r>
        <w:rPr>
          <w:rtl w:val="true"/>
        </w:rPr>
        <w:t>הבענו בפניהם את התרשמותנו כי אין מקום להתערב בהכרעת הדין</w:t>
      </w:r>
      <w:r>
        <w:rPr>
          <w:rtl w:val="true"/>
        </w:rPr>
        <w:t xml:space="preserve">, </w:t>
      </w:r>
      <w:r>
        <w:rPr>
          <w:rtl w:val="true"/>
        </w:rPr>
        <w:t>ואולם יש הצדקה להפחית את עונשו של המערער במספר שנים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הצענו לצדדים להסכים למתווה לפיו המערער ימשוך את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והמדינה תסכים להפחתת העונש בשיעור בו נקבנו</w:t>
      </w:r>
      <w:r>
        <w:rPr>
          <w:rtl w:val="true"/>
        </w:rPr>
        <w:t xml:space="preserve">. </w:t>
      </w:r>
      <w:r>
        <w:rPr>
          <w:rtl w:val="true"/>
        </w:rPr>
        <w:t>הצדדים ביקשו זמן לשקול הצעה זו</w:t>
      </w:r>
      <w:r>
        <w:rPr>
          <w:rtl w:val="true"/>
        </w:rPr>
        <w:t xml:space="preserve">, </w:t>
      </w:r>
      <w:r>
        <w:rPr>
          <w:rtl w:val="true"/>
        </w:rPr>
        <w:t>ולאחר מספר ימים ביקש ב</w:t>
      </w:r>
      <w:r>
        <w:rPr>
          <w:rtl w:val="true"/>
        </w:rPr>
        <w:t>"</w:t>
      </w:r>
      <w:r>
        <w:rPr>
          <w:rtl w:val="true"/>
        </w:rPr>
        <w:t>כ המערער כי תקבע ישיבה נוספת לדון במתווה המוצע</w:t>
      </w:r>
      <w:r>
        <w:rPr>
          <w:rtl w:val="true"/>
        </w:rPr>
        <w:t xml:space="preserve">. </w:t>
      </w:r>
      <w:r>
        <w:rPr>
          <w:rtl w:val="true"/>
        </w:rPr>
        <w:t xml:space="preserve">ישיבה זו נקבעה ליום </w:t>
      </w:r>
      <w:r>
        <w:rPr/>
        <w:t>24.9.2020</w:t>
      </w:r>
      <w:r>
        <w:rPr>
          <w:rtl w:val="true"/>
        </w:rPr>
        <w:t xml:space="preserve">, </w:t>
      </w:r>
      <w:r>
        <w:rPr>
          <w:rtl w:val="true"/>
        </w:rPr>
        <w:t>ובמסגרתה הודיע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על דעת מרשו</w:t>
      </w:r>
      <w:r>
        <w:rPr>
          <w:rtl w:val="true"/>
        </w:rPr>
        <w:t xml:space="preserve">, </w:t>
      </w:r>
      <w:r>
        <w:rPr>
          <w:rtl w:val="true"/>
        </w:rPr>
        <w:t>כי הצעת בית המשפט מקובלת עליו</w:t>
      </w:r>
      <w:r>
        <w:rPr>
          <w:rtl w:val="true"/>
        </w:rPr>
        <w:t xml:space="preserve">, </w:t>
      </w:r>
      <w:r>
        <w:rPr>
          <w:rtl w:val="true"/>
        </w:rPr>
        <w:t>בעוד שב</w:t>
      </w:r>
      <w:r>
        <w:rPr>
          <w:rtl w:val="true"/>
        </w:rPr>
        <w:t>"</w:t>
      </w:r>
      <w:r>
        <w:rPr>
          <w:rtl w:val="true"/>
        </w:rPr>
        <w:t>כ המדינה הודיע כי המדינה לא תוכל לתת הסכמתה למתווה המוצע</w:t>
      </w:r>
      <w:r>
        <w:rPr>
          <w:rtl w:val="true"/>
        </w:rPr>
        <w:t xml:space="preserve">. </w:t>
      </w:r>
      <w:r>
        <w:rPr>
          <w:rtl w:val="true"/>
        </w:rPr>
        <w:t>במצב דברים זה הודיע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כי לא יעמוד על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ויבקש כי בית המשפט יקל בעונש המאסר שהוטל על המערער</w:t>
      </w:r>
      <w:r>
        <w:rPr>
          <w:rtl w:val="true"/>
        </w:rPr>
        <w:t xml:space="preserve">. </w:t>
      </w:r>
      <w:r>
        <w:rPr>
          <w:rtl w:val="true"/>
        </w:rPr>
        <w:t>לאור התפתחות זו</w:t>
      </w:r>
      <w:r>
        <w:rPr>
          <w:rtl w:val="true"/>
        </w:rPr>
        <w:t xml:space="preserve">, </w:t>
      </w:r>
      <w:r>
        <w:rPr>
          <w:rtl w:val="true"/>
        </w:rPr>
        <w:t>נמקד את דיוננו בטיעוני הצדדים ביחס לחומרת העונש 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להפחתה בעונשו מהטעם שבית המשפט קמא לא נימק את גזר דינו כדבעי</w:t>
      </w:r>
      <w:r>
        <w:rPr>
          <w:rtl w:val="true"/>
        </w:rPr>
        <w:t xml:space="preserve">, </w:t>
      </w:r>
      <w:r>
        <w:rPr>
          <w:rtl w:val="true"/>
        </w:rPr>
        <w:t>לא נתן משקל הולם למכלול השיקולים הנוגעים לעניין</w:t>
      </w:r>
      <w:r>
        <w:rPr>
          <w:rtl w:val="true"/>
        </w:rPr>
        <w:t xml:space="preserve">, </w:t>
      </w:r>
      <w:r>
        <w:rPr>
          <w:rtl w:val="true"/>
        </w:rPr>
        <w:t>ולא התחשב כראוי במדיניות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 xml:space="preserve">נטען כי אף שהוראות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אינן חלות באופן פורמלי בענייננו</w:t>
      </w:r>
      <w:r>
        <w:rPr>
          <w:rtl w:val="true"/>
        </w:rPr>
        <w:t xml:space="preserve">, </w:t>
      </w:r>
      <w:r>
        <w:rPr>
          <w:rtl w:val="true"/>
        </w:rPr>
        <w:t>הרי שכבר נפסק כי אין כל מניעה לגזור דין בהשראתו של התיקון אף לגבי מקרים שאירעו עובר למועד תחולתו</w:t>
      </w:r>
      <w:r>
        <w:rPr>
          <w:rtl w:val="true"/>
        </w:rPr>
        <w:t xml:space="preserve">. </w:t>
      </w:r>
      <w:r>
        <w:rPr>
          <w:rtl w:val="true"/>
        </w:rPr>
        <w:t xml:space="preserve">יישום 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על נסיבות המקרה דנן</w:t>
      </w:r>
      <w:r>
        <w:rPr>
          <w:rtl w:val="true"/>
        </w:rPr>
        <w:t xml:space="preserve">, </w:t>
      </w:r>
      <w:r>
        <w:rPr>
          <w:rtl w:val="true"/>
        </w:rPr>
        <w:t>מוביל למסקנה כי נגזר לו עונש חריג ובלתי הולם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מדגיש המערער כי למעשים בגינם הורשע לא היה תכנון מקדים וכי פעל מתוך תחושה סובייקטיבית של לחץ וחוסר אונים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 xml:space="preserve">אף קודם למועד תחולת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היה מקובל לבחון את מדיניות הענישה הנוהגת במסגרת גזירת דין</w:t>
      </w:r>
      <w:r>
        <w:rPr>
          <w:rtl w:val="true"/>
        </w:rPr>
        <w:t xml:space="preserve">, </w:t>
      </w:r>
      <w:r>
        <w:rPr>
          <w:rtl w:val="true"/>
        </w:rPr>
        <w:t>ומאחר שזאת לא נעשה על ידי בית המשפט קמא מבקש המערער כי הדבר יעשה על ידי בית משפט זה</w:t>
      </w:r>
      <w:r>
        <w:rPr>
          <w:rtl w:val="true"/>
        </w:rPr>
        <w:t xml:space="preserve">. </w:t>
      </w:r>
      <w:r>
        <w:rPr>
          <w:rtl w:val="true"/>
        </w:rPr>
        <w:t>המערער מוסיף וטוען כי הגם שנפסק כי נסיבות עניינו אינן ממלאות את דרישות סייג ההגנה העצמית</w:t>
      </w:r>
      <w:r>
        <w:rPr>
          <w:rtl w:val="true"/>
        </w:rPr>
        <w:t xml:space="preserve">, </w:t>
      </w:r>
      <w:r>
        <w:rPr>
          <w:rtl w:val="true"/>
        </w:rPr>
        <w:t>יש בהן בכל זאת להביא להפחתה ניכרת בעונשו</w:t>
      </w:r>
      <w:r>
        <w:rPr>
          <w:rtl w:val="true"/>
        </w:rPr>
        <w:t xml:space="preserve">. </w:t>
      </w:r>
      <w:r>
        <w:rPr>
          <w:rtl w:val="true"/>
        </w:rPr>
        <w:t>כך לשיטתו גם בשים לב לעובדה שהנשק בו השתמש הגיע לידיו מתוקף היותו חבר בכיתת כוננות</w:t>
      </w:r>
      <w:r>
        <w:rPr>
          <w:rtl w:val="true"/>
        </w:rPr>
        <w:t xml:space="preserve">, </w:t>
      </w:r>
      <w:r>
        <w:rPr>
          <w:rtl w:val="true"/>
        </w:rPr>
        <w:t>בהתחשב בהסלמה הביטחונית באותם הימים</w:t>
      </w:r>
      <w:r>
        <w:rPr>
          <w:rtl w:val="true"/>
        </w:rPr>
        <w:t xml:space="preserve">, </w:t>
      </w:r>
      <w:r>
        <w:rPr>
          <w:rtl w:val="true"/>
        </w:rPr>
        <w:t>בהינתן שמעשיו אינם משקפים פעילות עבריינית או אלימות לשמה וכן לאור כך שלטענתו סייע למנוח לאחר שנפצע</w:t>
      </w:r>
      <w:r>
        <w:rPr>
          <w:rtl w:val="true"/>
        </w:rPr>
        <w:t xml:space="preserve">. </w:t>
      </w:r>
      <w:r>
        <w:rPr>
          <w:rtl w:val="true"/>
        </w:rPr>
        <w:t>לבסוף מלין המערער גם על גובה הפיצוי שנפסק לחובתו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גורסת מנגד כי על המערער נגזר עונש ראוי מאחר שלשיטתה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פלסטינאי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שנסע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עפר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טוענת המדינה כי בית המשפט קמא נתן משקל הולם למכלול נסיבות העניין בבואו לגזור את דינו של המערער</w:t>
      </w:r>
      <w:r>
        <w:rPr>
          <w:rtl w:val="true"/>
        </w:rPr>
        <w:t xml:space="preserve">, </w:t>
      </w:r>
      <w:r>
        <w:rPr>
          <w:rtl w:val="true"/>
        </w:rPr>
        <w:t>ובתוך כך הדגישה כי אין לקבל מצב בו אנשים לוקחים את החוק לידיים</w:t>
      </w:r>
      <w:r>
        <w:rPr>
          <w:rtl w:val="true"/>
        </w:rPr>
        <w:t xml:space="preserve">, </w:t>
      </w:r>
      <w:r>
        <w:rPr>
          <w:rtl w:val="true"/>
        </w:rPr>
        <w:t>מבצעים פעולות שיטור כלפי אזרחים תמימים</w:t>
      </w:r>
      <w:r>
        <w:rPr>
          <w:rtl w:val="true"/>
        </w:rPr>
        <w:t xml:space="preserve">, </w:t>
      </w:r>
      <w:r>
        <w:rPr>
          <w:rtl w:val="true"/>
        </w:rPr>
        <w:t>ולבסוף אף יורים בהם למוות משאינם מצייתים להוראות שניתנו בחוסר סמכות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מעשיו של המערער ראויים לגינוי חריף</w:t>
      </w:r>
      <w:r>
        <w:rPr>
          <w:rtl w:val="true"/>
        </w:rPr>
        <w:t xml:space="preserve">, </w:t>
      </w:r>
      <w:r>
        <w:rPr>
          <w:rtl w:val="true"/>
        </w:rPr>
        <w:t>ולענישה הולמת</w:t>
      </w:r>
      <w:r>
        <w:rPr>
          <w:rtl w:val="true"/>
        </w:rPr>
        <w:t xml:space="preserve">. </w:t>
      </w:r>
      <w:r>
        <w:rPr>
          <w:rtl w:val="true"/>
        </w:rPr>
        <w:t>מותו הטראגי של המנוח הוא תוצאה ישירה של סדרת החלטות אומללות ושגויות שקיבל המערער לבדו ומיוזמתו</w:t>
      </w:r>
      <w:r>
        <w:rPr>
          <w:rtl w:val="true"/>
        </w:rPr>
        <w:t xml:space="preserve">. </w:t>
      </w:r>
      <w:r>
        <w:rPr>
          <w:rtl w:val="true"/>
        </w:rPr>
        <w:t>הורתה של התקרית הטראגית</w:t>
      </w:r>
      <w:r>
        <w:rPr>
          <w:rtl w:val="true"/>
        </w:rPr>
        <w:t xml:space="preserve">, </w:t>
      </w:r>
      <w:r>
        <w:rPr>
          <w:rtl w:val="true"/>
        </w:rPr>
        <w:t>בהחלטתו של המערער לעצור ולהתעמת עם אנשים בלתי מוכרים לו אך ורק בשל חשד שהתעורר בקרבו לנוכח נסיעתם בדרך העפר</w:t>
      </w:r>
      <w:r>
        <w:rPr>
          <w:rtl w:val="true"/>
        </w:rPr>
        <w:t xml:space="preserve">. </w:t>
      </w:r>
      <w:r>
        <w:rPr>
          <w:rtl w:val="true"/>
        </w:rPr>
        <w:t>עת נשקו באמתחתו</w:t>
      </w:r>
      <w:r>
        <w:rPr>
          <w:rtl w:val="true"/>
        </w:rPr>
        <w:t xml:space="preserve">, </w:t>
      </w:r>
      <w:r>
        <w:rPr>
          <w:rtl w:val="true"/>
        </w:rPr>
        <w:t>שכח המערער כי אדם מן השורה הוא</w:t>
      </w:r>
      <w:r>
        <w:rPr>
          <w:rtl w:val="true"/>
        </w:rPr>
        <w:t xml:space="preserve">, </w:t>
      </w:r>
      <w:r>
        <w:rPr>
          <w:rtl w:val="true"/>
        </w:rPr>
        <w:t>ונהג כשריף כל יכול</w:t>
      </w:r>
      <w:r>
        <w:rPr>
          <w:rtl w:val="true"/>
        </w:rPr>
        <w:t xml:space="preserve">. </w:t>
      </w:r>
      <w:r>
        <w:rPr>
          <w:rtl w:val="true"/>
        </w:rPr>
        <w:t>על רקע תפיסה מוטעית זו</w:t>
      </w:r>
      <w:r>
        <w:rPr>
          <w:rtl w:val="true"/>
        </w:rPr>
        <w:t xml:space="preserve">, </w:t>
      </w:r>
      <w:r>
        <w:rPr>
          <w:rtl w:val="true"/>
        </w:rPr>
        <w:t>דלק המערער לבדו לעבר העיקול על מנת לקבל את פני מי שחשד כי הם עלולים להיות מפרי חוק</w:t>
      </w:r>
      <w:r>
        <w:rPr>
          <w:rtl w:val="true"/>
        </w:rPr>
        <w:t xml:space="preserve">, </w:t>
      </w:r>
      <w:r>
        <w:rPr>
          <w:rtl w:val="true"/>
        </w:rPr>
        <w:t>ואולי אף מפגעים</w:t>
      </w:r>
      <w:r>
        <w:rPr>
          <w:rtl w:val="true"/>
        </w:rPr>
        <w:t xml:space="preserve">. </w:t>
      </w:r>
      <w:r>
        <w:rPr>
          <w:rtl w:val="true"/>
        </w:rPr>
        <w:t>בהגיעו לשם הזדרז לצאת מרכבו</w:t>
      </w:r>
      <w:r>
        <w:rPr>
          <w:rtl w:val="true"/>
        </w:rPr>
        <w:t xml:space="preserve">, </w:t>
      </w:r>
      <w:r>
        <w:rPr>
          <w:rtl w:val="true"/>
        </w:rPr>
        <w:t>כשרובהו בידיו</w:t>
      </w:r>
      <w:r>
        <w:rPr>
          <w:rtl w:val="true"/>
        </w:rPr>
        <w:t xml:space="preserve">, </w:t>
      </w:r>
      <w:r>
        <w:rPr>
          <w:rtl w:val="true"/>
        </w:rPr>
        <w:t>במטרה להתייצב על המשמר</w:t>
      </w:r>
      <w:r>
        <w:rPr>
          <w:rtl w:val="true"/>
        </w:rPr>
        <w:t xml:space="preserve">, </w:t>
      </w:r>
      <w:r>
        <w:rPr>
          <w:rtl w:val="true"/>
        </w:rPr>
        <w:t>ולוודא כי הטרנזיט נוע לא תנוע</w:t>
      </w:r>
      <w:r>
        <w:rPr>
          <w:rtl w:val="true"/>
        </w:rPr>
        <w:t xml:space="preserve">. </w:t>
      </w:r>
      <w:r>
        <w:rPr>
          <w:rtl w:val="true"/>
        </w:rPr>
        <w:t>אך ככל הנראה בשל המעלה המשובש לאורך העיקול</w:t>
      </w:r>
      <w:r>
        <w:rPr>
          <w:rtl w:val="true"/>
        </w:rPr>
        <w:t xml:space="preserve">, </w:t>
      </w:r>
      <w:r>
        <w:rPr>
          <w:rtl w:val="true"/>
        </w:rPr>
        <w:t>המנוח לא ציית להוראת המערער</w:t>
      </w:r>
      <w:r>
        <w:rPr>
          <w:rtl w:val="true"/>
        </w:rPr>
        <w:t xml:space="preserve">, </w:t>
      </w:r>
      <w:r>
        <w:rPr>
          <w:rtl w:val="true"/>
        </w:rPr>
        <w:t>והטרנזיט המשיכה לנוע קדימה</w:t>
      </w:r>
      <w:r>
        <w:rPr>
          <w:rtl w:val="true"/>
        </w:rPr>
        <w:t xml:space="preserve">. </w:t>
      </w:r>
      <w:r>
        <w:rPr>
          <w:rtl w:val="true"/>
        </w:rPr>
        <w:t>בנקודת זמן גורלית זו</w:t>
      </w:r>
      <w:r>
        <w:rPr>
          <w:rtl w:val="true"/>
        </w:rPr>
        <w:t xml:space="preserve">, </w:t>
      </w:r>
      <w:r>
        <w:rPr>
          <w:rtl w:val="true"/>
        </w:rPr>
        <w:t>הגיעה הטרנזיט אל פני הכביש</w:t>
      </w:r>
      <w:r>
        <w:rPr>
          <w:rtl w:val="true"/>
        </w:rPr>
        <w:t xml:space="preserve">, </w:t>
      </w:r>
      <w:r>
        <w:rPr>
          <w:rtl w:val="true"/>
        </w:rPr>
        <w:t>וחלפה במרחק של כמטר עד שניים מהמערער</w:t>
      </w:r>
      <w:r>
        <w:rPr>
          <w:rtl w:val="true"/>
        </w:rPr>
        <w:t xml:space="preserve">, </w:t>
      </w:r>
      <w:r>
        <w:rPr>
          <w:rtl w:val="true"/>
        </w:rPr>
        <w:t>אך במקביל אליו</w:t>
      </w:r>
      <w:r>
        <w:rPr>
          <w:rtl w:val="true"/>
        </w:rPr>
        <w:t xml:space="preserve">, </w:t>
      </w:r>
      <w:r>
        <w:rPr>
          <w:rtl w:val="true"/>
        </w:rPr>
        <w:t>ומבלי שתיצור סכנה ממשית לחייו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סחט המערער את הדק נשקו</w:t>
      </w:r>
      <w:r>
        <w:rPr>
          <w:rtl w:val="true"/>
        </w:rPr>
        <w:t xml:space="preserve">, </w:t>
      </w:r>
      <w:r>
        <w:rPr>
          <w:rtl w:val="true"/>
        </w:rPr>
        <w:t>ונטל חיי אדם לחינם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החומרה שבמעשיו של המערער ברורה על פני הדברים</w:t>
      </w:r>
      <w:r>
        <w:rPr>
          <w:rtl w:val="true"/>
        </w:rPr>
        <w:t xml:space="preserve">. </w:t>
      </w:r>
      <w:r>
        <w:rPr>
          <w:rtl w:val="true"/>
        </w:rPr>
        <w:t>אין להסכין למצב בו הפקדת נשק בידיו של אזרח ישראלי לצורכי מגננה מתורגמת על ידיו למקור ממנו הוא שואב סמכות לקחת את החוק לידיים</w:t>
      </w:r>
      <w:r>
        <w:rPr>
          <w:rtl w:val="true"/>
        </w:rPr>
        <w:t xml:space="preserve">, </w:t>
      </w:r>
      <w:r>
        <w:rPr>
          <w:rtl w:val="true"/>
        </w:rPr>
        <w:t>ולהטיל מורא על יושבי הארץ</w:t>
      </w:r>
      <w:r>
        <w:rPr>
          <w:rtl w:val="true"/>
        </w:rPr>
        <w:t xml:space="preserve">. </w:t>
      </w:r>
      <w:r>
        <w:rPr>
          <w:rtl w:val="true"/>
        </w:rPr>
        <w:t>כפי שפסק בית המשפט קמא</w:t>
      </w:r>
      <w:r>
        <w:rPr>
          <w:rtl w:val="true"/>
        </w:rPr>
        <w:t xml:space="preserve">, </w:t>
      </w:r>
      <w:r>
        <w:rPr>
          <w:rtl w:val="true"/>
        </w:rPr>
        <w:t>המערער הציג סיבות קלושות לחשד שעוררו בו יושבי הטרנזיט</w:t>
      </w:r>
      <w:r>
        <w:rPr>
          <w:rtl w:val="true"/>
        </w:rPr>
        <w:t xml:space="preserve">, </w:t>
      </w:r>
      <w:r>
        <w:rPr>
          <w:rtl w:val="true"/>
        </w:rPr>
        <w:t>ומכל מקום גם אם התעורר חשדו</w:t>
      </w:r>
      <w:r>
        <w:rPr>
          <w:rtl w:val="true"/>
        </w:rPr>
        <w:t xml:space="preserve">, </w:t>
      </w:r>
      <w:r>
        <w:rPr>
          <w:rtl w:val="true"/>
        </w:rPr>
        <w:t>היה נדרש ממנו לפעול ככל אזרח ולהציף את חשדותיו לרשויות אכיפת החוק המוסמכות</w:t>
      </w:r>
      <w:r>
        <w:rPr>
          <w:rtl w:val="true"/>
        </w:rPr>
        <w:t xml:space="preserve">. </w:t>
      </w:r>
      <w:r>
        <w:rPr>
          <w:rtl w:val="true"/>
        </w:rPr>
        <w:t>באופן קונקרטי</w:t>
      </w:r>
      <w:r>
        <w:rPr>
          <w:rtl w:val="true"/>
        </w:rPr>
        <w:t xml:space="preserve">, </w:t>
      </w:r>
      <w:r>
        <w:rPr>
          <w:rtl w:val="true"/>
        </w:rPr>
        <w:t>יש לדחות מכל וכל את הסברה כי נסיבות המקרה דנן</w:t>
      </w:r>
      <w:r>
        <w:rPr>
          <w:rtl w:val="true"/>
        </w:rPr>
        <w:t xml:space="preserve">, </w:t>
      </w:r>
      <w:r>
        <w:rPr>
          <w:rtl w:val="true"/>
        </w:rPr>
        <w:t>אף כפי שהוצגו על ידי המערער</w:t>
      </w:r>
      <w:r>
        <w:rPr>
          <w:rtl w:val="true"/>
        </w:rPr>
        <w:t xml:space="preserve">, </w:t>
      </w:r>
      <w:r>
        <w:rPr>
          <w:rtl w:val="true"/>
        </w:rPr>
        <w:t>עונות על הדרישות המקימות את סמכות העיכוב בידי אדם פרטי</w:t>
      </w:r>
      <w:r>
        <w:rPr>
          <w:rtl w:val="true"/>
        </w:rPr>
        <w:t xml:space="preserve">. </w:t>
      </w:r>
      <w:r>
        <w:rPr>
          <w:rtl w:val="true"/>
        </w:rPr>
        <w:t>בשים לב לעובדה שלמפגש הקטלני בין המערער ליושבי הטרנזיט אחראי המערער לבדו</w:t>
      </w:r>
      <w:r>
        <w:rPr>
          <w:rtl w:val="true"/>
        </w:rPr>
        <w:t xml:space="preserve">, </w:t>
      </w:r>
      <w:r>
        <w:rPr>
          <w:rtl w:val="true"/>
        </w:rPr>
        <w:t xml:space="preserve">בצדק גם נקבע כי לא עומד למערער סייג ההגנה העצמית </w:t>
      </w:r>
      <w:r>
        <w:rPr>
          <w:rtl w:val="true"/>
        </w:rPr>
        <w:t>(</w:t>
      </w:r>
      <w:r>
        <w:rPr>
          <w:rtl w:val="true"/>
        </w:rPr>
        <w:t>והשוו להבדיל לנסיבות שנידונו 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6392/07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יחזקאל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30.4.2008</w:t>
      </w:r>
      <w:r>
        <w:rPr>
          <w:rtl w:val="true"/>
        </w:rPr>
        <w:t xml:space="preserve">)). </w:t>
      </w:r>
      <w:r>
        <w:rPr>
          <w:rtl w:val="true"/>
        </w:rPr>
        <w:t>על מותו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על המסר המזלזל שביטא המערער כלפי קדושת החיים ועל השלכות מעשיו הרות האסון לבני משפחת המנוח </w:t>
      </w:r>
      <w:r>
        <w:rPr>
          <w:rtl w:val="true"/>
        </w:rPr>
        <w:t>–</w:t>
      </w:r>
      <w:r>
        <w:rPr>
          <w:rtl w:val="true"/>
        </w:rPr>
        <w:t xml:space="preserve"> צריך המערער לתת את 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 בעת</w:t>
      </w:r>
      <w:r>
        <w:rPr>
          <w:rtl w:val="true"/>
        </w:rPr>
        <w:t xml:space="preserve">, </w:t>
      </w:r>
      <w:r>
        <w:rPr>
          <w:rtl w:val="true"/>
        </w:rPr>
        <w:t>לאחר שעיינו בפסק דינו של בית המשפט קמא ובטענות הצדדים הגענו למסקנה כי דין ערעור המערער על חומרת העונש שנגזר עליו</w:t>
      </w:r>
      <w:r>
        <w:rPr>
          <w:rtl w:val="true"/>
        </w:rPr>
        <w:t xml:space="preserve">,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  <w:r>
        <w:rPr>
          <w:rtl w:val="true"/>
        </w:rPr>
        <w:t>טעם הדבר הוא שבית המשפט קמא לא נתן משקל הולם למכלול נסיבות העניין ולא התחשב כדבעי במדיניות הענישה הראויה והנוהגת במקרים כגון דא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בעבירת הריגה</w:t>
      </w:r>
      <w:r>
        <w:rPr>
          <w:rtl w:val="true"/>
        </w:rPr>
        <w:t xml:space="preserve">, </w:t>
      </w:r>
      <w:r>
        <w:rPr>
          <w:rtl w:val="true"/>
        </w:rPr>
        <w:t xml:space="preserve">שהעונש המרבי עליה עומד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>יוער כי עבירה זו בוטלה לא מכבר כחלק מהרפורמה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אך ההסדר החדש שנקבע אינו הסדר מקל מבחינת המערער</w:t>
      </w:r>
      <w:r>
        <w:rPr>
          <w:rtl w:val="true"/>
        </w:rPr>
        <w:t xml:space="preserve">). </w:t>
      </w:r>
      <w:r>
        <w:rPr>
          <w:rtl w:val="true"/>
        </w:rPr>
        <w:t>העונש שנגזר על המערער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מצוי אפוא על הצד המחמיר</w:t>
      </w:r>
      <w:r>
        <w:rPr>
          <w:rtl w:val="true"/>
        </w:rPr>
        <w:t xml:space="preserve">. </w:t>
      </w:r>
      <w:r>
        <w:rPr>
          <w:rtl w:val="true"/>
        </w:rPr>
        <w:t>עונש זה מביא לביטוי את השיקולים לחומרה שמאפיינים את מעשיו</w:t>
      </w:r>
      <w:r>
        <w:rPr>
          <w:rtl w:val="true"/>
        </w:rPr>
        <w:t xml:space="preserve">, </w:t>
      </w:r>
      <w:r>
        <w:rPr>
          <w:rtl w:val="true"/>
        </w:rPr>
        <w:t>ובהם נסיבות ביצוע העבירה כפי שתוארו לעיל</w:t>
      </w:r>
      <w:r>
        <w:rPr>
          <w:rtl w:val="true"/>
        </w:rPr>
        <w:t xml:space="preserve">, </w:t>
      </w:r>
      <w:r>
        <w:rPr>
          <w:rtl w:val="true"/>
        </w:rPr>
        <w:t>השלכותיה על בני משפחתו של המנוח</w:t>
      </w:r>
      <w:r>
        <w:rPr>
          <w:rtl w:val="true"/>
        </w:rPr>
        <w:t xml:space="preserve">, </w:t>
      </w:r>
      <w:r>
        <w:rPr>
          <w:rtl w:val="true"/>
        </w:rPr>
        <w:t>וכן את הימלטותו של המערער ממתן דין על מעשיו במשך שנים רבות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לטעמנו בית המשפט קמא לא התחשב מספיק בשיקולים לקולה הנוגעים לעניין</w:t>
      </w:r>
      <w:r>
        <w:rPr>
          <w:rtl w:val="true"/>
        </w:rPr>
        <w:t xml:space="preserve">. </w:t>
      </w:r>
      <w:r>
        <w:rPr>
          <w:rtl w:val="true"/>
        </w:rPr>
        <w:t>בהנמקתו לגזר הדין ציין אמנם בית המשפט את ערירותו של המערער ואת נסיבות חייו האישיות</w:t>
      </w:r>
      <w:r>
        <w:rPr>
          <w:rtl w:val="true"/>
        </w:rPr>
        <w:t xml:space="preserve">. </w:t>
      </w:r>
      <w:r>
        <w:rPr>
          <w:rtl w:val="true"/>
        </w:rPr>
        <w:t>אלא שמאפייני תקרית הירי במנוח</w:t>
      </w:r>
      <w:r>
        <w:rPr>
          <w:rtl w:val="true"/>
        </w:rPr>
        <w:t xml:space="preserve">, </w:t>
      </w:r>
      <w:r>
        <w:rPr>
          <w:rtl w:val="true"/>
        </w:rPr>
        <w:t>עם כל חומרתה</w:t>
      </w:r>
      <w:r>
        <w:rPr>
          <w:rtl w:val="true"/>
        </w:rPr>
        <w:t xml:space="preserve">, </w:t>
      </w:r>
      <w:r>
        <w:rPr>
          <w:rtl w:val="true"/>
        </w:rPr>
        <w:t>מקימים הצדקה להקלה נוספת בעונשו של המערער</w:t>
      </w:r>
      <w:r>
        <w:rPr>
          <w:rtl w:val="true"/>
        </w:rPr>
        <w:t xml:space="preserve">. </w:t>
      </w:r>
      <w:r>
        <w:rPr>
          <w:rtl w:val="true"/>
        </w:rPr>
        <w:t>אף תיאורו הנוקב של בית המשפט קמא את השתלשלות האירועים אינו מלמד על כוונה מקדימה מצד המערער להשתמש בנשקו על מנת לפגוע ביושבי הטרנזיט</w:t>
      </w:r>
      <w:r>
        <w:rPr>
          <w:rtl w:val="true"/>
        </w:rPr>
        <w:t xml:space="preserve">. </w:t>
      </w:r>
      <w:r>
        <w:rPr>
          <w:rtl w:val="true"/>
        </w:rPr>
        <w:t>מסגרת הזמן הקצרה שתיחמה את התקרית</w:t>
      </w:r>
      <w:r>
        <w:rPr>
          <w:rtl w:val="true"/>
        </w:rPr>
        <w:t xml:space="preserve">, </w:t>
      </w:r>
      <w:r>
        <w:rPr>
          <w:rtl w:val="true"/>
        </w:rPr>
        <w:t>ההפתעה שחש המערער עת התרוממה הטרנזיט מהעיקול אל פני הכביש</w:t>
      </w:r>
      <w:r>
        <w:rPr>
          <w:rtl w:val="true"/>
        </w:rPr>
        <w:t xml:space="preserve">, </w:t>
      </w:r>
      <w:r>
        <w:rPr>
          <w:rtl w:val="true"/>
        </w:rPr>
        <w:t xml:space="preserve">והעובדה שמנשקו שוחררה ירייה בודדת אחת </w:t>
      </w:r>
      <w:r>
        <w:rPr>
          <w:rtl w:val="true"/>
        </w:rPr>
        <w:t>–</w:t>
      </w:r>
      <w:r>
        <w:rPr>
          <w:rtl w:val="true"/>
        </w:rPr>
        <w:t xml:space="preserve"> תומכות בהתרשמות כי חרף שרשרת ההחלטות השגויות שקיבל המערער</w:t>
      </w:r>
      <w:r>
        <w:rPr>
          <w:rtl w:val="true"/>
        </w:rPr>
        <w:t xml:space="preserve">, </w:t>
      </w:r>
      <w:r>
        <w:rPr>
          <w:rtl w:val="true"/>
        </w:rPr>
        <w:t>מעשה ההריגה עצמו מתמקד באותו רגע גורלי בו לחץ על הדק נשקו פעם אחת ולא יסף</w:t>
      </w:r>
      <w:r>
        <w:rPr>
          <w:rtl w:val="true"/>
        </w:rPr>
        <w:t xml:space="preserve">. </w:t>
      </w:r>
      <w:r>
        <w:rPr>
          <w:rtl w:val="true"/>
        </w:rPr>
        <w:t>גרימת המוות נעשתה אפוא ללא שעומדת למערער טענת ההגנה העצמית</w:t>
      </w:r>
      <w:r>
        <w:rPr>
          <w:rtl w:val="true"/>
        </w:rPr>
        <w:t xml:space="preserve">, </w:t>
      </w:r>
      <w:r>
        <w:rPr>
          <w:rtl w:val="true"/>
        </w:rPr>
        <w:t>ואולם היא תוצאה של לחץ מהתרחשות מהירה ובלתי צפויה מבחינת המערער</w:t>
      </w:r>
      <w:r>
        <w:rPr>
          <w:rtl w:val="true"/>
        </w:rPr>
        <w:t xml:space="preserve">. </w:t>
      </w:r>
      <w:r>
        <w:rPr>
          <w:rtl w:val="true"/>
        </w:rPr>
        <w:t>עניין זה מצדיק הקלה מסוימת בעונש שנגזר על המערער</w:t>
      </w:r>
      <w:r>
        <w:rPr>
          <w:rtl w:val="true"/>
        </w:rPr>
        <w:t xml:space="preserve">. </w:t>
      </w:r>
      <w:r>
        <w:rPr>
          <w:rtl w:val="true"/>
        </w:rPr>
        <w:t>בית המשפט קמא לא התייחס בגזר דינו לנסיבות אלו של תקרית הירי</w:t>
      </w:r>
      <w:r>
        <w:rPr>
          <w:rtl w:val="true"/>
        </w:rPr>
        <w:t xml:space="preserve">, </w:t>
      </w:r>
      <w:r>
        <w:rPr>
          <w:rtl w:val="true"/>
        </w:rPr>
        <w:t>ומשכך העונש שגזר על המערער מחמיר יתר על המידה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אינו חל בעניינו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אולם בצדק נטען לפנינו כי דרישת ההלימה שנקבעה במפורש בתיקון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 xml:space="preserve">הייתה נהוגה עוד בטרם תחולתו הסטטוטורית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י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/>
        <w:t>18.4.2012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לחוות דעת של השופטת דפנה ברק</w:t>
      </w:r>
      <w:r>
        <w:rPr>
          <w:rtl w:val="true"/>
        </w:rPr>
        <w:t>-</w:t>
      </w:r>
      <w:r>
        <w:rPr>
          <w:rtl w:val="true"/>
        </w:rPr>
        <w:t>ארז ופסקה ג</w:t>
      </w:r>
      <w:r>
        <w:rPr>
          <w:rtl w:val="true"/>
        </w:rPr>
        <w:t xml:space="preserve">' </w:t>
      </w:r>
      <w:r>
        <w:rPr>
          <w:rtl w:val="true"/>
        </w:rPr>
        <w:t xml:space="preserve">לחוות דעתו של השופט אליקים רובינשטיין </w:t>
      </w:r>
      <w:r>
        <w:rPr>
          <w:rtl w:val="true"/>
        </w:rPr>
        <w:t>(</w:t>
      </w:r>
      <w:r>
        <w:rPr/>
        <w:t>31.7.2012</w:t>
      </w:r>
      <w:r>
        <w:rPr>
          <w:rtl w:val="true"/>
        </w:rPr>
        <w:t xml:space="preserve">)), </w:t>
      </w:r>
      <w:r>
        <w:rPr>
          <w:rtl w:val="true"/>
        </w:rPr>
        <w:t>ומשכך יפה היא גם עת נדרשים כיום בתי המשפט לעבירות שבוצעו לפני מועד כניסתו של התיקון לתוקף</w:t>
      </w:r>
      <w:r>
        <w:rPr>
          <w:rtl w:val="true"/>
        </w:rPr>
        <w:t xml:space="preserve">. </w:t>
      </w:r>
      <w:r>
        <w:rPr>
          <w:rtl w:val="true"/>
        </w:rPr>
        <w:t xml:space="preserve">בחינת ענייננו ברוח התיקון מעלה כי העונש שנגזר על המערער בבית המשפט קמא אינו מבטא משקל הולם לנסיבה בדבר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ולנסיבה בדבר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שהביאו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הקלה בעונש המאסר של המערער מוצדקת גם משיקולי אחידות ענישה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גברזגיי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(</w:t>
      </w:r>
      <w:r>
        <w:rPr/>
        <w:t>15.1.2014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עניינו של המערער ייחודי בנסיבותיו</w:t>
      </w:r>
      <w:r>
        <w:rPr>
          <w:rtl w:val="true"/>
        </w:rPr>
        <w:t xml:space="preserve">, </w:t>
      </w:r>
      <w:r>
        <w:rPr>
          <w:rtl w:val="true"/>
        </w:rPr>
        <w:t>ואולם דומה שהעונש שהושת עליו חורג מהמקובל ביחס לעבירות הריגה שהתרחשו בעקבות התדרדרות בלתי מתוכננת של סיטואציה</w:t>
      </w:r>
      <w:r>
        <w:rPr>
          <w:rtl w:val="true"/>
        </w:rPr>
        <w:t xml:space="preserve">. 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6454/03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טדסה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23.6.2004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10832/07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6.4.2010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9062/12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10.6.2014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13.1.2015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הררי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26.4.2015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בשקלול כל האמור לעיל אנו סבורים כי קיימת בענייננו הצדקה להתערב בעונש שנגזר על ידי הערכאה המבררת</w:t>
      </w:r>
      <w:r>
        <w:rPr>
          <w:rtl w:val="true"/>
        </w:rPr>
        <w:t xml:space="preserve">, </w:t>
      </w:r>
      <w:r>
        <w:rPr>
          <w:rtl w:val="true"/>
        </w:rPr>
        <w:t>ולהפחיתו באופן שישקף את מכלול הנסיבות המורכבות של המקרה שלפנינו</w:t>
      </w:r>
      <w:r>
        <w:rPr>
          <w:rtl w:val="true"/>
        </w:rPr>
        <w:t xml:space="preserve">. </w:t>
      </w:r>
      <w:r>
        <w:rPr>
          <w:rtl w:val="true"/>
        </w:rPr>
        <w:t>על כן הגענו למסקנה כי יש להקל בעונשו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ולהעמידו על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 xml:space="preserve">במקום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 xml:space="preserve">בהפחתה זו של עונשו של המערער הבאנו בחשבון גם את הימלטותו מאימת הדין על פני שנים רבות </w:t>
      </w:r>
      <w:r>
        <w:rPr>
          <w:rtl w:val="true"/>
        </w:rPr>
        <w:t>–</w:t>
      </w:r>
      <w:r>
        <w:rPr>
          <w:rtl w:val="true"/>
        </w:rPr>
        <w:t xml:space="preserve"> שיקול לחומרה</w:t>
      </w:r>
      <w:r>
        <w:rPr>
          <w:rtl w:val="true"/>
        </w:rPr>
        <w:t xml:space="preserve">, </w:t>
      </w:r>
      <w:r>
        <w:rPr>
          <w:rtl w:val="true"/>
        </w:rPr>
        <w:t>אשר בצדק הובא בחשבון במסגרת גזר דינו של בית המשפט 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נציין כי לא מצאנו כל הצדקה להתערב בשיעור הפיצוי שהושת על המערער</w:t>
      </w:r>
      <w:r>
        <w:rPr>
          <w:rtl w:val="true"/>
        </w:rPr>
        <w:t xml:space="preserve">. </w:t>
      </w:r>
      <w:r>
        <w:rPr>
          <w:rtl w:val="true"/>
        </w:rPr>
        <w:t>בית משפט זה שב וקבע כי המדובר בסוגיה המסורה לשיקול דעתה הרחב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אשר ערכאת הערעור תתערב בו במקרים קיצוניים בלבד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מבין רבים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10213/05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26.6.2006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15.10.2013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בשים לב לחומרת מעשי המערער</w:t>
      </w:r>
      <w:r>
        <w:rPr>
          <w:rtl w:val="true"/>
        </w:rPr>
        <w:t xml:space="preserve">, </w:t>
      </w:r>
      <w:r>
        <w:rPr>
          <w:rtl w:val="true"/>
        </w:rPr>
        <w:t>לתוצאתם הטראגית ולנזק הרב שגרמו לבני משפחת המנוח</w:t>
      </w:r>
      <w:r>
        <w:rPr>
          <w:rtl w:val="true"/>
        </w:rPr>
        <w:t xml:space="preserve">, </w:t>
      </w:r>
      <w:r>
        <w:rPr>
          <w:rtl w:val="true"/>
        </w:rPr>
        <w:t>אנו סבורים כי בית המשפט קמא פסק פיצוי הולם ולא מצאנו הצדקה להתערב בשיעורו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כבר נפסק כי שיעור הפיצוי שנפסק לטובת נפגע עבירה אינו נקבע בהתחשב ביכולתו הכלכלית של הנאשם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אלהרוש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25.11.2018</w:t>
      </w:r>
      <w:r>
        <w:rPr>
          <w:rtl w:val="true"/>
        </w:rPr>
        <w:t xml:space="preserve">), </w:t>
      </w:r>
      <w:r>
        <w:rPr>
          <w:rtl w:val="true"/>
        </w:rPr>
        <w:t>וההפניות שם</w:t>
      </w:r>
      <w:r>
        <w:rPr>
          <w:rtl w:val="true"/>
        </w:rPr>
        <w:t xml:space="preserve">).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כי פתוחה בפני המערער האפשרות לפנות למרכז לגביית קנסות בבקשה לפריסה או לדחייה של תשלומי הפיצוי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המרכז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לגביית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קנסות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אגרות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והוצאות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1995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הערעור מתקבל באופן חלקי</w:t>
      </w:r>
      <w:r>
        <w:rPr>
          <w:rtl w:val="true"/>
        </w:rPr>
        <w:t xml:space="preserve">, </w:t>
      </w:r>
      <w:r>
        <w:rPr>
          <w:rtl w:val="true"/>
        </w:rPr>
        <w:t xml:space="preserve">במובן זה שעונש המאסר שנגזר על המערער יופחת ויעמוד על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יעמדו בעינם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Miriam" w:hAnsi="Miriam" w:cs="Miriam"/>
          <w:b/>
          <w:b/>
          <w:spacing w:val="0"/>
          <w:szCs w:val="24"/>
          <w:u w:val="single"/>
          <w:rtl w:val="true"/>
        </w:rPr>
        <w:t>השופט י</w:t>
      </w:r>
      <w:r>
        <w:rPr>
          <w:rFonts w:cs="Miriam" w:ascii="Miriam" w:hAnsi="Miriam"/>
          <w:b/>
          <w:spacing w:val="0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Miriam" w:hAnsi="Miriam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הטרנזיט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 "</w:t>
      </w:r>
      <w:r>
        <w:rPr>
          <w:rtl w:val="true"/>
        </w:rPr>
        <w:t>הקפיצה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ההתרוממות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הטרנזיט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יריה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; </w:t>
      </w:r>
      <w:r>
        <w:rPr>
          <w:rtl w:val="true"/>
        </w:rPr>
        <w:t>יריה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; </w:t>
      </w:r>
      <w:r>
        <w:rPr>
          <w:rtl w:val="true"/>
        </w:rPr>
        <w:t>יריה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Miriam" w:hAnsi="Miriam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Miriam" w:hAnsi="Miriam" w:cs="Miriam"/>
          <w:b/>
          <w:b/>
          <w:spacing w:val="0"/>
          <w:szCs w:val="24"/>
          <w:u w:val="single"/>
          <w:rtl w:val="true"/>
        </w:rPr>
        <w:t>ת</w:t>
      </w:r>
      <w:r>
        <w:rPr>
          <w:rFonts w:ascii="Miriam" w:hAnsi="Miriam" w:cs="Miriam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Miriam" w:hAnsi="Miriam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Miriam" w:hAnsi="Miriam"/>
          <w:b/>
          <w:spacing w:val="0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Miriam" w:hAnsi="Miriam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עופר גרוסקופף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28.10.2020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18048200</w:t>
      </w:r>
      <w:r>
        <w:rPr>
          <w:sz w:val="16"/>
          <w:rtl w:val="true"/>
        </w:rPr>
        <w:t>_</w:t>
      </w:r>
      <w:r>
        <w:rPr>
          <w:sz w:val="16"/>
        </w:rPr>
        <w:t>Y14.docx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עו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54678313-4820/18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4820/18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יהושע אליצור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המדינה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745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j" TargetMode="External"/><Relationship Id="rId5" Type="http://schemas.openxmlformats.org/officeDocument/2006/relationships/hyperlink" Target="http://www.nevo.co.il/law/70301/40i.a.1" TargetMode="External"/><Relationship Id="rId6" Type="http://schemas.openxmlformats.org/officeDocument/2006/relationships/hyperlink" Target="http://www.nevo.co.il/law/70301/40i.a.5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4jh" TargetMode="External"/><Relationship Id="rId9" Type="http://schemas.openxmlformats.org/officeDocument/2006/relationships/hyperlink" Target="http://www.nevo.co.il/law/75003" TargetMode="External"/><Relationship Id="rId10" Type="http://schemas.openxmlformats.org/officeDocument/2006/relationships/hyperlink" Target="http://www.nevo.co.il/law/75003/5b" TargetMode="External"/><Relationship Id="rId11" Type="http://schemas.openxmlformats.org/officeDocument/2006/relationships/hyperlink" Target="http://www.nevo.co.il/case/2237453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j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j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jh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977210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243627" TargetMode="External"/><Relationship Id="rId25" Type="http://schemas.openxmlformats.org/officeDocument/2006/relationships/hyperlink" Target="http://www.nevo.co.il/case/6246216" TargetMode="External"/><Relationship Id="rId26" Type="http://schemas.openxmlformats.org/officeDocument/2006/relationships/hyperlink" Target="http://www.nevo.co.il/law/70301/40i.a.1" TargetMode="External"/><Relationship Id="rId27" Type="http://schemas.openxmlformats.org/officeDocument/2006/relationships/hyperlink" Target="http://www.nevo.co.il/law/70301/40i.a.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6018516" TargetMode="External"/><Relationship Id="rId30" Type="http://schemas.openxmlformats.org/officeDocument/2006/relationships/hyperlink" Target="http://www.nevo.co.il/case/6066483" TargetMode="External"/><Relationship Id="rId31" Type="http://schemas.openxmlformats.org/officeDocument/2006/relationships/hyperlink" Target="http://www.nevo.co.il/case/6175339" TargetMode="External"/><Relationship Id="rId32" Type="http://schemas.openxmlformats.org/officeDocument/2006/relationships/hyperlink" Target="http://www.nevo.co.il/case/5610730" TargetMode="External"/><Relationship Id="rId33" Type="http://schemas.openxmlformats.org/officeDocument/2006/relationships/hyperlink" Target="http://www.nevo.co.il/case/6669251" TargetMode="External"/><Relationship Id="rId34" Type="http://schemas.openxmlformats.org/officeDocument/2006/relationships/hyperlink" Target="http://www.nevo.co.il/case/7011974" TargetMode="External"/><Relationship Id="rId35" Type="http://schemas.openxmlformats.org/officeDocument/2006/relationships/hyperlink" Target="http://www.nevo.co.il/case/6241100" TargetMode="External"/><Relationship Id="rId36" Type="http://schemas.openxmlformats.org/officeDocument/2006/relationships/hyperlink" Target="http://www.nevo.co.il/case/6959068" TargetMode="External"/><Relationship Id="rId37" Type="http://schemas.openxmlformats.org/officeDocument/2006/relationships/hyperlink" Target="http://www.nevo.co.il/case/20942136" TargetMode="External"/><Relationship Id="rId38" Type="http://schemas.openxmlformats.org/officeDocument/2006/relationships/hyperlink" Target="http://www.nevo.co.il/law/75003/5b" TargetMode="External"/><Relationship Id="rId39" Type="http://schemas.openxmlformats.org/officeDocument/2006/relationships/hyperlink" Target="http://www.nevo.co.il/law/75003" TargetMode="External"/><Relationship Id="rId40" Type="http://schemas.openxmlformats.org/officeDocument/2006/relationships/hyperlink" Target="http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2020-10-29T10:51:00Z</dcterms:created>
  <dc:creator>h4</dc:creator>
  <dc:description/>
  <cp:keywords/>
  <dc:language>en-IL</dc:language>
  <cp:lastModifiedBy>orly</cp:lastModifiedBy>
  <cp:lastPrinted>2020-10-28T13:21:00Z</cp:lastPrinted>
  <dcterms:modified xsi:type="dcterms:W3CDTF">2020-10-29T10:51:00Z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יהושע אליצור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פרקליטות המדינה;עזבון המנוח צאיל אשתיה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2237453:2;5977210;6243627;6246216;6018516;6066483;6175339;5610730;6669251;7011974;6241100;6959068;20942136</vt:lpwstr>
  </property>
  <property fmtid="{D5CDD505-2E9C-101B-9397-08002B2CF9AE}" pid="9" name="CITY">
    <vt:lpwstr/>
  </property>
  <property fmtid="{D5CDD505-2E9C-101B-9397-08002B2CF9AE}" pid="10" name="DATE">
    <vt:lpwstr>20201028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ברון;ע' גרוסקופף</vt:lpwstr>
  </property>
  <property fmtid="{D5CDD505-2E9C-101B-9397-08002B2CF9AE}" pid="14" name="LAWLISTTMP1">
    <vt:lpwstr>70301/298;034j:2;34jh;040i.a.1;040i.a.5</vt:lpwstr>
  </property>
  <property fmtid="{D5CDD505-2E9C-101B-9397-08002B2CF9AE}" pid="15" name="LAWLISTTMP2">
    <vt:lpwstr>75003/005b</vt:lpwstr>
  </property>
  <property fmtid="{D5CDD505-2E9C-101B-9397-08002B2CF9AE}" pid="16" name="LAWYER">
    <vt:lpwstr>איתמר גלבפיש;עדי קידר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1446;1446;1446;1446;1446;1446</vt:lpwstr>
  </property>
  <property fmtid="{D5CDD505-2E9C-101B-9397-08002B2CF9AE}" pid="49" name="NOSE31">
    <vt:lpwstr>מדיניות ענישה: הריגה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לקולה</vt:lpwstr>
  </property>
  <property fmtid="{D5CDD505-2E9C-101B-9397-08002B2CF9AE}" pid="52" name="NOSE33">
    <vt:lpwstr>מדיניות ענישה: אחדות הענישה</vt:lpwstr>
  </property>
  <property fmtid="{D5CDD505-2E9C-101B-9397-08002B2CF9AE}" pid="53" name="NOSE34">
    <vt:lpwstr>מדיניות ענישה: התערבות ערכאת ערעור</vt:lpwstr>
  </property>
  <property fmtid="{D5CDD505-2E9C-101B-9397-08002B2CF9AE}" pid="54" name="NOSE35">
    <vt:lpwstr>דרכי ענישה: פיצויים</vt:lpwstr>
  </property>
  <property fmtid="{D5CDD505-2E9C-101B-9397-08002B2CF9AE}" pid="55" name="NOSE36">
    <vt:lpwstr>תיקון 113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14739;8996;13222;8982;8968;15240</vt:lpwstr>
  </property>
  <property fmtid="{D5CDD505-2E9C-101B-9397-08002B2CF9AE}" pid="60" name="PADIDATE">
    <vt:lpwstr>20201029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4820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410120201028</vt:lpwstr>
  </property>
  <property fmtid="{D5CDD505-2E9C-101B-9397-08002B2CF9AE}" pid="70" name="TYPE_N_DATE">
    <vt:lpwstr>41020201028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