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4824/19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5850/19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4824/19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5850/19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4824/19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5850/19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4.6.2019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10058-06-15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15.3.2022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4824/19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5850/19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גוטליב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4824/19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5850/19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>*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8424/19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בביצוע שורה של עבירות מין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 משפחה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ונגזרו עליו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צ</w:t>
      </w:r>
      <w:r>
        <w:rPr>
          <w:rFonts w:ascii="Times New Roman" w:hAnsi="Times New Roman" w:cs="Times New Roman"/>
          <w:spacing w:val="0"/>
          <w:szCs w:val="26"/>
          <w:rtl w:val="true"/>
        </w:rPr>
        <w:t>ד עונשים נלווים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בהכרעת הדין ובגזה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הדין וערעורים מזה ומזה על גזר הדין שניתנו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במסגרתם 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8424/19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המשיב ב</w:t>
      </w:r>
      <w:hyperlink r:id="rId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5850/19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;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פה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שורה של עבירות מין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 משפחה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ונגזרו עליו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צ</w:t>
      </w:r>
      <w:r>
        <w:rPr>
          <w:rFonts w:ascii="Times New Roman" w:hAnsi="Times New Roman" w:cs="Times New Roman"/>
          <w:spacing w:val="0"/>
          <w:szCs w:val="26"/>
          <w:rtl w:val="true"/>
        </w:rPr>
        <w:t>ד עונשים נלווים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</w:t>
      </w:r>
      <w:r>
        <w:rPr>
          <w:rFonts w:ascii="Times New Roman" w:hAnsi="Times New Roman" w:cs="Times New Roman"/>
          <w:spacing w:val="0"/>
          <w:szCs w:val="26"/>
          <w:rtl w:val="true"/>
        </w:rPr>
        <w:t>סיפור של ניצול מיני נורא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שנמשך שנים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 ילדים רכים ולמודי סבל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מידי אדם הנחזה לאיש אמון וסוד – דמות אב ואח גדול גם יחד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 בהסכמת השופטות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 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מרבית טענות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מופנות כלפי ממצאי המהימנות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פסוקה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דרכה של ערכאת הערעור להתערב במימצאים עובדתיים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וקל וחומר במימצאי 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אחת כמה וכמה מקום בו עסקינן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מדגיש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אינו חולק על ממצא זה או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קצפו יצא על עצם השימוש שנעשה בממצאי מהימנות במקרים 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לקבל 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התרשמות השופט באופן 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אמצעי ממהימנות העדים שהובאו 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והרשעה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אפשרות דחוקה ומאולצת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שהשימוש בה יֵעשה רק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כמוצא אחרון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דרך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היא למעשה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דרך המלך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והיא נקבעה במפורש </w:t>
      </w:r>
      <w:hyperlink r:id="rId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53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הראיות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ניתנה פה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שכלל שופטי ההרכב התרשמו לחיוב מדברי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מהתנהגותם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ממכלול 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ומאותות האמת הרבים שהתגלו בעדויותיהם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משנדחתה טענת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לדחיית ערעורו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</w:t>
      </w:r>
      <w:r>
        <w:rPr>
          <w:rFonts w:ascii="Times New Roman" w:hAnsi="Times New Roman" w:cs="Times New Roman"/>
          <w:spacing w:val="0"/>
          <w:szCs w:val="26"/>
          <w:rtl w:val="true"/>
        </w:rPr>
        <w:t>דרש לטענות המפורטות שהעלה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ולא מוצא בהן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נקבע בין היתר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אין בדברי שופטי הרוב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המופנים כלפי עניין מסוים וספציפי בעדותה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באישום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לפגום ביתר חלקי עדותה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באמינותה ומהימנותה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אחת כמה וכמה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שהדבר אינו גורע כמלוא נימ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מעדויות האחים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נדחתה הטענה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לראות בדמיון בין העדויות משום חיזוק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הדמיון בין העדויות – אמנם בולט וניכר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הוא עומד בתוקפו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לאחר עיון בטענת ההגנה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לפיה </w:t>
      </w:r>
      <w:r>
        <w:rPr>
          <w:rFonts w:ascii="Times New Roman" w:hAnsi="Times New Roman" w:cs="Times New Roman"/>
          <w:spacing w:val="0"/>
          <w:szCs w:val="26"/>
          <w:rtl w:val="true"/>
        </w:rPr>
        <w:t>כביכול בגרסאות מתואמות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עסקינן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נחשף למידע 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קביל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 הרשעתו בעבירות מין במקרה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מחלוקת שעצם החשיפה לעובדה שנגד המערער מתנהל הליך פלילי נוסף – היתה בלתי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נמנעת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דבר הרשעתו פורסם בכלי התקשורת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ועובדה זו היא שהביאה את המתלוננים לפתוח את סגור לבם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ולהגיש תלונה נגד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מלין על כך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גילה על אודות הרשעתו בתיק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נחשפו לפניו האישומים המפורטים שבהם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ועמם גם העונשים שנגזרו עליו באותו 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דינה להידחות מכל וכל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המערער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שפתח את הדלת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והציג לפני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את המידע הנוגע להליך הפלילי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לחשיפ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למידע זה – לא נפל כל פגם בהתנהלות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הדין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– נימוק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ה עמה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מבוססת היטב על חומר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נפל בה פגם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הערעורים על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ההתערבות של ערכאת הערעור בגזר הדין – מצומצמת עד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שמורה אך למקרים שבהם מתברר כי נפלה טעות מהותית בהחלטת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שנקבע עונש החורג באופן קיצוני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דנא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בא בגדר אותם 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לקולא ולא לחומרא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פרשׂ יריעה רחבה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ביחס למדיניות הענישה הנהוגה במקרים 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ביחס לד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אמותיה הייחודיות של הפרשה הקשה והמטלטלת שהונחה 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ממוקם בחלקם התחתון של מתחמי הענישה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החלטתו לקבוע מתחמי ענישה נפרדים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החלטתו להימנע מלנכות את ימי המעצר מן העונש – מנומקות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מפורטות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נתונות לסמכותה המלאה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ועולות בקנה אחד עם הדין הנוהג במקרים כאלה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חלט לדחות את ערעור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חלט 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בלי התלבטות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לדחות את ערעור המשיבה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העבירות שבוצעו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נכון היה להחמיר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שגזר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כבד כשלעצמו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הוא נטוע היטב בגבולות שיקול הדעת הלגיטימי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אפוא להתערבות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14" w:name="Start_Write"/>
      <w:bookmarkStart w:id="15" w:name="Writer_Name"/>
      <w:bookmarkEnd w:id="14"/>
      <w:bookmarkEnd w:id="15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ערעור על הכרעת הדין מיום </w:t>
      </w:r>
      <w:r>
        <w:rPr/>
        <w:t>22.10.2018</w:t>
      </w:r>
      <w:r>
        <w:rPr>
          <w:rtl w:val="true"/>
        </w:rPr>
        <w:t xml:space="preserve">, </w:t>
      </w:r>
      <w:r>
        <w:rPr>
          <w:rtl w:val="true"/>
        </w:rPr>
        <w:t xml:space="preserve">וערעורים מזה ומזה על גזר הדין מיום </w:t>
      </w:r>
      <w:r>
        <w:rPr/>
        <w:t>4.6</w:t>
      </w:r>
      <w:r>
        <w:rPr/>
        <w:t>.2019</w:t>
      </w:r>
      <w:r>
        <w:rPr>
          <w:rtl w:val="true"/>
        </w:rPr>
        <w:t xml:space="preserve">, </w:t>
      </w:r>
      <w:r>
        <w:rPr>
          <w:rtl w:val="true"/>
        </w:rPr>
        <w:t>שניתנו על</w:t>
      </w:r>
      <w:r>
        <w:rPr>
          <w:rtl w:val="true"/>
        </w:rPr>
        <w:t>-</w:t>
      </w:r>
      <w:r>
        <w:rPr>
          <w:rtl w:val="true"/>
        </w:rPr>
        <w:t xml:space="preserve">ידי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10058-06-15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8424/19</w:t>
      </w:r>
      <w:r>
        <w:rPr>
          <w:rtl w:val="true"/>
        </w:rPr>
        <w:t xml:space="preserve"> (</w:t>
      </w:r>
      <w:r>
        <w:rPr>
          <w:rtl w:val="true"/>
        </w:rPr>
        <w:t>הוא 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5850/19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הורשע פה אחד</w:t>
      </w:r>
      <w:r>
        <w:rPr>
          <w:rtl w:val="true"/>
        </w:rPr>
        <w:t xml:space="preserve">, </w:t>
      </w:r>
      <w:r>
        <w:rPr>
          <w:rtl w:val="true"/>
        </w:rPr>
        <w:t>בביצוע שורה של עבירות מין 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בני משפחה אחת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לבד מעונשים נלווים נוספים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המסכת העובדתית המתוארת בכתב האישום – קשה מנשוא</w:t>
      </w:r>
      <w:r>
        <w:rPr>
          <w:rtl w:val="true"/>
        </w:rPr>
        <w:t xml:space="preserve">. </w:t>
      </w:r>
      <w:r>
        <w:rPr>
          <w:rtl w:val="true"/>
        </w:rPr>
        <w:t>היא מגוללת סיפור של ניצול מיני נורא</w:t>
      </w:r>
      <w:r>
        <w:rPr>
          <w:rtl w:val="true"/>
        </w:rPr>
        <w:t xml:space="preserve">, </w:t>
      </w:r>
      <w:r>
        <w:rPr>
          <w:rtl w:val="true"/>
        </w:rPr>
        <w:t>שנמשך שנים רבות</w:t>
      </w:r>
      <w:r>
        <w:rPr>
          <w:rtl w:val="true"/>
        </w:rPr>
        <w:t xml:space="preserve">, </w:t>
      </w:r>
      <w:r>
        <w:rPr>
          <w:rtl w:val="true"/>
        </w:rPr>
        <w:t>של ילדים רכים ולמודי סבל</w:t>
      </w:r>
      <w:r>
        <w:rPr>
          <w:rtl w:val="true"/>
        </w:rPr>
        <w:t xml:space="preserve">, </w:t>
      </w:r>
      <w:r>
        <w:rPr>
          <w:rtl w:val="true"/>
        </w:rPr>
        <w:t>מידי אדם הנחזה לאיש אמון וסוד – דמות אב ואח גדול גם יחד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כולם בני משפחה אחת</w:t>
      </w:r>
      <w:r>
        <w:rPr>
          <w:rtl w:val="true"/>
        </w:rPr>
        <w:t xml:space="preserve">, </w:t>
      </w:r>
      <w:r>
        <w:rPr>
          <w:rtl w:val="true"/>
        </w:rPr>
        <w:t>מרובת ילדים</w:t>
      </w:r>
      <w:r>
        <w:rPr>
          <w:rtl w:val="true"/>
        </w:rPr>
        <w:t xml:space="preserve">. </w:t>
      </w:r>
      <w:r>
        <w:rPr>
          <w:rtl w:val="true"/>
        </w:rPr>
        <w:t>ההורים נפרדו זה מזו</w:t>
      </w:r>
      <w:r>
        <w:rPr>
          <w:rtl w:val="true"/>
        </w:rPr>
        <w:t xml:space="preserve">, </w:t>
      </w:r>
      <w:r>
        <w:rPr>
          <w:rtl w:val="true"/>
        </w:rPr>
        <w:t>האב עזב את הבית</w:t>
      </w:r>
      <w:r>
        <w:rPr>
          <w:rtl w:val="true"/>
        </w:rPr>
        <w:t xml:space="preserve">, </w:t>
      </w:r>
      <w:r>
        <w:rPr>
          <w:rtl w:val="true"/>
        </w:rPr>
        <w:t>והותיר אחריו משפחה קשת יום</w:t>
      </w:r>
      <w:r>
        <w:rPr>
          <w:rtl w:val="true"/>
        </w:rPr>
        <w:t xml:space="preserve">, </w:t>
      </w:r>
      <w:r>
        <w:rPr>
          <w:rtl w:val="true"/>
        </w:rPr>
        <w:t>במצוקה גדולה</w:t>
      </w:r>
      <w:r>
        <w:rPr>
          <w:rtl w:val="true"/>
        </w:rPr>
        <w:t xml:space="preserve">. </w:t>
      </w:r>
      <w:r>
        <w:rPr>
          <w:rtl w:val="true"/>
        </w:rPr>
        <w:t>אל תוך החלל הזה נכנס המערער</w:t>
      </w:r>
      <w:r>
        <w:rPr>
          <w:rtl w:val="true"/>
        </w:rPr>
        <w:t xml:space="preserve">, </w:t>
      </w:r>
      <w:r>
        <w:rPr>
          <w:rtl w:val="true"/>
        </w:rPr>
        <w:t>דמות מרכזית ורבת פעלים באזור</w:t>
      </w:r>
      <w:r>
        <w:rPr>
          <w:rtl w:val="true"/>
        </w:rPr>
        <w:t xml:space="preserve">. </w:t>
      </w:r>
      <w:r>
        <w:rPr>
          <w:rtl w:val="true"/>
        </w:rPr>
        <w:t>עד מהרה הפך המערער לעמוד התווך בבית</w:t>
      </w:r>
      <w:r>
        <w:rPr>
          <w:rtl w:val="true"/>
        </w:rPr>
        <w:t xml:space="preserve">, </w:t>
      </w:r>
      <w:r>
        <w:rPr>
          <w:rtl w:val="true"/>
        </w:rPr>
        <w:t>לגורם יציב ותומך</w:t>
      </w:r>
      <w:r>
        <w:rPr>
          <w:rtl w:val="true"/>
        </w:rPr>
        <w:t xml:space="preserve">, </w:t>
      </w:r>
      <w:r>
        <w:rPr>
          <w:rtl w:val="true"/>
        </w:rPr>
        <w:t>הן לאם הן לילדים – מבחינה כלכלית</w:t>
      </w:r>
      <w:r>
        <w:rPr>
          <w:rtl w:val="true"/>
        </w:rPr>
        <w:t xml:space="preserve">, </w:t>
      </w:r>
      <w:r>
        <w:rPr>
          <w:rtl w:val="true"/>
        </w:rPr>
        <w:t>נפשית וחברתית</w:t>
      </w:r>
      <w:r>
        <w:rPr>
          <w:rtl w:val="true"/>
        </w:rPr>
        <w:t xml:space="preserve">. </w:t>
      </w:r>
      <w:r>
        <w:rPr>
          <w:rtl w:val="true"/>
        </w:rPr>
        <w:t>מערכת יחסים צמודה זו</w:t>
      </w:r>
      <w:r>
        <w:rPr>
          <w:rtl w:val="true"/>
        </w:rPr>
        <w:t xml:space="preserve">, </w:t>
      </w:r>
      <w:r>
        <w:rPr>
          <w:rtl w:val="true"/>
        </w:rPr>
        <w:t>נמשכה שנים רבות</w:t>
      </w:r>
      <w:r>
        <w:rPr>
          <w:rtl w:val="true"/>
        </w:rPr>
        <w:t xml:space="preserve">, </w:t>
      </w:r>
      <w:r>
        <w:rPr>
          <w:rtl w:val="true"/>
        </w:rPr>
        <w:t>גם לאחר שהמשפחה התיקה את מקום מגוריה</w:t>
      </w:r>
      <w:r>
        <w:rPr>
          <w:rtl w:val="true"/>
        </w:rPr>
        <w:t xml:space="preserve">. </w:t>
      </w:r>
      <w:r>
        <w:rPr>
          <w:rtl w:val="true"/>
        </w:rPr>
        <w:t>במשך כל אותה תקופה</w:t>
      </w:r>
      <w:r>
        <w:rPr>
          <w:rtl w:val="true"/>
        </w:rPr>
        <w:t xml:space="preserve">, </w:t>
      </w:r>
      <w:r>
        <w:rPr>
          <w:rtl w:val="true"/>
        </w:rPr>
        <w:t>היה המערער בן</w:t>
      </w:r>
      <w:r>
        <w:rPr>
          <w:rtl w:val="true"/>
        </w:rPr>
        <w:t>-</w:t>
      </w:r>
      <w:r>
        <w:rPr>
          <w:rtl w:val="true"/>
        </w:rPr>
        <w:t>בית של ממש במשפחת המתלוננים</w:t>
      </w:r>
      <w:r>
        <w:rPr>
          <w:rtl w:val="true"/>
        </w:rPr>
        <w:t xml:space="preserve">. </w:t>
      </w:r>
      <w:r>
        <w:rPr>
          <w:rtl w:val="true"/>
        </w:rPr>
        <w:t>הוא התארח תדיר בביתם</w:t>
      </w:r>
      <w:r>
        <w:rPr>
          <w:rtl w:val="true"/>
        </w:rPr>
        <w:t xml:space="preserve">; </w:t>
      </w:r>
      <w:r>
        <w:rPr>
          <w:rtl w:val="true"/>
        </w:rPr>
        <w:t>אירח את ילדי המשפחה בביתו</w:t>
      </w:r>
      <w:r>
        <w:rPr>
          <w:rtl w:val="true"/>
        </w:rPr>
        <w:t xml:space="preserve">; </w:t>
      </w:r>
      <w:r>
        <w:rPr>
          <w:rtl w:val="true"/>
        </w:rPr>
        <w:t>והוציא את הילדים ל</w:t>
      </w:r>
      <w:r>
        <w:rPr>
          <w:rtl w:val="true"/>
        </w:rPr>
        <w:t xml:space="preserve">אתרי </w:t>
      </w:r>
      <w:r>
        <w:rPr>
          <w:rtl w:val="true"/>
        </w:rPr>
        <w:t>בילוי ואטרקציות שונות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לאורך אותה תקופה ממושכת</w:t>
      </w:r>
      <w:r>
        <w:rPr>
          <w:rtl w:val="true"/>
        </w:rPr>
        <w:t xml:space="preserve">, </w:t>
      </w:r>
      <w:r>
        <w:rPr>
          <w:rtl w:val="true"/>
        </w:rPr>
        <w:t>בצד העזרה והתמיכה</w:t>
      </w:r>
      <w:r>
        <w:rPr>
          <w:rtl w:val="true"/>
        </w:rPr>
        <w:t xml:space="preserve">, </w:t>
      </w:r>
      <w:r>
        <w:rPr>
          <w:rtl w:val="true"/>
        </w:rPr>
        <w:t>הסתתר גם צד אפל</w:t>
      </w:r>
      <w:r>
        <w:rPr>
          <w:rtl w:val="true"/>
        </w:rPr>
        <w:t xml:space="preserve">. </w:t>
      </w:r>
      <w:r>
        <w:rPr>
          <w:rtl w:val="true"/>
        </w:rPr>
        <w:t>במשך כל אותן שנים</w:t>
      </w:r>
      <w:r>
        <w:rPr>
          <w:rtl w:val="true"/>
        </w:rPr>
        <w:t xml:space="preserve">, </w:t>
      </w:r>
      <w:r>
        <w:rPr>
          <w:rtl w:val="true"/>
        </w:rPr>
        <w:t>ביצע המערער במתלוננים עבירות מין רבות</w:t>
      </w:r>
      <w:r>
        <w:rPr>
          <w:rtl w:val="true"/>
        </w:rPr>
        <w:t xml:space="preserve">; </w:t>
      </w:r>
      <w:r>
        <w:rPr>
          <w:rtl w:val="true"/>
        </w:rPr>
        <w:t>מעשים מגונים</w:t>
      </w:r>
      <w:r>
        <w:rPr>
          <w:rtl w:val="true"/>
        </w:rPr>
        <w:t xml:space="preserve">, </w:t>
      </w:r>
      <w:r>
        <w:rPr>
          <w:rtl w:val="true"/>
        </w:rPr>
        <w:t>מעשי סדום</w:t>
      </w:r>
      <w:r>
        <w:rPr>
          <w:rtl w:val="true"/>
        </w:rPr>
        <w:t xml:space="preserve">, </w:t>
      </w:r>
      <w:r>
        <w:rPr>
          <w:rtl w:val="true"/>
        </w:rPr>
        <w:t>גרם מעשי סדום</w:t>
      </w:r>
      <w:r>
        <w:rPr>
          <w:rtl w:val="true"/>
        </w:rPr>
        <w:t xml:space="preserve">, </w:t>
      </w:r>
      <w:r>
        <w:rPr>
          <w:rtl w:val="true"/>
        </w:rPr>
        <w:t>ואף מעשי אינוס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נגד המערער הצטברו תלונות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מילדי המשפחה</w:t>
      </w:r>
      <w:r>
        <w:rPr>
          <w:rtl w:val="true"/>
        </w:rPr>
        <w:t xml:space="preserve">, </w:t>
      </w:r>
      <w:r>
        <w:rPr>
          <w:rtl w:val="true"/>
        </w:rPr>
        <w:t>על עבירות מין שביצע בהם</w:t>
      </w:r>
      <w:r>
        <w:rPr>
          <w:rtl w:val="true"/>
        </w:rPr>
        <w:t xml:space="preserve">. </w:t>
      </w:r>
      <w:r>
        <w:rPr>
          <w:rtl w:val="true"/>
        </w:rPr>
        <w:t>ביחס לטענות שהעלו שניים מהמתלוננים</w:t>
      </w:r>
      <w:r>
        <w:rPr>
          <w:rtl w:val="true"/>
        </w:rPr>
        <w:t xml:space="preserve">, </w:t>
      </w:r>
      <w:r>
        <w:rPr>
          <w:rtl w:val="true"/>
        </w:rPr>
        <w:t>חלה התיישנות</w:t>
      </w:r>
      <w:r>
        <w:rPr>
          <w:rtl w:val="true"/>
        </w:rPr>
        <w:t xml:space="preserve">, </w:t>
      </w:r>
      <w:r>
        <w:rPr>
          <w:rtl w:val="true"/>
        </w:rPr>
        <w:t>ועל כן עדויותיהם הובאו כעדות שיטה בלבד</w:t>
      </w:r>
      <w:r>
        <w:rPr>
          <w:rtl w:val="true"/>
        </w:rPr>
        <w:t xml:space="preserve">. </w:t>
      </w:r>
      <w:r>
        <w:rPr>
          <w:rtl w:val="true"/>
        </w:rPr>
        <w:t xml:space="preserve">לדאבון </w:t>
      </w:r>
      <w:r>
        <w:rPr>
          <w:rtl w:val="true"/>
        </w:rPr>
        <w:t>ה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מתלונן נוסף נטל נפשו בכפו סמוך לאחר הגשת כתב האישום</w:t>
      </w:r>
      <w:r>
        <w:rPr>
          <w:rtl w:val="true"/>
        </w:rPr>
        <w:t xml:space="preserve">, </w:t>
      </w:r>
      <w:r>
        <w:rPr>
          <w:rtl w:val="true"/>
        </w:rPr>
        <w:t>והאישומים שנסמכו על עדותו – נמחקו</w:t>
      </w:r>
      <w:r>
        <w:rPr>
          <w:rtl w:val="true"/>
        </w:rPr>
        <w:t xml:space="preserve">. </w:t>
      </w:r>
      <w:r>
        <w:rPr>
          <w:rtl w:val="true"/>
        </w:rPr>
        <w:t xml:space="preserve">נותרו אפוא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15-10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רומנטי</w:t>
      </w:r>
      <w:r>
        <w:rPr>
          <w:rtl w:val="true"/>
        </w:rPr>
        <w:t xml:space="preserve">, </w:t>
      </w:r>
      <w:r>
        <w:rPr>
          <w:rtl w:val="true"/>
        </w:rPr>
        <w:t>וסמוך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12-6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ואינוס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15.5-10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במהלך חקירותיו במשטרה</w:t>
      </w:r>
      <w:r>
        <w:rPr>
          <w:rtl w:val="true"/>
        </w:rPr>
        <w:t xml:space="preserve">, </w:t>
      </w:r>
      <w:r>
        <w:rPr>
          <w:rtl w:val="true"/>
        </w:rPr>
        <w:t>ולאורך ההליך הממושך שהתנהל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הכחיש המערער את הטענות שהועלו נגדו</w:t>
      </w:r>
      <w:r>
        <w:rPr>
          <w:rtl w:val="true"/>
        </w:rPr>
        <w:t xml:space="preserve">, </w:t>
      </w:r>
      <w:r>
        <w:rPr>
          <w:rtl w:val="true"/>
        </w:rPr>
        <w:t>מכל וכל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מסיבה שאיננה מבוררת עד תום</w:t>
      </w:r>
      <w:r>
        <w:rPr>
          <w:rtl w:val="true"/>
        </w:rPr>
        <w:t xml:space="preserve">, </w:t>
      </w:r>
      <w:r>
        <w:rPr>
          <w:rtl w:val="true"/>
        </w:rPr>
        <w:t>בחרו בני המשפחה</w:t>
      </w:r>
      <w:r>
        <w:rPr>
          <w:rtl w:val="true"/>
        </w:rPr>
        <w:t xml:space="preserve">, </w:t>
      </w:r>
      <w:r>
        <w:rPr>
          <w:rtl w:val="true"/>
        </w:rPr>
        <w:t>שלה נטה חסד שנים רבות</w:t>
      </w:r>
      <w:r>
        <w:rPr>
          <w:rtl w:val="true"/>
        </w:rPr>
        <w:t xml:space="preserve">, </w:t>
      </w:r>
      <w:r>
        <w:rPr>
          <w:rtl w:val="true"/>
        </w:rPr>
        <w:t>להעליל עליו עלילות שווא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ציין המערער</w:t>
      </w:r>
      <w:r>
        <w:rPr>
          <w:rtl w:val="true"/>
        </w:rPr>
        <w:t xml:space="preserve">, </w:t>
      </w:r>
      <w:r>
        <w:rPr>
          <w:rtl w:val="true"/>
        </w:rPr>
        <w:t>כי מעדויות בני המשפחה עולה כי הם תיאמו ביניהם</w:t>
      </w:r>
      <w:r>
        <w:rPr>
          <w:rtl w:val="true"/>
        </w:rPr>
        <w:t xml:space="preserve">, </w:t>
      </w:r>
      <w:r>
        <w:rPr>
          <w:rtl w:val="true"/>
        </w:rPr>
        <w:t>ודרבנו אלה את אלה לפנות ולהתלונן נגדו</w:t>
      </w:r>
      <w:r>
        <w:rPr>
          <w:rtl w:val="true"/>
        </w:rPr>
        <w:t xml:space="preserve">, </w:t>
      </w:r>
      <w:r>
        <w:rPr>
          <w:rtl w:val="true"/>
        </w:rPr>
        <w:t xml:space="preserve">כדי </w:t>
      </w:r>
      <w:r>
        <w:rPr>
          <w:rtl w:val="true"/>
        </w:rPr>
        <w:t>'</w:t>
      </w:r>
      <w:r>
        <w:rPr>
          <w:rtl w:val="true"/>
        </w:rPr>
        <w:t>לעבות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את התיק הפלילי</w:t>
      </w:r>
      <w:r>
        <w:rPr>
          <w:rtl w:val="true"/>
        </w:rPr>
        <w:t xml:space="preserve">; </w:t>
      </w:r>
      <w:r>
        <w:rPr>
          <w:rtl w:val="true"/>
        </w:rPr>
        <w:t>אולי לשם השגת פיצוי כספי בהליך אזרחי נלווה</w:t>
      </w:r>
      <w:r>
        <w:rPr>
          <w:rtl w:val="true"/>
        </w:rPr>
        <w:t xml:space="preserve">. </w:t>
      </w:r>
      <w:r>
        <w:rPr>
          <w:rtl w:val="true"/>
        </w:rPr>
        <w:t>עוד טען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לאחר התאבדותו של </w:t>
      </w:r>
      <w:r>
        <w:rPr>
          <w:rtl w:val="true"/>
        </w:rPr>
        <w:t>המתלונן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שב אחיו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המתגורר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על מנת להגיש תלונה נוספת</w:t>
      </w:r>
      <w:r>
        <w:rPr>
          <w:rtl w:val="true"/>
        </w:rPr>
        <w:t xml:space="preserve">. </w:t>
      </w:r>
      <w:r>
        <w:rPr>
          <w:rtl w:val="true"/>
        </w:rPr>
        <w:t>עובדה זו</w:t>
      </w:r>
      <w:r>
        <w:rPr>
          <w:rtl w:val="true"/>
        </w:rPr>
        <w:t xml:space="preserve">, </w:t>
      </w:r>
      <w:r>
        <w:rPr>
          <w:rtl w:val="true"/>
        </w:rPr>
        <w:t>כך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מעידה בבירור על מוטיבציה של </w:t>
      </w:r>
      <w:r>
        <w:rPr>
          <w:rtl w:val="true"/>
        </w:rPr>
        <w:t>'</w:t>
      </w:r>
      <w:r>
        <w:rPr>
          <w:rtl w:val="true"/>
        </w:rPr>
        <w:t>נקמה</w:t>
      </w:r>
      <w:r>
        <w:rPr>
          <w:rtl w:val="true"/>
        </w:rPr>
        <w:t xml:space="preserve">' </w:t>
      </w:r>
      <w:r>
        <w:rPr>
          <w:rtl w:val="true"/>
        </w:rPr>
        <w:t xml:space="preserve">בעקבות </w:t>
      </w:r>
      <w:r>
        <w:rPr>
          <w:rtl w:val="true"/>
        </w:rPr>
        <w:t>פטירת האח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בהעדר ראיות חיצוניות</w:t>
      </w:r>
      <w:r>
        <w:rPr>
          <w:rtl w:val="true"/>
        </w:rPr>
        <w:t xml:space="preserve">, </w:t>
      </w:r>
      <w:r>
        <w:rPr>
          <w:rtl w:val="true"/>
        </w:rPr>
        <w:t xml:space="preserve">מדובר במקרה של </w:t>
      </w:r>
      <w:r>
        <w:rPr>
          <w:rtl w:val="true"/>
        </w:rPr>
        <w:t>'</w:t>
      </w:r>
      <w:r>
        <w:rPr>
          <w:rtl w:val="true"/>
        </w:rPr>
        <w:t>מילה נגד מילה</w:t>
      </w:r>
      <w:r>
        <w:rPr>
          <w:rtl w:val="true"/>
        </w:rPr>
        <w:t xml:space="preserve">',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מחמת אי</w:t>
      </w:r>
      <w:r>
        <w:rPr>
          <w:rtl w:val="true"/>
        </w:rPr>
        <w:t>-</w:t>
      </w:r>
      <w:r>
        <w:rPr>
          <w:rtl w:val="true"/>
        </w:rPr>
        <w:t>דיוקים וקשיים מסוימים שקיימים לשיטתו בגרסת המתלוננים – לא ניתן לבסס את הרשעתו מעבר לספק סביר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התייחס המערער לדבריה של </w:t>
      </w:r>
      <w:r>
        <w:rPr>
          <w:rtl w:val="true"/>
        </w:rPr>
        <w:t>המתלוננת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 כאמור ניהלה עם המערער קשר רומנטי גם בגיל בגרות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מערכת היחסים ביניהם היתה גלויה והדדית</w:t>
      </w:r>
      <w:r>
        <w:rPr>
          <w:rtl w:val="true"/>
        </w:rPr>
        <w:t xml:space="preserve">; </w:t>
      </w:r>
      <w:r>
        <w:rPr>
          <w:rtl w:val="true"/>
        </w:rPr>
        <w:t>לא נבעה מכפיה או תלות</w:t>
      </w:r>
      <w:r>
        <w:rPr>
          <w:rtl w:val="true"/>
        </w:rPr>
        <w:t xml:space="preserve">. </w:t>
      </w:r>
      <w:r>
        <w:rPr>
          <w:rtl w:val="true"/>
        </w:rPr>
        <w:t>כראיה לכך</w:t>
      </w:r>
      <w:r>
        <w:rPr>
          <w:rtl w:val="true"/>
        </w:rPr>
        <w:t xml:space="preserve">, </w:t>
      </w:r>
      <w:r>
        <w:rPr>
          <w:rtl w:val="true"/>
        </w:rPr>
        <w:t>הגיש המערער מכתבי אהבה רבים</w:t>
      </w:r>
      <w:r>
        <w:rPr>
          <w:rtl w:val="true"/>
        </w:rPr>
        <w:t xml:space="preserve">, </w:t>
      </w:r>
      <w:r>
        <w:rPr>
          <w:rtl w:val="true"/>
        </w:rPr>
        <w:t xml:space="preserve">שכתבה לו </w:t>
      </w:r>
      <w:r>
        <w:rPr>
          <w:rtl w:val="true"/>
        </w:rPr>
        <w:t>המתלוננת הזאת</w:t>
      </w:r>
      <w:r>
        <w:rPr>
          <w:rtl w:val="true"/>
        </w:rPr>
        <w:t xml:space="preserve"> במרוצת השנים</w:t>
      </w:r>
      <w:r>
        <w:rPr>
          <w:rtl w:val="true"/>
        </w:rPr>
        <w:t xml:space="preserve">, </w:t>
      </w:r>
      <w:r>
        <w:rPr>
          <w:rtl w:val="true"/>
        </w:rPr>
        <w:t>והוא מתאר גם את אופן סיום הקשר ביניהם</w:t>
      </w:r>
      <w:r>
        <w:rPr>
          <w:rtl w:val="true"/>
        </w:rPr>
        <w:t xml:space="preserve">, </w:t>
      </w:r>
      <w:r>
        <w:rPr>
          <w:rtl w:val="true"/>
        </w:rPr>
        <w:t>השולל לטענתו טענה לתלות וניצול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22.10.2018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בעבירות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בית המשפט ציין</w:t>
      </w:r>
      <w:r>
        <w:rPr>
          <w:rtl w:val="true"/>
        </w:rPr>
        <w:t xml:space="preserve">, </w:t>
      </w:r>
      <w:r>
        <w:rPr>
          <w:rtl w:val="true"/>
        </w:rPr>
        <w:t xml:space="preserve">כי הוא מוצא את גרסאות המתלוננים </w:t>
      </w:r>
      <w:r>
        <w:rPr>
          <w:rtl w:val="true"/>
        </w:rPr>
        <w:t xml:space="preserve">כולם </w:t>
      </w:r>
      <w:r>
        <w:rPr>
          <w:rtl w:val="true"/>
        </w:rPr>
        <w:t>– אמינות ומשכנעות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העצמי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החיצוניות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התפתחות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התלונות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התגלעה מחלוקת בין שופטי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לגבי המשקל שיש לייחס לגרסתה של </w:t>
      </w:r>
      <w:r>
        <w:rPr>
          <w:rtl w:val="true"/>
        </w:rPr>
        <w:t>המתלוננת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ביחס לקשר שניהלה עם המערער </w:t>
      </w:r>
      <w:r>
        <w:rPr>
          <w:rtl w:val="true"/>
        </w:rPr>
        <w:t xml:space="preserve">בהיותה </w:t>
      </w:r>
      <w:r>
        <w:rPr>
          <w:rtl w:val="true"/>
        </w:rPr>
        <w:t>בגירה</w:t>
      </w:r>
      <w:r>
        <w:rPr>
          <w:rtl w:val="true"/>
        </w:rPr>
        <w:t xml:space="preserve">, </w:t>
      </w:r>
      <w:r>
        <w:rPr>
          <w:rtl w:val="true"/>
        </w:rPr>
        <w:t>בפרט נוכח גילוי מכתבי האהבה הרבים ששלחה למערער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ציין כי </w:t>
      </w:r>
      <w:r>
        <w:rPr>
          <w:rtl w:val="true"/>
        </w:rPr>
        <w:t xml:space="preserve">מעדותה עולה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שניסיונותיה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להתנתק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וליצור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זוגיות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משמע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הקשר הזוגי הנטען לא היה הדדי כלל ועיקר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ורצון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ascii="Century" w:hAnsi="Century" w:cs="Century"/>
          <w:sz w:val="22"/>
          <w:sz w:val="22"/>
          <w:rtl w:val="true"/>
        </w:rPr>
        <w:t xml:space="preserve"> סבר אחרת – ואליו הצטרף גם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לדבריו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מהחומר שהוצג עולה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 מערכת היחסים הבוגרת בין השניים עשויה להעיד על אהבה זוגית של ממש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הכעס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בילדותה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ואופיים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סובייקטיבית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הדגיש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סותרת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לניצול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סותרת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חרף הבחנה זו</w:t>
      </w:r>
      <w:r>
        <w:rPr>
          <w:rtl w:val="true"/>
        </w:rPr>
        <w:t xml:space="preserve">, </w:t>
      </w:r>
      <w:r>
        <w:rPr>
          <w:rtl w:val="true"/>
        </w:rPr>
        <w:t xml:space="preserve">הסכימו גם 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, </w:t>
      </w:r>
      <w:r>
        <w:rPr>
          <w:rtl w:val="true"/>
        </w:rPr>
        <w:t xml:space="preserve">כי אין בכך כדי לפגום בעדותה של </w:t>
      </w:r>
      <w:r>
        <w:rPr>
          <w:rtl w:val="true"/>
        </w:rPr>
        <w:t>מתלוננת זו</w:t>
      </w:r>
      <w:r>
        <w:rPr>
          <w:rtl w:val="true"/>
        </w:rPr>
        <w:t xml:space="preserve">, </w:t>
      </w:r>
      <w:r>
        <w:rPr>
          <w:rtl w:val="true"/>
        </w:rPr>
        <w:t>משום שיש לחלק את עדותה</w:t>
      </w:r>
      <w:r>
        <w:rPr>
          <w:rtl w:val="true"/>
        </w:rPr>
        <w:t>, '</w:t>
      </w:r>
      <w:r>
        <w:rPr>
          <w:rtl w:val="true"/>
        </w:rPr>
        <w:t>פלגינן דיבורא</w:t>
      </w:r>
      <w:r>
        <w:rPr>
          <w:rtl w:val="true"/>
        </w:rPr>
        <w:t xml:space="preserve">', </w:t>
      </w:r>
      <w:r>
        <w:rPr>
          <w:rtl w:val="true"/>
        </w:rPr>
        <w:t xml:space="preserve">בין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קונקרטיים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לבין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היבטים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הרגשיים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הנזילים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בחווייתו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ובזכרונו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ובין עדותה על ימי בגרותה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לבין עדותה על המעשים </w:t>
      </w:r>
      <w:r>
        <w:rPr>
          <w:rtl w:val="true"/>
        </w:rPr>
        <w:t>שנעשו בה בילדותה – עדות הזוכה לחיזוק באמצעות עדויות השיטה של אחֶיה</w:t>
      </w:r>
      <w:r>
        <w:rPr>
          <w:rtl w:val="true"/>
        </w:rPr>
        <w:t xml:space="preserve"> ואחיותיה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4.6</w:t>
      </w:r>
      <w:r>
        <w:rPr/>
        <w:t>.2019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דינו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קבע</w:t>
      </w:r>
      <w:r>
        <w:rPr>
          <w:rtl w:val="true"/>
        </w:rPr>
        <w:t xml:space="preserve">, </w:t>
      </w:r>
      <w:r>
        <w:rPr>
          <w:rtl w:val="true"/>
        </w:rPr>
        <w:t xml:space="preserve">כי כל אישום הוא </w:t>
      </w:r>
      <w:r>
        <w:rPr>
          <w:rtl w:val="true"/>
        </w:rPr>
        <w:t>'</w:t>
      </w:r>
      <w:r>
        <w:rPr>
          <w:rtl w:val="true"/>
        </w:rPr>
        <w:t>אירוע</w:t>
      </w:r>
      <w:r>
        <w:rPr>
          <w:rtl w:val="true"/>
        </w:rPr>
        <w:t xml:space="preserve">' </w:t>
      </w:r>
      <w:r>
        <w:rPr>
          <w:rtl w:val="true"/>
        </w:rPr>
        <w:t>עצמאי העומד על רגליו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הוראות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נדרש לקבוע מתחם ענישה נפרד ביחס לכל אישום ואישום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על מנת לקבוע את מתחם הענישה ההולם ל</w:t>
      </w:r>
      <w:r>
        <w:rPr>
          <w:rtl w:val="true"/>
        </w:rPr>
        <w:t xml:space="preserve">כל </w:t>
      </w:r>
      <w:r>
        <w:rPr>
          <w:rtl w:val="true"/>
        </w:rPr>
        <w:t xml:space="preserve"> מקרה ומקרה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ובתוך כך בחן את הערכים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את מידת הפגיעה בהם</w:t>
      </w:r>
      <w:r>
        <w:rPr>
          <w:rtl w:val="true"/>
        </w:rPr>
        <w:t xml:space="preserve">, </w:t>
      </w:r>
      <w:r>
        <w:rPr>
          <w:rtl w:val="true"/>
        </w:rPr>
        <w:t>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כפי שזו עולה מפסקי דין קודמים</w:t>
      </w:r>
      <w:r>
        <w:rPr>
          <w:rtl w:val="true"/>
        </w:rPr>
        <w:t xml:space="preserve">, </w:t>
      </w:r>
      <w:r>
        <w:rPr>
          <w:rtl w:val="true"/>
        </w:rPr>
        <w:t>ואת הנסיבות הנוגעות לביצוע העבירות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ניתן משקל לגילם הצעיר של המתלוננים בעת קרות האירועים</w:t>
      </w:r>
      <w:r>
        <w:rPr>
          <w:rtl w:val="true"/>
        </w:rPr>
        <w:t xml:space="preserve">; </w:t>
      </w:r>
      <w:r>
        <w:rPr>
          <w:rtl w:val="true"/>
        </w:rPr>
        <w:t>ליחסי הקרבה והתלות ה</w:t>
      </w:r>
      <w:r>
        <w:rPr>
          <w:rtl w:val="true"/>
        </w:rPr>
        <w:t>'</w:t>
      </w:r>
      <w:r>
        <w:rPr>
          <w:rtl w:val="true"/>
        </w:rPr>
        <w:t>מעין משפחתיים</w:t>
      </w:r>
      <w:r>
        <w:rPr>
          <w:rtl w:val="true"/>
        </w:rPr>
        <w:t xml:space="preserve">' </w:t>
      </w:r>
      <w:r>
        <w:rPr>
          <w:rtl w:val="true"/>
        </w:rPr>
        <w:t>שהתקיימו בין המערער לבני המשפחה</w:t>
      </w:r>
      <w:r>
        <w:rPr>
          <w:rtl w:val="true"/>
        </w:rPr>
        <w:t xml:space="preserve">; </w:t>
      </w:r>
      <w:r>
        <w:rPr>
          <w:rtl w:val="true"/>
        </w:rPr>
        <w:t>ואת הימשכות האירועים לאורך תקופה ארוכה</w:t>
      </w:r>
      <w:r>
        <w:rPr>
          <w:rtl w:val="true"/>
        </w:rPr>
        <w:t xml:space="preserve">. </w:t>
      </w:r>
      <w:r>
        <w:rPr>
          <w:rtl w:val="true"/>
        </w:rPr>
        <w:t>לאחר ששקל את מכלול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העונש ההולם באישום הראשון על </w:t>
      </w:r>
      <w:r>
        <w:rPr/>
        <w:t>10-3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עונשים נלווים</w:t>
      </w:r>
      <w:r>
        <w:rPr>
          <w:rtl w:val="true"/>
        </w:rPr>
        <w:t xml:space="preserve">; </w:t>
      </w:r>
      <w:r>
        <w:rPr>
          <w:rtl w:val="true"/>
        </w:rPr>
        <w:t xml:space="preserve">באישום השני על </w:t>
      </w:r>
      <w:r>
        <w:rPr/>
        <w:t>15-8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עונשים נלווים</w:t>
      </w:r>
      <w:r>
        <w:rPr>
          <w:rtl w:val="true"/>
        </w:rPr>
        <w:t xml:space="preserve">; </w:t>
      </w:r>
      <w:r>
        <w:rPr>
          <w:rtl w:val="true"/>
        </w:rPr>
        <w:t xml:space="preserve">ובאישום השלישי על </w:t>
      </w:r>
      <w:r>
        <w:rPr/>
        <w:t>17-11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עונשים נלווים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משנקבע מתחם העונש ההולם</w:t>
      </w:r>
      <w:r>
        <w:rPr>
          <w:rtl w:val="true"/>
        </w:rPr>
        <w:t xml:space="preserve">, </w:t>
      </w:r>
      <w:r>
        <w:rPr>
          <w:rtl w:val="true"/>
        </w:rPr>
        <w:t>ומשלא נמצא מקום לסטות ממנו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לגזור את עונשו של המערער בתוככי המתחם</w:t>
      </w:r>
      <w:r>
        <w:rPr>
          <w:rtl w:val="true"/>
        </w:rPr>
        <w:t xml:space="preserve">. </w:t>
      </w:r>
      <w:r>
        <w:rPr>
          <w:rtl w:val="true"/>
        </w:rPr>
        <w:t>שיקולים לחומרא</w:t>
      </w:r>
      <w:r>
        <w:rPr>
          <w:rtl w:val="true"/>
        </w:rPr>
        <w:t xml:space="preserve">: </w:t>
      </w:r>
      <w:r>
        <w:rPr>
          <w:rtl w:val="true"/>
        </w:rPr>
        <w:t>המערער לא נטל אחריות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וממילא לא נמצא זכאי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להתחשבות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שיפוטי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ועוגמת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הצורך בהרתעה מפני עבירות כגון דא</w:t>
      </w:r>
      <w:r>
        <w:rPr>
          <w:rtl w:val="true"/>
        </w:rPr>
        <w:t xml:space="preserve">; </w:t>
      </w:r>
      <w:r>
        <w:rPr>
          <w:rtl w:val="true"/>
        </w:rPr>
        <w:t>והעובדה שבשנים שחלפו מאז ביצוע העבירות</w:t>
      </w:r>
      <w:r>
        <w:rPr>
          <w:rtl w:val="true"/>
        </w:rPr>
        <w:t xml:space="preserve">, </w:t>
      </w:r>
      <w:r>
        <w:rPr>
          <w:rtl w:val="true"/>
        </w:rPr>
        <w:t>הואשם המערער – והורשע על</w:t>
      </w:r>
      <w:r>
        <w:rPr>
          <w:rtl w:val="true"/>
        </w:rPr>
        <w:t>-</w:t>
      </w:r>
      <w:r>
        <w:rPr>
          <w:rtl w:val="true"/>
        </w:rPr>
        <w:t>פי הודאתו – בביצוע עבירת מין נוספת</w:t>
      </w:r>
      <w:r>
        <w:rPr>
          <w:rtl w:val="true"/>
        </w:rPr>
        <w:t xml:space="preserve">, </w:t>
      </w:r>
      <w:r>
        <w:rPr>
          <w:rtl w:val="true"/>
        </w:rPr>
        <w:t>גם היא בקטין שהיה נתון לפיקוחו</w:t>
      </w:r>
      <w:r>
        <w:rPr>
          <w:rtl w:val="true"/>
        </w:rPr>
        <w:t xml:space="preserve">; </w:t>
      </w:r>
      <w:r>
        <w:rPr>
          <w:rtl w:val="true"/>
        </w:rPr>
        <w:t>זאת הפעם כמורה ומדריך</w:t>
      </w:r>
      <w:r>
        <w:rPr>
          <w:rtl w:val="true"/>
        </w:rPr>
        <w:t xml:space="preserve">. </w:t>
      </w:r>
      <w:r>
        <w:rPr>
          <w:rtl w:val="true"/>
        </w:rPr>
        <w:t>עובדה זו</w:t>
      </w:r>
      <w:r>
        <w:rPr>
          <w:rtl w:val="true"/>
        </w:rPr>
        <w:t xml:space="preserve">, </w:t>
      </w:r>
      <w:r>
        <w:rPr>
          <w:rtl w:val="true"/>
        </w:rPr>
        <w:t xml:space="preserve">כך </w:t>
      </w:r>
      <w:r>
        <w:rPr>
          <w:rtl w:val="true"/>
        </w:rPr>
        <w:t xml:space="preserve">ציין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מלמדת על כך שהמערער לא ניסה לשוב למוטב</w:t>
      </w:r>
      <w:r>
        <w:rPr>
          <w:rtl w:val="true"/>
        </w:rPr>
        <w:t xml:space="preserve">. </w:t>
      </w:r>
      <w:r>
        <w:rPr>
          <w:rtl w:val="true"/>
        </w:rPr>
        <w:t>שיקולים לקולא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בהיבטים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עדי האופי שהעידו על תרומתו הרבה לחברה</w:t>
      </w:r>
      <w:r>
        <w:rPr>
          <w:rtl w:val="true"/>
        </w:rPr>
        <w:t xml:space="preserve">; </w:t>
      </w:r>
      <w:r>
        <w:rPr>
          <w:rtl w:val="true"/>
        </w:rPr>
        <w:t>חלוף הזמן מאז ביצוע המעשים</w:t>
      </w:r>
      <w:r>
        <w:rPr>
          <w:rtl w:val="true"/>
        </w:rPr>
        <w:t xml:space="preserve">; </w:t>
      </w:r>
      <w:r>
        <w:rPr>
          <w:rtl w:val="true"/>
        </w:rPr>
        <w:t>ומידת הפגיעה של עונש המאסר בו ובמשפחתו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נתן דעתו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 xml:space="preserve">כך שתקופת המעצר </w:t>
      </w:r>
      <w:r>
        <w:rPr>
          <w:rtl w:val="true"/>
        </w:rPr>
        <w:t xml:space="preserve">היתה במקביל </w:t>
      </w:r>
      <w:r>
        <w:rPr>
          <w:rtl w:val="true"/>
        </w:rPr>
        <w:t>למאסרו של המערער בגין הרשעה אחרת</w:t>
      </w:r>
      <w:r>
        <w:rPr>
          <w:rtl w:val="true"/>
        </w:rPr>
        <w:t xml:space="preserve">, </w:t>
      </w:r>
      <w:r>
        <w:rPr>
          <w:rtl w:val="true"/>
        </w:rPr>
        <w:t xml:space="preserve">ועל כן 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חופשות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תנוכה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במכלול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ראה בית המשפט לקבוע עונש אחד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כלל האישומים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נגזרו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והוא חוייב בתשלום פיצוי כספי למתלוננים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בסך כולל של </w:t>
      </w:r>
      <w:r>
        <w:rPr/>
        <w:t>250,000</w:t>
      </w:r>
      <w:r>
        <w:rPr>
          <w:rtl w:val="true"/>
        </w:rPr>
        <w:t xml:space="preserve"> ₪.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מרבית טענות המערער מופנות כלפי הכרעת הדין</w:t>
      </w:r>
      <w:r>
        <w:rPr>
          <w:rtl w:val="true"/>
        </w:rPr>
        <w:t xml:space="preserve">. </w:t>
      </w:r>
      <w:r>
        <w:rPr>
          <w:rtl w:val="true"/>
        </w:rPr>
        <w:t>בפתח דבריו טוען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כאן במקרה קלאסי של </w:t>
      </w:r>
      <w:r>
        <w:rPr>
          <w:rtl w:val="true"/>
        </w:rPr>
        <w:t>'</w:t>
      </w:r>
      <w:r>
        <w:rPr>
          <w:rtl w:val="true"/>
        </w:rPr>
        <w:t>מילה נגד מילה</w:t>
      </w:r>
      <w:r>
        <w:rPr>
          <w:rtl w:val="true"/>
        </w:rPr>
        <w:t xml:space="preserve">', </w:t>
      </w:r>
      <w:r>
        <w:rPr>
          <w:rtl w:val="true"/>
        </w:rPr>
        <w:t>כאשר הרשעתו נקבעה אך ורק מחמת התרשמות בית המשפט המחוזי</w:t>
      </w:r>
      <w:r>
        <w:rPr>
          <w:rtl w:val="true"/>
        </w:rPr>
        <w:t xml:space="preserve">, </w:t>
      </w:r>
      <w:r>
        <w:rPr>
          <w:rtl w:val="true"/>
        </w:rPr>
        <w:t>באופן בלתי אמצעי</w:t>
      </w:r>
      <w:r>
        <w:rPr>
          <w:rtl w:val="true"/>
        </w:rPr>
        <w:t xml:space="preserve">, </w:t>
      </w:r>
      <w:r>
        <w:rPr>
          <w:rtl w:val="true"/>
        </w:rPr>
        <w:t>ממהימנות העדים</w:t>
      </w:r>
      <w:r>
        <w:rPr>
          <w:rtl w:val="true"/>
        </w:rPr>
        <w:t xml:space="preserve">, </w:t>
      </w:r>
      <w:r>
        <w:rPr>
          <w:rtl w:val="true"/>
        </w:rPr>
        <w:t>מבלי שניתן כל משקל לגורמים אובייקטיב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להתרשמות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ההתרשמות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סובייקטיבית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המתבונן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כי מורכבות זו מקבלת משנה תוקף</w:t>
      </w:r>
      <w:r>
        <w:rPr>
          <w:rtl w:val="true"/>
        </w:rPr>
        <w:t xml:space="preserve">, </w:t>
      </w:r>
      <w:r>
        <w:rPr>
          <w:rtl w:val="true"/>
        </w:rPr>
        <w:t>מכמה וכמה נימוקים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(-) 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מבקש המערער להיבנות מהערות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שאליהן הצטרף גם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. </w:t>
      </w:r>
      <w:r>
        <w:rPr>
          <w:rtl w:val="true"/>
        </w:rPr>
        <w:t xml:space="preserve">בניגוד לשופט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נוכח התרשמותו ממהימנות עדותה של </w:t>
      </w:r>
      <w:r>
        <w:rPr>
          <w:rFonts w:ascii="Century" w:hAnsi="Century" w:cs="Century"/>
          <w:sz w:val="22"/>
          <w:sz w:val="22"/>
          <w:rtl w:val="true"/>
        </w:rPr>
        <w:t>המתלוננת באישום 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נתן לדבריה את מלוא המשקל הראייתי – </w:t>
      </w:r>
      <w:r>
        <w:rPr>
          <w:rFonts w:ascii="Century" w:hAnsi="Century" w:cs="Century"/>
          <w:sz w:val="22"/>
          <w:sz w:val="22"/>
          <w:rtl w:val="true"/>
        </w:rPr>
        <w:t xml:space="preserve">לדעת 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תוכנם של מכתבי האהבה שהוצגו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המכתבים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לגמרי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די בכך כדי ללמד כי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שהתרשם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ולמצער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מוטט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הקלפים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בעמל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על אף שהמערער מעלה על נס את ניתוחו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בפיו טענות קשות כלפי מסקנותיו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לצערנו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מלהוציא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והמתבקשות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מאליהן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ההבחנה שביקש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ascii="Century" w:hAnsi="Century" w:cs="Century"/>
          <w:sz w:val="22"/>
          <w:sz w:val="22"/>
          <w:rtl w:val="true"/>
        </w:rPr>
        <w:t xml:space="preserve"> לע</w:t>
      </w:r>
      <w:r>
        <w:rPr>
          <w:rFonts w:ascii="Century" w:hAnsi="Century" w:cs="Century"/>
          <w:sz w:val="22"/>
          <w:sz w:val="22"/>
          <w:rtl w:val="true"/>
        </w:rPr>
        <w:t xml:space="preserve">שות </w:t>
      </w:r>
      <w:r>
        <w:rPr>
          <w:rFonts w:ascii="Century" w:hAnsi="Century" w:cs="Century"/>
          <w:sz w:val="22"/>
          <w:sz w:val="22"/>
          <w:rtl w:val="true"/>
        </w:rPr>
        <w:t xml:space="preserve">בין דבריה של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ascii="Century" w:hAnsi="Century" w:cs="Century"/>
          <w:sz w:val="22"/>
          <w:sz w:val="22"/>
          <w:rtl w:val="true"/>
        </w:rPr>
        <w:t xml:space="preserve"> בתיאור העובדתי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לבין דבריה ביחס לרגשותיה וחווייתה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כיריית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וסימון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>(-)</w:t>
        <w:tab/>
      </w:r>
      <w:r>
        <w:rPr>
          <w:rtl w:val="true"/>
        </w:rPr>
        <w:t xml:space="preserve"> 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 מצביע על כך שבית המשפט המחוזי נתן משקל רב לדמיון בין העדויות</w:t>
      </w:r>
      <w:r>
        <w:rPr>
          <w:rtl w:val="true"/>
        </w:rPr>
        <w:t xml:space="preserve">. </w:t>
      </w:r>
      <w:r>
        <w:rPr>
          <w:rtl w:val="true"/>
        </w:rPr>
        <w:t>אמנם כן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להפליא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אך יחד עם זאת</w:t>
      </w:r>
      <w:r>
        <w:rPr>
          <w:rtl w:val="true"/>
        </w:rPr>
        <w:t xml:space="preserve">, </w:t>
      </w:r>
      <w:r>
        <w:rPr>
          <w:rtl w:val="true"/>
        </w:rPr>
        <w:t>בהתחשב כך שטענת הסנגוריה היא שהאחים רקמו יחדיו עלילת שווא מתואמת – נטען כי הדמיון הרב דווקא פוגע במהימנות העדויות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לטענתנו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נזכיר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רבותא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שעדויותיהם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נהפוך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הנותנת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!"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ממהימנותו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פרסומה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תלונותיהם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נחשפו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והיוו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מלהתייחס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במפורש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בסיכומיהם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תפקיד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מרכזי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למשמעות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חשיפתו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דרמטית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אזהרה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נחשף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(-)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ועדותו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בעייתית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מגמתית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וטאוטולוגית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אובייקטיביות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מפליל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בקונוטציה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אובייקטיבי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מחליפים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דיסקט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מחליפות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מחזקות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דווקא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הגיוניים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הפחוּת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לחלופין טוען המערער</w:t>
      </w:r>
      <w:r>
        <w:rPr>
          <w:rtl w:val="true"/>
        </w:rPr>
        <w:t xml:space="preserve">, </w:t>
      </w:r>
      <w:r>
        <w:rPr>
          <w:rtl w:val="true"/>
        </w:rPr>
        <w:t>כי גם אם ידחו טענותיו בנוגע להכרעת הדין – הרי שיש להפחית מן העונש החמור שנגזר 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בכך שקבע מתחם ענישה נפרד לכל אישום ואישום</w:t>
      </w:r>
      <w:r>
        <w:rPr>
          <w:rtl w:val="true"/>
        </w:rPr>
        <w:t xml:space="preserve">, </w:t>
      </w:r>
      <w:r>
        <w:rPr>
          <w:rtl w:val="true"/>
        </w:rPr>
        <w:t>ולא קבע מתחם אחד משותף לכלל האישומים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קביעה זו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טוען כי בבוחנו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הסתמך בית המשפט המחוזי בעיקר על פסקי דין שעסקו בעבירות מין בקטינים בתוך המשפחה</w:t>
      </w:r>
      <w:r>
        <w:rPr>
          <w:rtl w:val="true"/>
        </w:rPr>
        <w:t xml:space="preserve">. </w:t>
      </w:r>
      <w:r>
        <w:rPr>
          <w:rtl w:val="true"/>
        </w:rPr>
        <w:t>פסקי דין אלו</w:t>
      </w:r>
      <w:r>
        <w:rPr>
          <w:rtl w:val="true"/>
        </w:rPr>
        <w:t xml:space="preserve">, </w:t>
      </w:r>
      <w:r>
        <w:rPr>
          <w:rtl w:val="true"/>
        </w:rPr>
        <w:t>כך המערער</w:t>
      </w:r>
      <w:r>
        <w:rPr>
          <w:rtl w:val="true"/>
        </w:rPr>
        <w:t xml:space="preserve">, </w:t>
      </w:r>
      <w:r>
        <w:rPr>
          <w:rtl w:val="true"/>
        </w:rPr>
        <w:t>אינם נוגעים לעניין דנן</w:t>
      </w:r>
      <w:r>
        <w:rPr>
          <w:rtl w:val="true"/>
        </w:rPr>
        <w:t xml:space="preserve">, </w:t>
      </w:r>
      <w:r>
        <w:rPr>
          <w:rtl w:val="true"/>
        </w:rPr>
        <w:t>שכן על אף הק</w:t>
      </w:r>
      <w:r>
        <w:rPr>
          <w:rtl w:val="true"/>
        </w:rPr>
        <w:t>ִ</w:t>
      </w:r>
      <w:r>
        <w:rPr>
          <w:rtl w:val="true"/>
        </w:rPr>
        <w:t>רבה והאמון ששררו בינו לבין המתלוננים</w:t>
      </w:r>
      <w:r>
        <w:rPr>
          <w:rtl w:val="true"/>
        </w:rPr>
        <w:t xml:space="preserve">, </w:t>
      </w:r>
      <w:r>
        <w:rPr>
          <w:rtl w:val="true"/>
        </w:rPr>
        <w:t>לא ניתן להגדירו כבן משפחתם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ואהוב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וטראומה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בקרבנות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בהשוואה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)"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 המערער כי היה מקום לנכות מעונשו את ימי מעצרו</w:t>
      </w:r>
      <w:r>
        <w:rPr>
          <w:rtl w:val="true"/>
        </w:rPr>
        <w:t xml:space="preserve">. </w:t>
      </w:r>
      <w:r>
        <w:rPr>
          <w:rtl w:val="true"/>
        </w:rPr>
        <w:t>בית המשפט המחוזי נמנע מכך</w:t>
      </w:r>
      <w:r>
        <w:rPr>
          <w:rtl w:val="true"/>
        </w:rPr>
        <w:t xml:space="preserve">, </w:t>
      </w:r>
      <w:r>
        <w:rPr>
          <w:rtl w:val="true"/>
        </w:rPr>
        <w:t>בנימוק שהמערער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שהה ממילא במאסר בתקופה זו</w:t>
      </w:r>
      <w:r>
        <w:rPr>
          <w:rtl w:val="true"/>
        </w:rPr>
        <w:t xml:space="preserve">, </w:t>
      </w:r>
      <w:r>
        <w:rPr>
          <w:rtl w:val="true"/>
        </w:rPr>
        <w:t>בגין הרשעתו בהליך אחר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עובדת </w:t>
      </w:r>
      <w:r>
        <w:rPr>
          <w:rtl w:val="true"/>
        </w:rPr>
        <w:t>היותו עציר גרמה להחמרה קשה בתנאי מאסרו</w:t>
      </w:r>
      <w:r>
        <w:rPr>
          <w:rtl w:val="true"/>
        </w:rPr>
        <w:t xml:space="preserve">, </w:t>
      </w:r>
      <w:r>
        <w:rPr>
          <w:rtl w:val="true"/>
        </w:rPr>
        <w:t>ועל כן ראוי לנכות תקופה זו מעונשו</w:t>
      </w:r>
      <w:r>
        <w:rPr>
          <w:rtl w:val="true"/>
        </w:rPr>
        <w:t xml:space="preserve">, </w:t>
      </w:r>
      <w:r>
        <w:rPr>
          <w:rtl w:val="true"/>
        </w:rPr>
        <w:t>חרף ריצוי עונש מאסר אחר במקביל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עונשו הוחמר יתר על המידה</w:t>
      </w:r>
      <w:r>
        <w:rPr>
          <w:rtl w:val="true"/>
        </w:rPr>
        <w:t xml:space="preserve">, </w:t>
      </w:r>
      <w:r>
        <w:rPr>
          <w:rtl w:val="true"/>
        </w:rPr>
        <w:t>משום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בתגובתה לערעור</w:t>
      </w:r>
      <w:r>
        <w:rPr>
          <w:rtl w:val="true"/>
        </w:rPr>
        <w:t xml:space="preserve">, </w:t>
      </w:r>
      <w:r>
        <w:rPr>
          <w:rtl w:val="true"/>
        </w:rPr>
        <w:t>מבקשת ה</w:t>
      </w:r>
      <w:r>
        <w:rPr>
          <w:rtl w:val="true"/>
        </w:rPr>
        <w:t>משיבה</w:t>
      </w:r>
      <w:r>
        <w:rPr>
          <w:rtl w:val="true"/>
        </w:rPr>
        <w:t xml:space="preserve"> לדחות</w:t>
      </w:r>
      <w:r>
        <w:rPr>
          <w:rtl w:val="true"/>
        </w:rPr>
        <w:t xml:space="preserve"> את כל טענות המערער ל</w:t>
      </w:r>
      <w:r>
        <w:rPr>
          <w:rtl w:val="true"/>
        </w:rPr>
        <w:t>גב</w:t>
      </w:r>
      <w:r>
        <w:rPr>
          <w:rtl w:val="true"/>
        </w:rPr>
        <w:t>י הכרעת הדין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התרשמותו הבלתי</w:t>
      </w:r>
      <w:r>
        <w:rPr>
          <w:rtl w:val="true"/>
        </w:rPr>
        <w:t>-</w:t>
      </w:r>
      <w:r>
        <w:rPr>
          <w:rtl w:val="true"/>
        </w:rPr>
        <w:t>אמצעית של בית המשפט מ</w:t>
      </w:r>
      <w:r>
        <w:rPr>
          <w:rtl w:val="true"/>
        </w:rPr>
        <w:t xml:space="preserve">ן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ממהימנות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ומאותות האמת שעלו מעדויותיהם – היא דרך המלך שקבע המחוקק ביחס לבחינת משקלה של ראיה</w:t>
      </w:r>
      <w:r>
        <w:rPr>
          <w:rtl w:val="true"/>
        </w:rPr>
        <w:t xml:space="preserve">. </w:t>
      </w:r>
      <w:r>
        <w:rPr>
          <w:rtl w:val="true"/>
        </w:rPr>
        <w:t>עוד טוענת המשיבה</w:t>
      </w:r>
      <w:r>
        <w:rPr>
          <w:rtl w:val="true"/>
        </w:rPr>
        <w:t xml:space="preserve">, </w:t>
      </w:r>
      <w:r>
        <w:rPr>
          <w:rtl w:val="true"/>
        </w:rPr>
        <w:t>כי בהתאם להלכה הפסוקה</w:t>
      </w:r>
      <w:r>
        <w:rPr>
          <w:rtl w:val="true"/>
        </w:rPr>
        <w:t xml:space="preserve">, </w:t>
      </w:r>
      <w:r>
        <w:rPr>
          <w:rtl w:val="true"/>
        </w:rPr>
        <w:t xml:space="preserve">הסתייגות לגבי חלק מסוים מעדותה של </w:t>
      </w:r>
      <w:r>
        <w:rPr>
          <w:rtl w:val="true"/>
        </w:rPr>
        <w:t>המתלוננת באישום השני</w:t>
      </w:r>
      <w:r>
        <w:rPr>
          <w:rtl w:val="true"/>
        </w:rPr>
        <w:t xml:space="preserve"> – אינו פוגם בהכרח בעדותה כולה</w:t>
      </w:r>
      <w:r>
        <w:rPr>
          <w:rtl w:val="true"/>
        </w:rPr>
        <w:t xml:space="preserve">; </w:t>
      </w:r>
      <w:r>
        <w:rPr>
          <w:rtl w:val="true"/>
        </w:rPr>
        <w:t>ודאי שאין ב</w:t>
      </w:r>
      <w:r>
        <w:rPr>
          <w:rtl w:val="true"/>
        </w:rPr>
        <w:t>ה</w:t>
      </w:r>
      <w:r>
        <w:rPr>
          <w:rtl w:val="true"/>
        </w:rPr>
        <w:t xml:space="preserve"> כדי לגרוע מעדויות אחֶיה</w:t>
      </w:r>
      <w:r>
        <w:rPr>
          <w:rtl w:val="true"/>
        </w:rPr>
        <w:t xml:space="preserve">. </w:t>
      </w:r>
      <w:r>
        <w:rPr>
          <w:rtl w:val="true"/>
        </w:rPr>
        <w:t>המשיבה מוסיפה</w:t>
      </w:r>
      <w:r>
        <w:rPr>
          <w:rtl w:val="true"/>
        </w:rPr>
        <w:t xml:space="preserve">, </w:t>
      </w:r>
      <w:r>
        <w:rPr>
          <w:rtl w:val="true"/>
        </w:rPr>
        <w:t>כי התיאור שמסרה החוקרת</w:t>
      </w:r>
      <w:r>
        <w:rPr>
          <w:rtl w:val="true"/>
        </w:rPr>
        <w:t xml:space="preserve">, </w:t>
      </w:r>
      <w:r>
        <w:rPr>
          <w:rtl w:val="true"/>
        </w:rPr>
        <w:t>באשר לאופן גביית העדויות מהמתלוננים</w:t>
      </w:r>
      <w:r>
        <w:rPr>
          <w:rtl w:val="true"/>
        </w:rPr>
        <w:t xml:space="preserve">, </w:t>
      </w:r>
      <w:r>
        <w:rPr>
          <w:rtl w:val="true"/>
        </w:rPr>
        <w:t>בצירוף התנהגותם של אלה על דוכן העדים – מלמדים היטב כי המתלוננים לא תיאמו ביניהם את גרסאותיהם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הדמיון הרב שנמצא בין העדויות מעניק להן משנה תוקף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המשיבה מדגישה</w:t>
      </w:r>
      <w:r>
        <w:rPr>
          <w:rtl w:val="true"/>
        </w:rPr>
        <w:t xml:space="preserve">, </w:t>
      </w:r>
      <w:r>
        <w:rPr>
          <w:rtl w:val="true"/>
        </w:rPr>
        <w:t>כי בניגוד לרושם ה</w:t>
      </w:r>
      <w:r>
        <w:rPr>
          <w:rtl w:val="true"/>
        </w:rPr>
        <w:t xml:space="preserve">עולה </w:t>
      </w:r>
      <w:r>
        <w:rPr>
          <w:rtl w:val="true"/>
        </w:rPr>
        <w:t>מדברי המערער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הוא הוא שחשף לפני בית המשפט המחוזי את דבר הרשעתו בתיק אחר</w:t>
      </w:r>
      <w:r>
        <w:rPr>
          <w:rtl w:val="true"/>
        </w:rPr>
        <w:t xml:space="preserve">; </w:t>
      </w:r>
      <w:r>
        <w:rPr>
          <w:rtl w:val="true"/>
        </w:rPr>
        <w:t>חרף אזהרות בית המשפט וב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נדרש לעניין</w:t>
      </w:r>
      <w:r>
        <w:rPr>
          <w:rtl w:val="true"/>
        </w:rPr>
        <w:t xml:space="preserve">, </w:t>
      </w:r>
      <w:r>
        <w:rPr>
          <w:rtl w:val="true"/>
        </w:rPr>
        <w:t>והבהיר בהכרעת הדין</w:t>
      </w:r>
      <w:r>
        <w:rPr>
          <w:rtl w:val="true"/>
        </w:rPr>
        <w:t xml:space="preserve">, </w:t>
      </w:r>
      <w:r>
        <w:rPr>
          <w:rtl w:val="true"/>
        </w:rPr>
        <w:t>באופן ברור ומפורש</w:t>
      </w:r>
      <w:r>
        <w:rPr>
          <w:rtl w:val="true"/>
        </w:rPr>
        <w:t xml:space="preserve">, </w:t>
      </w:r>
      <w:r>
        <w:rPr>
          <w:rtl w:val="true"/>
        </w:rPr>
        <w:t>כי לא נתן כל משקל למידע בלתי</w:t>
      </w:r>
      <w:r>
        <w:rPr>
          <w:rtl w:val="true"/>
        </w:rPr>
        <w:t>-</w:t>
      </w:r>
      <w:r>
        <w:rPr>
          <w:rtl w:val="true"/>
        </w:rPr>
        <w:t>קביל שהגיע לפתחו – ודי בכך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בערעור שהגישה המשיבה על קולת העונש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נוכח מתחמי הענישה הנפרדים שקבע בית המשפט המחוזי לאישומים השונים</w:t>
      </w:r>
      <w:r>
        <w:rPr>
          <w:rtl w:val="true"/>
        </w:rPr>
        <w:t xml:space="preserve">, </w:t>
      </w:r>
      <w:r>
        <w:rPr>
          <w:rtl w:val="true"/>
        </w:rPr>
        <w:t>כי העונש שנקבע לבסוף</w:t>
      </w:r>
      <w:r>
        <w:rPr>
          <w:rtl w:val="true"/>
        </w:rPr>
        <w:t xml:space="preserve">, </w:t>
      </w:r>
      <w:r>
        <w:rPr>
          <w:rtl w:val="true"/>
        </w:rPr>
        <w:t>ממוקם בחלקו התחתון של המתחם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נימק זאת בכך שנתן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 לטענת המשיבה</w:t>
      </w:r>
      <w:r>
        <w:rPr>
          <w:rtl w:val="true"/>
        </w:rPr>
        <w:t xml:space="preserve">, </w:t>
      </w:r>
      <w:r>
        <w:rPr>
          <w:rtl w:val="true"/>
        </w:rPr>
        <w:t>לא ניתן כל משקל לשיקולים לחומרא</w:t>
      </w:r>
      <w:r>
        <w:rPr>
          <w:rtl w:val="true"/>
        </w:rPr>
        <w:t xml:space="preserve">; </w:t>
      </w:r>
      <w:r>
        <w:rPr>
          <w:rtl w:val="true"/>
        </w:rPr>
        <w:t xml:space="preserve">ביניהם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מסוכנותו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המופלגת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והעובדה כי על אף חלוף הזמן מאז ביצוע העבירות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שב </w:t>
      </w:r>
      <w:r>
        <w:rPr>
          <w:rFonts w:ascii="Century" w:hAnsi="Century" w:cs="Century"/>
          <w:sz w:val="22"/>
          <w:sz w:val="22"/>
          <w:rtl w:val="true"/>
        </w:rPr>
        <w:t>המערער מדרכו הרעה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והמשיך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שהתגורר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לסיפוק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החולניים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עוד טוענת המשיבה</w:t>
      </w:r>
      <w:r>
        <w:rPr>
          <w:rtl w:val="true"/>
        </w:rPr>
        <w:t xml:space="preserve">, </w:t>
      </w:r>
      <w:r>
        <w:rPr>
          <w:rtl w:val="true"/>
        </w:rPr>
        <w:t>כי תקופת המאסר שנקבעה למערער</w:t>
      </w:r>
      <w:r>
        <w:rPr>
          <w:rtl w:val="true"/>
        </w:rPr>
        <w:t xml:space="preserve">, </w:t>
      </w:r>
      <w:r>
        <w:rPr>
          <w:rtl w:val="true"/>
        </w:rPr>
        <w:t xml:space="preserve">בסופו של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 xml:space="preserve">שאינה עולה על העונש המקסימלי הקבוע לעבירת מין אחת 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</w:t>
      </w:r>
      <w:r>
        <w:rPr>
          <w:rtl w:val="true"/>
        </w:rPr>
        <w:t>למדת</w:t>
      </w:r>
      <w:r>
        <w:rPr>
          <w:rtl w:val="true"/>
        </w:rPr>
        <w:t xml:space="preserve">י </w:t>
      </w:r>
      <w:r>
        <w:rPr>
          <w:rtl w:val="true"/>
        </w:rPr>
        <w:t xml:space="preserve">את </w:t>
      </w:r>
      <w:r>
        <w:rPr>
          <w:rtl w:val="true"/>
        </w:rPr>
        <w:t xml:space="preserve">הכרעת הדין </w:t>
      </w:r>
      <w:r>
        <w:rPr>
          <w:rtl w:val="true"/>
        </w:rPr>
        <w:t>ו</w:t>
      </w:r>
      <w:r>
        <w:rPr>
          <w:rtl w:val="true"/>
        </w:rPr>
        <w:t>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ונתתי דעתי על טענות הצדדים מזה ומזה</w:t>
      </w:r>
      <w:r>
        <w:rPr>
          <w:rtl w:val="true"/>
        </w:rPr>
        <w:t xml:space="preserve">, </w:t>
      </w:r>
      <w:r>
        <w:rPr>
          <w:rtl w:val="true"/>
        </w:rPr>
        <w:t>אלו שבכתב ואלו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הערעורים שניהם –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</w:t>
      </w:r>
      <w:r>
        <w:rPr>
          <w:rtl w:val="true"/>
        </w:rPr>
        <w:t>ות</w:t>
      </w:r>
      <w:r>
        <w:rPr>
          <w:rtl w:val="true"/>
        </w:rPr>
        <w:t>י כי נעשה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מרבית טענות המערער</w:t>
      </w:r>
      <w:r>
        <w:rPr>
          <w:rtl w:val="true"/>
        </w:rPr>
        <w:t xml:space="preserve">, </w:t>
      </w:r>
      <w:r>
        <w:rPr>
          <w:rtl w:val="true"/>
        </w:rPr>
        <w:t>מופנות כלפי ממצאי המהימנות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הלכה פסוקה היא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דרכה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ערכאת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הערעור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להתערב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במימצאים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עובדתיים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שקבעה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הערכאה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הדיונית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וקל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וחומר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במימצאי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מהימנות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1258/03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 – </w:t>
      </w:r>
      <w:r>
        <w:rPr>
          <w:rtl w:val="true"/>
        </w:rPr>
        <w:t>על אחת כמה וכמה מקום בו עסקינן בעבירות מין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</w:t>
        </w:r>
        <w:r>
          <w:rPr>
            <w:rStyle w:val="Hyperlink"/>
            <w:color w:val="0000FF"/>
            <w:u w:val="single"/>
          </w:rPr>
          <w:t>/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10.11.2011</w:t>
      </w:r>
      <w:r>
        <w:rPr>
          <w:rtl w:val="true"/>
        </w:rPr>
        <w:t xml:space="preserve">)). </w:t>
      </w:r>
      <w:r>
        <w:rPr>
          <w:rtl w:val="true"/>
        </w:rPr>
        <w:t>המערער מדגיש</w:t>
      </w:r>
      <w:r>
        <w:rPr>
          <w:rtl w:val="true"/>
        </w:rPr>
        <w:t xml:space="preserve">, </w:t>
      </w:r>
      <w:r>
        <w:rPr>
          <w:rtl w:val="true"/>
        </w:rPr>
        <w:t>כי אינו חולק על ממצא זה או אחר</w:t>
      </w:r>
      <w:r>
        <w:rPr>
          <w:rtl w:val="true"/>
        </w:rPr>
        <w:t xml:space="preserve">; </w:t>
      </w:r>
      <w:r>
        <w:rPr>
          <w:rtl w:val="true"/>
        </w:rPr>
        <w:t xml:space="preserve">קצפו יצא על </w:t>
      </w:r>
      <w:r>
        <w:rPr>
          <w:rFonts w:cs="Miriam"/>
          <w:b/>
          <w:b/>
          <w:spacing w:val="0"/>
          <w:szCs w:val="24"/>
          <w:rtl w:val="true"/>
        </w:rPr>
        <w:t>עצם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השימוש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שנעשה בממצאי מהימנות במקרים כגון דא</w:t>
      </w:r>
      <w:r>
        <w:rPr>
          <w:rtl w:val="true"/>
        </w:rPr>
        <w:t xml:space="preserve">. </w:t>
      </w:r>
      <w:r>
        <w:rPr>
          <w:rtl w:val="true"/>
        </w:rPr>
        <w:t>אין בידי לקבל טענה זו</w:t>
      </w:r>
      <w:r>
        <w:rPr>
          <w:rtl w:val="true"/>
        </w:rPr>
        <w:t xml:space="preserve">. </w:t>
      </w:r>
      <w:r>
        <w:rPr>
          <w:rtl w:val="true"/>
        </w:rPr>
        <w:t>כפי שהבהירה המשיבה</w:t>
      </w:r>
      <w:r>
        <w:rPr>
          <w:rtl w:val="true"/>
        </w:rPr>
        <w:t xml:space="preserve">, </w:t>
      </w:r>
      <w:r>
        <w:rPr>
          <w:rtl w:val="true"/>
        </w:rPr>
        <w:t>התרשמות השופט באופן בלתי</w:t>
      </w:r>
      <w:r>
        <w:rPr>
          <w:rtl w:val="true"/>
        </w:rPr>
        <w:t>-</w:t>
      </w:r>
      <w:r>
        <w:rPr>
          <w:rtl w:val="true"/>
        </w:rPr>
        <w:t>אמצעי ממהימנות העדים שהובאו לפניו</w:t>
      </w:r>
      <w:r>
        <w:rPr>
          <w:rtl w:val="true"/>
        </w:rPr>
        <w:t xml:space="preserve">, </w:t>
      </w:r>
      <w:r>
        <w:rPr>
          <w:rtl w:val="true"/>
        </w:rPr>
        <w:t>והרשעה 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איננה אפשרות דחוקה ומאולצת</w:t>
      </w:r>
      <w:r>
        <w:rPr>
          <w:rtl w:val="true"/>
        </w:rPr>
        <w:t xml:space="preserve">, </w:t>
      </w:r>
      <w:r>
        <w:rPr>
          <w:rtl w:val="true"/>
        </w:rPr>
        <w:t xml:space="preserve">שהשימוש בה יֵעשה רק </w:t>
      </w:r>
      <w:r>
        <w:rPr>
          <w:rtl w:val="true"/>
        </w:rPr>
        <w:t>'</w:t>
      </w:r>
      <w:r>
        <w:rPr>
          <w:rtl w:val="true"/>
        </w:rPr>
        <w:t>כמוצא אחרון</w:t>
      </w:r>
      <w:r>
        <w:rPr>
          <w:rtl w:val="true"/>
        </w:rPr>
        <w:t xml:space="preserve">'. </w:t>
      </w:r>
      <w:r>
        <w:rPr>
          <w:rtl w:val="true"/>
        </w:rPr>
        <w:t>דרך זו</w:t>
      </w:r>
      <w:r>
        <w:rPr>
          <w:rtl w:val="true"/>
        </w:rPr>
        <w:t xml:space="preserve">, </w:t>
      </w:r>
      <w:r>
        <w:rPr>
          <w:rtl w:val="true"/>
        </w:rPr>
        <w:t xml:space="preserve">היא למעשה </w:t>
      </w:r>
      <w:r>
        <w:rPr>
          <w:rtl w:val="true"/>
        </w:rPr>
        <w:t>'</w:t>
      </w:r>
      <w:r>
        <w:rPr>
          <w:rtl w:val="true"/>
        </w:rPr>
        <w:t>דרך המלך</w:t>
      </w:r>
      <w:r>
        <w:rPr>
          <w:rtl w:val="true"/>
        </w:rPr>
        <w:t xml:space="preserve">', </w:t>
      </w:r>
      <w:r>
        <w:rPr>
          <w:rtl w:val="true"/>
        </w:rPr>
        <w:t xml:space="preserve">והיא נקבעה במפורש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ערכה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עדות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שבעל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פה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ומהימנותם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עדים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ענין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</w:t>
      </w:r>
      <w:r>
        <w:rPr>
          <w:rFonts w:cs="Miriam"/>
          <w:b/>
          <w:b/>
          <w:spacing w:val="0"/>
          <w:szCs w:val="24"/>
          <w:rtl w:val="true"/>
        </w:rPr>
        <w:t>ע</w:t>
      </w:r>
      <w:r>
        <w:rPr>
          <w:rFonts w:cs="Miriam"/>
          <w:b/>
          <w:b/>
          <w:spacing w:val="0"/>
          <w:szCs w:val="24"/>
          <w:rtl w:val="true"/>
        </w:rPr>
        <w:t>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להחליט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התנהגותם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העדים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נסיבות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הענין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ואותות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האמת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המתגלים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במשך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אמת נכון הדבר</w:t>
      </w:r>
      <w:r>
        <w:rPr>
          <w:rtl w:val="true"/>
        </w:rPr>
        <w:t>, '</w:t>
      </w:r>
      <w:r>
        <w:rPr>
          <w:rtl w:val="true"/>
        </w:rPr>
        <w:t>אותות האמת</w:t>
      </w:r>
      <w:r>
        <w:rPr>
          <w:rtl w:val="true"/>
        </w:rPr>
        <w:t xml:space="preserve">' – </w:t>
      </w:r>
      <w:r>
        <w:rPr>
          <w:rtl w:val="true"/>
        </w:rPr>
        <w:t>אינם מדע מדויק</w:t>
      </w:r>
      <w:r>
        <w:rPr>
          <w:rtl w:val="true"/>
        </w:rPr>
        <w:t xml:space="preserve">. </w:t>
      </w:r>
      <w:r>
        <w:rPr>
          <w:rtl w:val="true"/>
        </w:rPr>
        <w:t xml:space="preserve">שופטים </w:t>
      </w:r>
      <w:r>
        <w:rPr>
          <w:rtl w:val="true"/>
        </w:rPr>
        <w:t>כבני אדם</w:t>
      </w:r>
      <w:r>
        <w:rPr>
          <w:rtl w:val="true"/>
        </w:rPr>
        <w:t xml:space="preserve">, </w:t>
      </w:r>
      <w:r>
        <w:rPr>
          <w:rtl w:val="true"/>
        </w:rPr>
        <w:t xml:space="preserve">והם </w:t>
      </w:r>
      <w:r>
        <w:rPr>
          <w:rtl w:val="true"/>
        </w:rPr>
        <w:t>בשר ודם</w:t>
      </w:r>
      <w:r>
        <w:rPr>
          <w:rtl w:val="true"/>
        </w:rPr>
        <w:t xml:space="preserve">, </w:t>
      </w:r>
      <w:r>
        <w:rPr>
          <w:rtl w:val="true"/>
        </w:rPr>
        <w:t xml:space="preserve">ומוזהרים להקפיד שלא </w:t>
      </w:r>
      <w:r>
        <w:rPr>
          <w:rtl w:val="true"/>
        </w:rPr>
        <w:t>ליפול קרבן להטיות והטעיות</w:t>
      </w:r>
      <w:r>
        <w:rPr>
          <w:rtl w:val="true"/>
        </w:rPr>
        <w:t xml:space="preserve">. </w:t>
      </w:r>
      <w:r>
        <w:rPr>
          <w:rtl w:val="true"/>
        </w:rPr>
        <w:t>אולם זו שיטתנו המשפטית</w:t>
      </w:r>
      <w:r>
        <w:rPr>
          <w:rtl w:val="true"/>
        </w:rPr>
        <w:t xml:space="preserve">, </w:t>
      </w:r>
      <w:r>
        <w:rPr>
          <w:rtl w:val="true"/>
        </w:rPr>
        <w:t>כפי שעוצבה ונקבעה על</w:t>
      </w:r>
      <w:r>
        <w:rPr>
          <w:rtl w:val="true"/>
        </w:rPr>
        <w:t>-</w:t>
      </w:r>
      <w:r>
        <w:rPr>
          <w:rtl w:val="true"/>
        </w:rPr>
        <w:t>ידי המחוקק – ואין בלתה</w:t>
      </w:r>
      <w:r>
        <w:rPr>
          <w:rtl w:val="true"/>
        </w:rPr>
        <w:t xml:space="preserve">. </w:t>
      </w:r>
      <w:r>
        <w:rPr>
          <w:rtl w:val="true"/>
        </w:rPr>
        <w:t>יפים לעניין זה דברי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שנצטוינו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שהעידו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אצלינו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מעמידין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כשרותן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הנסתרות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והנגלות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ולבנינו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ללבב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משנה תורה לרמב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ספר המדע</w:t>
      </w:r>
      <w:r>
        <w:rPr>
          <w:rtl w:val="true"/>
        </w:rPr>
        <w:t xml:space="preserve">, </w:t>
      </w:r>
      <w:r>
        <w:rPr>
          <w:rtl w:val="true"/>
        </w:rPr>
        <w:t>הלכות יסודי התורה ז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). </w:t>
      </w:r>
      <w:r>
        <w:rPr>
          <w:rtl w:val="true"/>
        </w:rPr>
        <w:t>הכרעת בית המשפט המחוזי ניתנה פה אחד</w:t>
      </w:r>
      <w:r>
        <w:rPr>
          <w:rtl w:val="true"/>
        </w:rPr>
        <w:t xml:space="preserve">, </w:t>
      </w:r>
      <w:r>
        <w:rPr>
          <w:rtl w:val="true"/>
        </w:rPr>
        <w:t>לאחר שכלל שופטי ההרכב התרשמו לחיוב מדברי המתלוננים</w:t>
      </w:r>
      <w:r>
        <w:rPr>
          <w:rtl w:val="true"/>
        </w:rPr>
        <w:t xml:space="preserve">, </w:t>
      </w:r>
      <w:r>
        <w:rPr>
          <w:rtl w:val="true"/>
        </w:rPr>
        <w:t>מהתנהגותם</w:t>
      </w:r>
      <w:r>
        <w:rPr>
          <w:rtl w:val="true"/>
        </w:rPr>
        <w:t xml:space="preserve">, </w:t>
      </w:r>
      <w:r>
        <w:rPr>
          <w:rtl w:val="true"/>
        </w:rPr>
        <w:t>ממכלול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ומאותות האמת הרבים שהתגלו בעדויותיהם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מרבית טיעוני המערער</w:t>
      </w:r>
      <w:r>
        <w:rPr>
          <w:rtl w:val="true"/>
        </w:rPr>
        <w:t xml:space="preserve">, </w:t>
      </w:r>
      <w:r>
        <w:rPr>
          <w:rtl w:val="true"/>
        </w:rPr>
        <w:t>מתבססים על טענתו העיקרית והמרכזית</w:t>
      </w:r>
      <w:r>
        <w:rPr>
          <w:rtl w:val="true"/>
        </w:rPr>
        <w:t xml:space="preserve">, </w:t>
      </w:r>
      <w:r>
        <w:rPr>
          <w:rtl w:val="true"/>
        </w:rPr>
        <w:t>בדבר פגמים שנמצאו לטעמו</w:t>
      </w:r>
      <w:r>
        <w:rPr>
          <w:rtl w:val="true"/>
        </w:rPr>
        <w:t xml:space="preserve">, </w:t>
      </w:r>
      <w:r>
        <w:rPr>
          <w:rtl w:val="true"/>
        </w:rPr>
        <w:t>בקביעות בית המשפט המחוזי לגבי ממצאי המהימנות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 xml:space="preserve">משאין בדעתי לקבל את </w:t>
      </w:r>
      <w:r>
        <w:rPr>
          <w:rtl w:val="true"/>
        </w:rPr>
        <w:t>'</w:t>
      </w:r>
      <w:r>
        <w:rPr>
          <w:rtl w:val="true"/>
        </w:rPr>
        <w:t>טענת העל</w:t>
      </w:r>
      <w:r>
        <w:rPr>
          <w:rtl w:val="true"/>
        </w:rPr>
        <w:t xml:space="preserve">' </w:t>
      </w:r>
      <w:r>
        <w:rPr>
          <w:rtl w:val="true"/>
        </w:rPr>
        <w:t>של המערער – די בכך כדי לדחות את הערעור</w:t>
      </w:r>
      <w:r>
        <w:rPr>
          <w:rtl w:val="true"/>
        </w:rPr>
        <w:t xml:space="preserve">. </w:t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אדרש לטענות המפורטות שהעלה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ואשיב גם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tl w:val="true"/>
        </w:rPr>
        <w:t>י</w:t>
      </w:r>
      <w:r>
        <w:rPr>
          <w:rtl w:val="true"/>
        </w:rPr>
        <w:t>הן</w:t>
      </w:r>
      <w:r>
        <w:rPr>
          <w:rtl w:val="true"/>
        </w:rPr>
        <w:t xml:space="preserve">; </w:t>
      </w:r>
      <w:r>
        <w:rPr>
          <w:rtl w:val="true"/>
        </w:rPr>
        <w:t>על ראשון ראשון ועל אחרון אחרון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 סבור</w:t>
      </w:r>
      <w:r>
        <w:rPr>
          <w:rtl w:val="true"/>
        </w:rPr>
        <w:t xml:space="preserve">, </w:t>
      </w:r>
      <w:r>
        <w:rPr>
          <w:rtl w:val="true"/>
        </w:rPr>
        <w:t>כי משעה שבדעת הרוב בפסק הדין</w:t>
      </w:r>
      <w:r>
        <w:rPr>
          <w:rtl w:val="true"/>
        </w:rPr>
        <w:t xml:space="preserve">, </w:t>
      </w:r>
      <w:r>
        <w:rPr>
          <w:rtl w:val="true"/>
        </w:rPr>
        <w:t xml:space="preserve">הובעה הסתייגות מהיבטים מסויימים בעדותה של </w:t>
      </w:r>
      <w:r>
        <w:rPr>
          <w:rtl w:val="true"/>
        </w:rPr>
        <w:t>המתלוננת באישום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המסקנה המתחייבת היא כי מהימנותה </w:t>
      </w:r>
      <w:r>
        <w:rPr>
          <w:rtl w:val="true"/>
        </w:rPr>
        <w:t xml:space="preserve">התערערה מהימנותה </w:t>
      </w:r>
      <w:r>
        <w:rPr>
          <w:rtl w:val="true"/>
        </w:rPr>
        <w:t xml:space="preserve">של </w:t>
      </w:r>
      <w:r>
        <w:rPr>
          <w:rtl w:val="true"/>
        </w:rPr>
        <w:t>ה</w:t>
      </w:r>
      <w:r>
        <w:rPr>
          <w:rtl w:val="true"/>
        </w:rPr>
        <w:t xml:space="preserve">עדות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וממילא מפילה היא יחד עמה – כאבני דומינו – גם את עדויותיהם של אחֶיה</w:t>
      </w:r>
      <w:r>
        <w:rPr>
          <w:rtl w:val="true"/>
        </w:rPr>
        <w:t xml:space="preserve">, </w:t>
      </w:r>
      <w:r>
        <w:rPr>
          <w:rtl w:val="true"/>
        </w:rPr>
        <w:t xml:space="preserve">בבחינת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שבטלה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מקצתה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בבא קמא עג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טענה זו אינה מקובלת עלַי</w:t>
      </w:r>
      <w:r>
        <w:rPr>
          <w:rtl w:val="true"/>
        </w:rPr>
        <w:t xml:space="preserve">. </w:t>
      </w:r>
      <w:r>
        <w:rPr>
          <w:rtl w:val="true"/>
        </w:rPr>
        <w:t>כפי שציינה המשיבה</w:t>
      </w:r>
      <w:r>
        <w:rPr>
          <w:rtl w:val="true"/>
        </w:rPr>
        <w:t xml:space="preserve">, </w:t>
      </w:r>
      <w:r>
        <w:rPr>
          <w:rtl w:val="true"/>
        </w:rPr>
        <w:t>השימוש בכלל האמור נדחה במפורש בפסיקה הישראלית</w:t>
      </w:r>
      <w:r>
        <w:rPr>
          <w:rtl w:val="true"/>
        </w:rPr>
        <w:t xml:space="preserve">, </w:t>
      </w:r>
      <w:r>
        <w:rPr>
          <w:rtl w:val="true"/>
        </w:rPr>
        <w:t xml:space="preserve">ולעומתו קנה לו שֶׁבֶת כלל </w:t>
      </w:r>
      <w:r>
        <w:rPr>
          <w:rtl w:val="true"/>
        </w:rPr>
        <w:t>'</w:t>
      </w:r>
      <w:r>
        <w:rPr>
          <w:rtl w:val="true"/>
        </w:rPr>
        <w:t>פלגינן דיבורא</w:t>
      </w:r>
      <w:r>
        <w:rPr>
          <w:rtl w:val="true"/>
        </w:rPr>
        <w:t xml:space="preserve">':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המפורסמות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ודבריהם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ובעדותם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בזהירות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לפלג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פלגינן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דיבורא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בניסוח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שהשתרש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הישראלית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בעיניו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hyperlink r:id="rId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7637/05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5.7.2007</w:t>
      </w:r>
      <w:r>
        <w:rPr>
          <w:rFonts w:cs="Century" w:ascii="Century" w:hAnsi="Century"/>
          <w:sz w:val="22"/>
          <w:rtl w:val="true"/>
        </w:rPr>
        <w:t>))</w:t>
      </w:r>
      <w:r>
        <w:rPr>
          <w:rFonts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בנסיבות ענייננו</w:t>
      </w:r>
      <w:r>
        <w:rPr>
          <w:rtl w:val="true"/>
        </w:rPr>
        <w:t xml:space="preserve">, </w:t>
      </w:r>
      <w:r>
        <w:rPr>
          <w:rtl w:val="true"/>
        </w:rPr>
        <w:t>איננו נדרשים להכריע בין כללים משפטיים אלו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>
          <w:rtl w:val="true"/>
        </w:rPr>
        <w:t>'</w:t>
      </w:r>
      <w:r>
        <w:rPr>
          <w:rtl w:val="true"/>
        </w:rPr>
        <w:t>פלגינן דיבורא</w:t>
      </w:r>
      <w:r>
        <w:rPr>
          <w:rtl w:val="true"/>
        </w:rPr>
        <w:t xml:space="preserve">' </w:t>
      </w:r>
      <w:r>
        <w:rPr>
          <w:rtl w:val="true"/>
        </w:rPr>
        <w:t xml:space="preserve">לבין </w:t>
      </w:r>
      <w:r>
        <w:rPr>
          <w:rtl w:val="true"/>
        </w:rPr>
        <w:t>'</w:t>
      </w:r>
      <w:r>
        <w:rPr>
          <w:rtl w:val="true"/>
        </w:rPr>
        <w:t>עדות שבטלה</w:t>
      </w:r>
      <w:r>
        <w:rPr>
          <w:rtl w:val="true"/>
        </w:rPr>
        <w:t xml:space="preserve">'.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גם לעמדת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אין צורך לבצע במקרה זה </w:t>
      </w:r>
      <w:r>
        <w:rPr>
          <w:rtl w:val="true"/>
        </w:rPr>
        <w:t>'</w:t>
      </w:r>
      <w:r>
        <w:rPr>
          <w:rtl w:val="true"/>
        </w:rPr>
        <w:t>פלגינן דיבורא</w:t>
      </w:r>
      <w:r>
        <w:rPr>
          <w:rtl w:val="true"/>
        </w:rPr>
        <w:t xml:space="preserve">', </w:t>
      </w:r>
      <w:r>
        <w:rPr>
          <w:rtl w:val="true"/>
        </w:rPr>
        <w:t xml:space="preserve">בין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שלושת שופטי בית המשפט המחוזי הסכימו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פה 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המתלוננת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נתפסה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כל שנטען הוא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בעת שתיארה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תחושותיה</w:t>
      </w:r>
      <w:r>
        <w:rPr>
          <w:rFonts w:ascii="Century" w:hAnsi="Century" w:cs="Century"/>
          <w:sz w:val="22"/>
          <w:sz w:val="22"/>
          <w:rtl w:val="true"/>
        </w:rPr>
        <w:t xml:space="preserve"> ביחס לטיבו של הקשר הזוגי שנרקם בינה לבין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בתקופה שלאחר ביצוע העבירות מושא תלונותיה – צבעה </w:t>
      </w:r>
      <w:r>
        <w:rPr>
          <w:rFonts w:ascii="Century" w:hAnsi="Century" w:cs="Century"/>
          <w:sz w:val="22"/>
          <w:sz w:val="22"/>
          <w:rtl w:val="true"/>
        </w:rPr>
        <w:t>מתלוננת זו</w:t>
      </w:r>
      <w:r>
        <w:rPr>
          <w:rFonts w:ascii="Century" w:hAnsi="Century" w:cs="Century"/>
          <w:sz w:val="22"/>
          <w:sz w:val="22"/>
          <w:rtl w:val="true"/>
        </w:rPr>
        <w:t xml:space="preserve"> רטרואקטיבית את מערכת היחסים ביניהם בצבעים קודרים ואפלים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אף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הסתייגות שופטי הרוב מחלק זה של העדות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הוא מטיבו עמום וסובייקטיבי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ופעמים רבות משקף הליכים לא מודעים – אין בו כדי לפסול את יתר חלקי העדות שמסרה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בכל הקשור לממצאים העובדתיים העולים ממנה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גם עצם קיומה של מחלוקת מסוימת בין השופטים</w:t>
      </w:r>
      <w:r>
        <w:rPr>
          <w:rtl w:val="true"/>
        </w:rPr>
        <w:t xml:space="preserve">, </w:t>
      </w:r>
      <w:r>
        <w:rPr>
          <w:rtl w:val="true"/>
        </w:rPr>
        <w:t>אינה פוגמת בשיקול הדעת שלהם</w:t>
      </w:r>
      <w:r>
        <w:rPr>
          <w:rtl w:val="true"/>
        </w:rPr>
        <w:t xml:space="preserve">, </w:t>
      </w:r>
      <w:r>
        <w:rPr>
          <w:rtl w:val="true"/>
        </w:rPr>
        <w:t>בכל הנוגע למהימנות העדות</w:t>
      </w:r>
      <w:r>
        <w:rPr>
          <w:rtl w:val="true"/>
        </w:rPr>
        <w:t xml:space="preserve">. </w:t>
      </w:r>
      <w:r>
        <w:rPr>
          <w:rtl w:val="true"/>
        </w:rPr>
        <w:t>שתי הגישות שהוצגו בפסק הדין מלמדות</w:t>
      </w:r>
      <w:r>
        <w:rPr>
          <w:rtl w:val="true"/>
        </w:rPr>
        <w:t xml:space="preserve">, </w:t>
      </w:r>
      <w:r>
        <w:rPr>
          <w:rtl w:val="true"/>
        </w:rPr>
        <w:t>כל אחת בדרכה</w:t>
      </w:r>
      <w:r>
        <w:rPr>
          <w:rtl w:val="true"/>
        </w:rPr>
        <w:t xml:space="preserve">, </w:t>
      </w:r>
      <w:r>
        <w:rPr>
          <w:rtl w:val="true"/>
        </w:rPr>
        <w:t>על רגישות רבה לתעתועיה של נפש פצועה ומצולקת</w:t>
      </w:r>
      <w:r>
        <w:rPr>
          <w:rtl w:val="true"/>
        </w:rPr>
        <w:t xml:space="preserve">, </w:t>
      </w:r>
      <w:r>
        <w:rPr>
          <w:rtl w:val="true"/>
        </w:rPr>
        <w:t>המבקשת להתמודד עם התנגשות בין אהבה והערכה לגורם הפוגע</w:t>
      </w:r>
      <w:r>
        <w:rPr>
          <w:rtl w:val="true"/>
        </w:rPr>
        <w:t xml:space="preserve">, </w:t>
      </w:r>
      <w:r>
        <w:rPr>
          <w:rtl w:val="true"/>
        </w:rPr>
        <w:t>לבין בושה</w:t>
      </w:r>
      <w:r>
        <w:rPr>
          <w:rtl w:val="true"/>
        </w:rPr>
        <w:t xml:space="preserve">, </w:t>
      </w:r>
      <w:r>
        <w:rPr>
          <w:rtl w:val="true"/>
        </w:rPr>
        <w:t>השפלה</w:t>
      </w:r>
      <w:r>
        <w:rPr>
          <w:rtl w:val="true"/>
        </w:rPr>
        <w:t xml:space="preserve">, </w:t>
      </w:r>
      <w:r>
        <w:rPr>
          <w:rtl w:val="true"/>
        </w:rPr>
        <w:t>וכעס על הפגיעה שקדמה לאותן רגשות</w:t>
      </w:r>
      <w:r>
        <w:rPr>
          <w:rtl w:val="true"/>
        </w:rPr>
        <w:t xml:space="preserve">. </w:t>
      </w:r>
      <w:r>
        <w:rPr>
          <w:rtl w:val="true"/>
        </w:rPr>
        <w:t xml:space="preserve">לא הליכה עיוורת בעקבות </w:t>
      </w:r>
      <w:r>
        <w:rPr>
          <w:rtl w:val="true"/>
        </w:rPr>
        <w:t>'</w:t>
      </w:r>
      <w:r>
        <w:rPr>
          <w:rtl w:val="true"/>
        </w:rPr>
        <w:t>תחושת בטן</w:t>
      </w:r>
      <w:r>
        <w:rPr>
          <w:rtl w:val="true"/>
        </w:rPr>
        <w:t xml:space="preserve">' </w:t>
      </w:r>
      <w:r>
        <w:rPr>
          <w:rtl w:val="true"/>
        </w:rPr>
        <w:t>בנוגע למהימנות יש כאן</w:t>
      </w:r>
      <w:r>
        <w:rPr>
          <w:rtl w:val="true"/>
        </w:rPr>
        <w:t xml:space="preserve">; </w:t>
      </w:r>
      <w:r>
        <w:rPr>
          <w:rtl w:val="true"/>
        </w:rPr>
        <w:t>כי אם בחינה ספקנית ומדוקדקת של דברי העדה</w:t>
      </w:r>
      <w:r>
        <w:rPr>
          <w:rtl w:val="true"/>
        </w:rPr>
        <w:t xml:space="preserve">, </w:t>
      </w:r>
      <w:r>
        <w:rPr>
          <w:rtl w:val="true"/>
        </w:rPr>
        <w:t>המתבטאת במחלוקת כנה</w:t>
      </w:r>
      <w:r>
        <w:rPr>
          <w:rtl w:val="true"/>
        </w:rPr>
        <w:t xml:space="preserve">. </w:t>
      </w:r>
      <w:r>
        <w:rPr>
          <w:rtl w:val="true"/>
        </w:rPr>
        <w:t>גם כאן</w:t>
      </w:r>
      <w:r>
        <w:rPr>
          <w:rtl w:val="true"/>
        </w:rPr>
        <w:t xml:space="preserve">, </w:t>
      </w:r>
      <w:r>
        <w:rPr>
          <w:rtl w:val="true"/>
        </w:rPr>
        <w:t>רואה אני מקום להביא מדברי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סנהדרין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שפתחו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פטור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שיהפכו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בזכותו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וירבו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משנה תורה לרמב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ספר שופטים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הלכות סנהדרין והעונשין המסורין להם 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אין אפוא בדברי שופטי הרוב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המופנים כלפי עניין מסוים וספציפי בעדותה של </w:t>
      </w:r>
      <w:r>
        <w:rPr>
          <w:rFonts w:ascii="Century" w:hAnsi="Century" w:cs="Century"/>
          <w:sz w:val="22"/>
          <w:sz w:val="22"/>
          <w:rtl w:val="true"/>
        </w:rPr>
        <w:t>המתלוננת באישום 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לפגום ביתר חלקי עדותה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באמינותה ומהימנותה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אחת כמה וכמה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שהדבר אינו גורע כמלוא נימ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 xml:space="preserve"> מעדויות האחים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גם את הטענה</w:t>
      </w:r>
      <w:r>
        <w:rPr>
          <w:rtl w:val="true"/>
        </w:rPr>
        <w:t xml:space="preserve">, </w:t>
      </w:r>
      <w:r>
        <w:rPr>
          <w:rtl w:val="true"/>
        </w:rPr>
        <w:t>שלפיה אין לראות בדמיון בין העדויות משום חיזוק</w:t>
      </w:r>
      <w:r>
        <w:rPr>
          <w:rtl w:val="true"/>
        </w:rPr>
        <w:t xml:space="preserve">, </w:t>
      </w:r>
      <w:r>
        <w:rPr>
          <w:rtl w:val="true"/>
        </w:rPr>
        <w:t>אין בידי לקבל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>היו המתלוננים רוקחים מזימה</w:t>
      </w:r>
      <w:r>
        <w:rPr>
          <w:rtl w:val="true"/>
        </w:rPr>
        <w:t xml:space="preserve">, </w:t>
      </w:r>
      <w:r>
        <w:rPr>
          <w:rtl w:val="true"/>
        </w:rPr>
        <w:t>ומתאמים גרס</w:t>
      </w:r>
      <w:r>
        <w:rPr>
          <w:rtl w:val="true"/>
        </w:rPr>
        <w:t>או</w:t>
      </w:r>
      <w:r>
        <w:rPr>
          <w:rtl w:val="true"/>
        </w:rPr>
        <w:t>ת</w:t>
      </w:r>
      <w:r>
        <w:rPr>
          <w:rtl w:val="true"/>
        </w:rPr>
        <w:t>יה</w:t>
      </w:r>
      <w:r>
        <w:rPr>
          <w:rtl w:val="true"/>
        </w:rPr>
        <w:t>ם – הדבר עשוי היה להסביר את הדמיון בין עדויותיהם</w:t>
      </w:r>
      <w:r>
        <w:rPr>
          <w:rtl w:val="true"/>
        </w:rPr>
        <w:t xml:space="preserve">, </w:t>
      </w:r>
      <w:r>
        <w:rPr>
          <w:rtl w:val="true"/>
        </w:rPr>
        <w:t xml:space="preserve">אך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הסיכוי שהמתלוננים כולם</w:t>
      </w:r>
      <w:r>
        <w:rPr>
          <w:rtl w:val="true"/>
        </w:rPr>
        <w:t xml:space="preserve">, </w:t>
      </w:r>
      <w:r>
        <w:rPr>
          <w:rtl w:val="true"/>
        </w:rPr>
        <w:t>יצליחו לשמור על חזית אחידה</w:t>
      </w:r>
      <w:r>
        <w:rPr>
          <w:rtl w:val="true"/>
        </w:rPr>
        <w:t xml:space="preserve">, </w:t>
      </w:r>
      <w:r>
        <w:rPr>
          <w:rtl w:val="true"/>
        </w:rPr>
        <w:t>על אותה גרסה שקרית וכוזבת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יִכָּשְׁלוּ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בִלְשׁוֹנָם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וְלֹא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יִנָּקְשׁוּ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בְשִׁנּוּנָם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– </w:t>
      </w:r>
      <w:r>
        <w:rPr>
          <w:rtl w:val="true"/>
        </w:rPr>
        <w:t>נמוך עד מאוד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מעדויות המתלוננים עולה דמיון רב – דווקא בפרטים שלגביהם תיאום הגרסאות הנטען אינו מתקבל על הדעת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מעדות חוקרת המשטרה – העולה בקנה אחד עם התרשמות שופטי בית המשפט המחוזי – ניתן ללמוד</w:t>
      </w:r>
      <w:r>
        <w:rPr>
          <w:rtl w:val="true"/>
        </w:rPr>
        <w:t xml:space="preserve">, </w:t>
      </w:r>
      <w:r>
        <w:rPr>
          <w:rtl w:val="true"/>
        </w:rPr>
        <w:t>כי המתלוננים חשפו את הפרטים המדויקים של אירועי ההתעללות שחוו</w:t>
      </w:r>
      <w:r>
        <w:rPr>
          <w:rtl w:val="true"/>
        </w:rPr>
        <w:t xml:space="preserve">, </w:t>
      </w:r>
      <w:r>
        <w:rPr>
          <w:rtl w:val="true"/>
        </w:rPr>
        <w:t>רק לאחר עבודת דיבוב מאומצת – וגם אז המידע נמסר טיפין טיפין</w:t>
      </w:r>
      <w:r>
        <w:rPr>
          <w:rtl w:val="true"/>
        </w:rPr>
        <w:t xml:space="preserve">, </w:t>
      </w:r>
      <w:r>
        <w:rPr>
          <w:rtl w:val="true"/>
        </w:rPr>
        <w:t>כמי שאנוס על</w:t>
      </w:r>
      <w:r>
        <w:rPr>
          <w:rtl w:val="true"/>
        </w:rPr>
        <w:t>-</w:t>
      </w:r>
      <w:r>
        <w:rPr>
          <w:rtl w:val="true"/>
        </w:rPr>
        <w:t>פי הדיבור</w:t>
      </w:r>
      <w:r>
        <w:rPr>
          <w:rtl w:val="true"/>
        </w:rPr>
        <w:t xml:space="preserve">. </w:t>
      </w:r>
      <w:r>
        <w:rPr>
          <w:rtl w:val="true"/>
        </w:rPr>
        <w:t>עדויותיהם</w:t>
      </w:r>
      <w:r>
        <w:rPr>
          <w:rtl w:val="true"/>
        </w:rPr>
        <w:t xml:space="preserve">, </w:t>
      </w:r>
      <w:r>
        <w:rPr>
          <w:rtl w:val="true"/>
        </w:rPr>
        <w:t>גם בבית המשפט</w:t>
      </w:r>
      <w:r>
        <w:rPr>
          <w:rtl w:val="true"/>
        </w:rPr>
        <w:t xml:space="preserve">, </w:t>
      </w:r>
      <w:r>
        <w:rPr>
          <w:rtl w:val="true"/>
        </w:rPr>
        <w:t>לוו בשתיקות ובסימני מועקה רבים</w:t>
      </w:r>
      <w:r>
        <w:rPr>
          <w:rtl w:val="true"/>
        </w:rPr>
        <w:t xml:space="preserve">, </w:t>
      </w:r>
      <w:r>
        <w:rPr>
          <w:rtl w:val="true"/>
        </w:rPr>
        <w:t>אשר חיזקו את הרושם שלפיו מדובר במידע מוכמן ואישי</w:t>
      </w:r>
      <w:r>
        <w:rPr>
          <w:rtl w:val="true"/>
        </w:rPr>
        <w:t xml:space="preserve">, </w:t>
      </w:r>
      <w:r>
        <w:rPr>
          <w:rtl w:val="true"/>
        </w:rPr>
        <w:t>אשר לא בנקל ניתן לחשפו</w:t>
      </w:r>
      <w:r>
        <w:rPr>
          <w:rtl w:val="true"/>
        </w:rPr>
        <w:t xml:space="preserve">. </w:t>
      </w:r>
      <w:r>
        <w:rPr>
          <w:rtl w:val="true"/>
        </w:rPr>
        <w:t>המתלוננים – אנשים אחים המה</w:t>
      </w:r>
      <w:r>
        <w:rPr>
          <w:rtl w:val="true"/>
        </w:rPr>
        <w:t xml:space="preserve">, </w:t>
      </w:r>
      <w:r>
        <w:rPr>
          <w:rtl w:val="true"/>
        </w:rPr>
        <w:t>אחים גם לצרה</w:t>
      </w:r>
      <w:r>
        <w:rPr>
          <w:rtl w:val="true"/>
        </w:rPr>
        <w:t xml:space="preserve">. </w:t>
      </w:r>
      <w:r>
        <w:rPr>
          <w:rtl w:val="true"/>
        </w:rPr>
        <w:t>הדעת נותנת</w:t>
      </w:r>
      <w:r>
        <w:rPr>
          <w:rtl w:val="true"/>
        </w:rPr>
        <w:t xml:space="preserve">, </w:t>
      </w:r>
      <w:r>
        <w:rPr>
          <w:rtl w:val="true"/>
        </w:rPr>
        <w:t>כי יבושו עד מאוד מלחשוף זה לפני זו</w:t>
      </w:r>
      <w:r>
        <w:rPr>
          <w:rtl w:val="true"/>
        </w:rPr>
        <w:t xml:space="preserve">, </w:t>
      </w:r>
      <w:r>
        <w:rPr>
          <w:rtl w:val="true"/>
        </w:rPr>
        <w:t>זו לפני זה</w:t>
      </w:r>
      <w:r>
        <w:rPr>
          <w:rtl w:val="true"/>
        </w:rPr>
        <w:t xml:space="preserve">, </w:t>
      </w:r>
      <w:r>
        <w:rPr>
          <w:rtl w:val="true"/>
        </w:rPr>
        <w:t>את אופיין המדויק</w:t>
      </w:r>
      <w:r>
        <w:rPr>
          <w:rtl w:val="true"/>
        </w:rPr>
        <w:t xml:space="preserve">, </w:t>
      </w:r>
      <w:r>
        <w:rPr>
          <w:rtl w:val="true"/>
        </w:rPr>
        <w:t>הגרפי והמחלחל של הפגיעות שעברו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חוקרת המשטרה ציינה בעדותה</w:t>
      </w:r>
      <w:r>
        <w:rPr>
          <w:rtl w:val="true"/>
        </w:rPr>
        <w:t xml:space="preserve">, </w:t>
      </w:r>
      <w:r>
        <w:rPr>
          <w:rtl w:val="true"/>
        </w:rPr>
        <w:t>כי ניכר היה שהמתלוננים אינם מודעים לתוכן המדויק של הפגיעות באחֵיהם – וביקשו להימנע מלהיחשף למידע שכזה</w:t>
      </w:r>
      <w:r>
        <w:rPr>
          <w:rtl w:val="true"/>
        </w:rPr>
        <w:t xml:space="preserve">. </w:t>
      </w:r>
      <w:r>
        <w:rPr>
          <w:rtl w:val="true"/>
        </w:rPr>
        <w:t>הדמיון בין העדויות – אמנם בולט וניכר</w:t>
      </w:r>
      <w:r>
        <w:rPr>
          <w:rtl w:val="true"/>
        </w:rPr>
        <w:t xml:space="preserve">; </w:t>
      </w:r>
      <w:r>
        <w:rPr>
          <w:rtl w:val="true"/>
        </w:rPr>
        <w:t>אך הוא עומד בתוקפו</w:t>
      </w:r>
      <w:r>
        <w:rPr>
          <w:rtl w:val="true"/>
        </w:rPr>
        <w:t xml:space="preserve">, </w:t>
      </w:r>
      <w:r>
        <w:rPr>
          <w:rtl w:val="true"/>
        </w:rPr>
        <w:t>גם לאחר עיון בטענת ההגנה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כביכול בגרסאות מתואמות</w:t>
      </w:r>
      <w:r>
        <w:rPr>
          <w:rtl w:val="true"/>
        </w:rPr>
        <w:t xml:space="preserve"> עסקינן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מכאן לטענת המערער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נחשף למידע בלתי</w:t>
      </w:r>
      <w:r>
        <w:rPr>
          <w:rtl w:val="true"/>
        </w:rPr>
        <w:t>-</w:t>
      </w:r>
      <w:r>
        <w:rPr>
          <w:rtl w:val="true"/>
        </w:rPr>
        <w:t>קביל</w:t>
      </w:r>
      <w:r>
        <w:rPr>
          <w:rtl w:val="true"/>
        </w:rPr>
        <w:t xml:space="preserve">, </w:t>
      </w:r>
      <w:r>
        <w:rPr>
          <w:rtl w:val="true"/>
        </w:rPr>
        <w:t>בדבר הרשעתו בעבירות מין במקרה אחר</w:t>
      </w:r>
      <w:r>
        <w:rPr>
          <w:rtl w:val="true"/>
        </w:rPr>
        <w:t xml:space="preserve">. </w:t>
      </w:r>
      <w:r>
        <w:rPr>
          <w:rtl w:val="true"/>
        </w:rPr>
        <w:t>אקדים ואומר</w:t>
      </w:r>
      <w:r>
        <w:rPr>
          <w:rtl w:val="true"/>
        </w:rPr>
        <w:t xml:space="preserve">: </w:t>
      </w:r>
      <w:r>
        <w:rPr>
          <w:rtl w:val="true"/>
        </w:rPr>
        <w:t>נדמה כי אין מחלוקת שעצם החשיפה לעובדה שנגד המערער מתנהל הליך פלילי נוסף – היתה בלתי</w:t>
      </w:r>
      <w:r>
        <w:rPr>
          <w:rtl w:val="true"/>
        </w:rPr>
        <w:t>-</w:t>
      </w:r>
      <w:r>
        <w:rPr>
          <w:rtl w:val="true"/>
        </w:rPr>
        <w:t>נמנעת</w:t>
      </w:r>
      <w:r>
        <w:rPr>
          <w:rtl w:val="true"/>
        </w:rPr>
        <w:t xml:space="preserve">. </w:t>
      </w:r>
      <w:r>
        <w:rPr>
          <w:rtl w:val="true"/>
        </w:rPr>
        <w:t>דבר הרשעתו פורסם בכלי התקשורת</w:t>
      </w:r>
      <w:r>
        <w:rPr>
          <w:rtl w:val="true"/>
        </w:rPr>
        <w:t xml:space="preserve">, </w:t>
      </w:r>
      <w:r>
        <w:rPr>
          <w:rtl w:val="true"/>
        </w:rPr>
        <w:t>ועובדה זו היא שהביאה את המתלוננים לפתוח את סגור לבם</w:t>
      </w:r>
      <w:r>
        <w:rPr>
          <w:rtl w:val="true"/>
        </w:rPr>
        <w:t xml:space="preserve">, </w:t>
      </w:r>
      <w:r>
        <w:rPr>
          <w:rtl w:val="true"/>
        </w:rPr>
        <w:t>ולהגיש תלונה נגד המערער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מלין על כך שבית המשפט המחוזי גילה על אודות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בתיק 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נחשפו לפניו האישומים המפורטים שבהם הורשע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ועמם גם העונשים שנגזרו עליו באותו הליך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דינה להידחות מכל וכל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המערער עצמו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שפתח את הדלת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והציג לפני בית המשפט המחוזי את המידע הנוגע להליך הפלילי השני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בחקירתו הנגדית של </w:t>
      </w:r>
      <w:r>
        <w:rPr>
          <w:rFonts w:ascii="Century" w:hAnsi="Century" w:cs="Century"/>
          <w:sz w:val="22"/>
          <w:sz w:val="22"/>
          <w:rtl w:val="true"/>
        </w:rPr>
        <w:t>אחד המתלוננים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אשר עדותו הובאה כעדות שיטה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העלה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המערער דאז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דבר קיומו של ההליך הפלילי השני – חרף אזהרתה של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ואזהרות בית המשפט המחוזי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]: [..]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[...]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רמזתי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לזה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[...]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[...]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cs="Miriam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>]: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הסיכונים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עכשיו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להשיב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נעצור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[...]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תקווה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אינטרנט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יידע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הורשע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: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שמענו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עמודים </w:t>
      </w:r>
      <w:r>
        <w:rPr>
          <w:rFonts w:cs="Century" w:ascii="Century" w:hAnsi="Century"/>
        </w:rPr>
        <w:t>46-44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80-79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 הדיון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בכך לא תם העניין</w:t>
      </w:r>
      <w:r>
        <w:rPr>
          <w:rtl w:val="true"/>
        </w:rPr>
        <w:t xml:space="preserve">; </w:t>
      </w:r>
      <w:r>
        <w:rPr>
          <w:rtl w:val="true"/>
        </w:rPr>
        <w:t>בשלב מאוחר יותר</w:t>
      </w:r>
      <w:r>
        <w:rPr>
          <w:rtl w:val="true"/>
        </w:rPr>
        <w:t xml:space="preserve">, </w:t>
      </w:r>
      <w:r>
        <w:rPr>
          <w:rtl w:val="true"/>
        </w:rPr>
        <w:t>במעלה הדרך</w:t>
      </w:r>
      <w:r>
        <w:rPr>
          <w:rtl w:val="true"/>
        </w:rPr>
        <w:t xml:space="preserve">, </w:t>
      </w:r>
      <w:r>
        <w:rPr>
          <w:rtl w:val="true"/>
        </w:rPr>
        <w:t>בעיצומו של דיון הוכחות</w:t>
      </w:r>
      <w:r>
        <w:rPr>
          <w:rtl w:val="true"/>
        </w:rPr>
        <w:t xml:space="preserve">, </w:t>
      </w:r>
      <w:r>
        <w:rPr>
          <w:rtl w:val="true"/>
        </w:rPr>
        <w:t>הוגשה לבית המשפט המחוזי בקשה מטעם גורם חיצוני להליך – שבה נחשף מידע מפורט על הרשעת המערער בתיק האחר</w:t>
      </w:r>
      <w:r>
        <w:rPr>
          <w:rtl w:val="true"/>
        </w:rPr>
        <w:t xml:space="preserve">, </w:t>
      </w:r>
      <w:r>
        <w:rPr>
          <w:rtl w:val="true"/>
        </w:rPr>
        <w:t>תוך פירוט האישומים והעונש שנגזר עליו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 ביחס לחשיפ</w:t>
      </w:r>
      <w:r>
        <w:rPr>
          <w:rtl w:val="true"/>
        </w:rPr>
        <w:t>ה</w:t>
      </w:r>
      <w:r>
        <w:rPr>
          <w:rtl w:val="true"/>
        </w:rPr>
        <w:t xml:space="preserve"> למידע זה – לא נפל כל פגם בהתנהלות בית המשפט המחוזי</w:t>
      </w:r>
      <w:r>
        <w:rPr>
          <w:rtl w:val="true"/>
        </w:rPr>
        <w:t xml:space="preserve">. </w:t>
      </w:r>
      <w:r>
        <w:rPr>
          <w:rtl w:val="true"/>
        </w:rPr>
        <w:t>מיד לאחר הגשת הבקשה</w:t>
      </w:r>
      <w:r>
        <w:rPr>
          <w:rtl w:val="true"/>
        </w:rPr>
        <w:t xml:space="preserve">, </w:t>
      </w:r>
      <w:r>
        <w:rPr>
          <w:rtl w:val="true"/>
        </w:rPr>
        <w:t>עצר בית המשפט את חקירת העדים</w:t>
      </w:r>
      <w:r>
        <w:rPr>
          <w:rtl w:val="true"/>
        </w:rPr>
        <w:t xml:space="preserve">, </w:t>
      </w:r>
      <w:r>
        <w:rPr>
          <w:rtl w:val="true"/>
        </w:rPr>
        <w:t>הודיע לב</w:t>
      </w:r>
      <w:r>
        <w:rPr>
          <w:rtl w:val="true"/>
        </w:rPr>
        <w:t>"</w:t>
      </w:r>
      <w:r>
        <w:rPr>
          <w:rtl w:val="true"/>
        </w:rPr>
        <w:t>כ הצדדים על דבר קיומה של הבקשה</w:t>
      </w:r>
      <w:r>
        <w:rPr>
          <w:rtl w:val="true"/>
        </w:rPr>
        <w:t xml:space="preserve">, </w:t>
      </w:r>
      <w:r>
        <w:rPr>
          <w:rtl w:val="true"/>
        </w:rPr>
        <w:t xml:space="preserve">פירט לפניהם את </w:t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 xml:space="preserve">ר </w:t>
      </w:r>
      <w:r>
        <w:rPr>
          <w:rtl w:val="true"/>
        </w:rPr>
        <w:t>נכתב בה – והבהיר להם כי אם ברצונם להגיש בקשה לפסילת המותב – פתוחה לפניהם הדרך לעשות כן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באותו שלב</w:t>
      </w:r>
      <w:r>
        <w:rPr>
          <w:rtl w:val="true"/>
        </w:rPr>
        <w:t xml:space="preserve">, </w:t>
      </w:r>
      <w:r>
        <w:rPr>
          <w:rtl w:val="true"/>
        </w:rPr>
        <w:t xml:space="preserve">בחר המערער להותיר את הסוגיה לשיקול דעתו של בית המשפט המחוזי </w:t>
      </w:r>
      <w:r>
        <w:rPr>
          <w:rtl w:val="true"/>
        </w:rPr>
        <w:t>(</w:t>
      </w:r>
      <w:r>
        <w:rPr>
          <w:rtl w:val="true"/>
        </w:rPr>
        <w:t xml:space="preserve">עמודים </w:t>
      </w:r>
      <w:r>
        <w:rPr/>
        <w:t>235-233</w:t>
      </w:r>
      <w:r>
        <w:rPr>
          <w:rtl w:val="true"/>
        </w:rPr>
        <w:t xml:space="preserve"> </w:t>
      </w:r>
      <w:r>
        <w:rPr>
          <w:rtl w:val="true"/>
        </w:rPr>
        <w:t>לפרוטוקול הדיון</w:t>
      </w:r>
      <w:r>
        <w:rPr>
          <w:rtl w:val="true"/>
        </w:rPr>
        <w:t xml:space="preserve">), </w:t>
      </w:r>
      <w:r>
        <w:rPr>
          <w:rtl w:val="true"/>
        </w:rPr>
        <w:t>באופן שאינו מתיישב עם טענותיו עתה</w:t>
      </w:r>
      <w:r>
        <w:rPr>
          <w:rtl w:val="true"/>
        </w:rPr>
        <w:t xml:space="preserve">, </w:t>
      </w:r>
      <w:r>
        <w:rPr>
          <w:rtl w:val="true"/>
        </w:rPr>
        <w:t>בשלב הערעור</w:t>
      </w:r>
      <w:r>
        <w:rPr>
          <w:rtl w:val="true"/>
        </w:rPr>
        <w:t xml:space="preserve">, </w:t>
      </w:r>
      <w:r>
        <w:rPr>
          <w:rtl w:val="true"/>
        </w:rPr>
        <w:t>נגד חש</w:t>
      </w:r>
      <w:r>
        <w:rPr>
          <w:rtl w:val="true"/>
        </w:rPr>
        <w:t>י</w:t>
      </w:r>
      <w:r>
        <w:rPr>
          <w:rtl w:val="true"/>
        </w:rPr>
        <w:t>פת בית המשפט המחוזי למידע האמור</w:t>
      </w:r>
      <w:r>
        <w:rPr>
          <w:rtl w:val="true"/>
        </w:rPr>
        <w:t xml:space="preserve">. </w:t>
      </w:r>
      <w:r>
        <w:rPr>
          <w:rtl w:val="true"/>
        </w:rPr>
        <w:t>עוד יצוין</w:t>
      </w:r>
      <w:r>
        <w:rPr>
          <w:rtl w:val="true"/>
        </w:rPr>
        <w:t xml:space="preserve">, </w:t>
      </w:r>
      <w:r>
        <w:rPr>
          <w:rtl w:val="true"/>
        </w:rPr>
        <w:t>כי במקום אחר הבהיר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הוא עושה מאמצים שלא לשמוע מידע נוסף על העניין</w:t>
      </w:r>
      <w:r>
        <w:rPr>
          <w:rtl w:val="true"/>
        </w:rPr>
        <w:t xml:space="preserve">, </w:t>
      </w:r>
      <w:r>
        <w:rPr>
          <w:rtl w:val="true"/>
        </w:rPr>
        <w:t>וכי ימנע מל</w:t>
      </w:r>
      <w:r>
        <w:rPr>
          <w:rtl w:val="true"/>
        </w:rPr>
        <w:t xml:space="preserve">ייחס </w:t>
      </w:r>
      <w:r>
        <w:rPr>
          <w:rtl w:val="true"/>
        </w:rPr>
        <w:t xml:space="preserve">לו משקל בהכרעתו </w:t>
      </w:r>
      <w:r>
        <w:rPr>
          <w:rtl w:val="true"/>
        </w:rPr>
        <w:t>(</w:t>
      </w:r>
      <w:r>
        <w:rPr>
          <w:rtl w:val="true"/>
        </w:rPr>
        <w:t xml:space="preserve">עמודים </w:t>
      </w:r>
      <w:r>
        <w:rPr/>
        <w:t>44</w:t>
      </w:r>
      <w:r>
        <w:rPr/>
        <w:t>5</w:t>
      </w:r>
      <w:r>
        <w:rPr/>
        <w:t>-44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לפרוטוקול הדיון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המערער עצמו טוען</w:t>
      </w:r>
      <w:r>
        <w:rPr>
          <w:rtl w:val="true"/>
        </w:rPr>
        <w:t xml:space="preserve">, </w:t>
      </w:r>
      <w:r>
        <w:rPr>
          <w:rtl w:val="true"/>
        </w:rPr>
        <w:t>כי ניתן היה לרפא קושי זה</w:t>
      </w:r>
      <w:r>
        <w:rPr>
          <w:rtl w:val="true"/>
        </w:rPr>
        <w:t xml:space="preserve">, </w:t>
      </w:r>
      <w:r>
        <w:rPr>
          <w:rtl w:val="true"/>
        </w:rPr>
        <w:t xml:space="preserve">באמצעות </w:t>
      </w:r>
      <w:r>
        <w:rPr>
          <w:rtl w:val="true"/>
        </w:rPr>
        <w:t>'</w:t>
      </w:r>
      <w:r>
        <w:rPr>
          <w:rtl w:val="true"/>
        </w:rPr>
        <w:t>אזהרה עצמית</w:t>
      </w:r>
      <w:r>
        <w:rPr>
          <w:rtl w:val="true"/>
        </w:rPr>
        <w:t xml:space="preserve">' </w:t>
      </w:r>
      <w:r>
        <w:rPr>
          <w:rtl w:val="true"/>
        </w:rPr>
        <w:t>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במסגרת הכרעת הדין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ומזהיר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השפעתה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שלטענת המערער</w:t>
      </w:r>
      <w:r>
        <w:rPr>
          <w:rtl w:val="true"/>
        </w:rPr>
        <w:t xml:space="preserve">, </w:t>
      </w:r>
      <w:r>
        <w:rPr>
          <w:rtl w:val="true"/>
        </w:rPr>
        <w:t>אזהרה כזו אינה בנמצא</w:t>
      </w:r>
      <w:r>
        <w:rPr>
          <w:rtl w:val="true"/>
        </w:rPr>
        <w:t xml:space="preserve">: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למשמעות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חשיפתו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דרמטית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אזהרה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נחשף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טענה זו אינה מדויקת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 xml:space="preserve">, </w:t>
      </w:r>
      <w:r>
        <w:rPr>
          <w:rtl w:val="true"/>
        </w:rPr>
        <w:t>שכן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כלל בית המשפט המחוזי </w:t>
      </w:r>
      <w:r>
        <w:rPr>
          <w:rtl w:val="true"/>
        </w:rPr>
        <w:t>'</w:t>
      </w:r>
      <w:r>
        <w:rPr>
          <w:rtl w:val="true"/>
        </w:rPr>
        <w:t>אזהרה עצמית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באופן מפורש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יבהיר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ביהמ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שהוצג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לביהמ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שהגיש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המייצג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מפנה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לכמה וכמה התייחסויות נקודתיות</w:t>
      </w:r>
      <w:r>
        <w:rPr>
          <w:rtl w:val="true"/>
        </w:rPr>
        <w:t xml:space="preserve">, </w:t>
      </w:r>
      <w:r>
        <w:rPr>
          <w:rtl w:val="true"/>
        </w:rPr>
        <w:t xml:space="preserve">אשר מעידות לשיטתו על כך שבית המשפט בחן את גרסאות ההגנה והתביעה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בעייתית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מגמתית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וטאוטולוגית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בטענותיו אלה</w:t>
      </w:r>
      <w:r>
        <w:rPr>
          <w:rtl w:val="true"/>
        </w:rPr>
        <w:t xml:space="preserve">, </w:t>
      </w:r>
      <w:r>
        <w:rPr>
          <w:rtl w:val="true"/>
        </w:rPr>
        <w:t>מבקש המערער להטיל ספק בהכרעות המהימנות הקונקרטיות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כפי ש</w:t>
      </w:r>
      <w:r>
        <w:rPr>
          <w:rtl w:val="true"/>
        </w:rPr>
        <w:t>ציינ</w:t>
      </w:r>
      <w:r>
        <w:rPr>
          <w:rtl w:val="true"/>
        </w:rPr>
        <w:t>תי בראשית דברַי – אין בכוונתי להידרש אליהן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דין טענות המערער ביחס להכרעת הדין – להידחות כולן</w:t>
      </w:r>
      <w:r>
        <w:rPr>
          <w:rtl w:val="true"/>
        </w:rPr>
        <w:t xml:space="preserve">. </w:t>
      </w:r>
      <w:r>
        <w:rPr>
          <w:rtl w:val="true"/>
        </w:rPr>
        <w:t>הכרעת הדין של בית המשפט המחוזי – נימוק</w:t>
      </w:r>
      <w:r>
        <w:rPr>
          <w:rtl w:val="true"/>
        </w:rPr>
        <w:t>י</w:t>
      </w:r>
      <w:r>
        <w:rPr>
          <w:rtl w:val="true"/>
        </w:rPr>
        <w:t>ה עמה</w:t>
      </w:r>
      <w:r>
        <w:rPr>
          <w:rtl w:val="true"/>
        </w:rPr>
        <w:t xml:space="preserve">; </w:t>
      </w:r>
      <w:r>
        <w:rPr>
          <w:rtl w:val="true"/>
        </w:rPr>
        <w:t>היא מבוססת היטב על חומר הראיות</w:t>
      </w:r>
      <w:r>
        <w:rPr>
          <w:rtl w:val="true"/>
        </w:rPr>
        <w:t xml:space="preserve">, </w:t>
      </w:r>
      <w:r>
        <w:rPr>
          <w:rtl w:val="true"/>
        </w:rPr>
        <w:t>ולא נפל בה פגם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מצאתי טעם טוב להתערב 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מן המפורסמות</w:t>
      </w:r>
      <w:r>
        <w:rPr>
          <w:rtl w:val="true"/>
        </w:rPr>
        <w:t xml:space="preserve">, </w:t>
      </w:r>
      <w:r>
        <w:rPr>
          <w:rtl w:val="true"/>
        </w:rPr>
        <w:t>כי מידת ההתערבות של ערכאת הערעור בגזר הדין – מצומצמת עד מאוד</w:t>
      </w:r>
      <w:r>
        <w:rPr>
          <w:rtl w:val="true"/>
        </w:rPr>
        <w:t xml:space="preserve">, </w:t>
      </w:r>
      <w:r>
        <w:rPr>
          <w:rtl w:val="true"/>
        </w:rPr>
        <w:t>והיא שמורה אך למקרים שבהם מתברר כי נפלה טעות מהותית בהחלטת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או שנקבע עונש החורג באופן קיצוני ממדיניות הענישה הנוהגת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3.2.1998</w:t>
      </w:r>
      <w:r>
        <w:rPr>
          <w:rtl w:val="true"/>
        </w:rPr>
        <w:t xml:space="preserve">);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)). </w:t>
      </w:r>
      <w:r>
        <w:rPr>
          <w:rtl w:val="true"/>
        </w:rPr>
        <w:t>העניין שלפנינו אינו בא בגדר אותם מקרים חריגים</w:t>
      </w:r>
      <w:r>
        <w:rPr>
          <w:rtl w:val="true"/>
        </w:rPr>
        <w:t xml:space="preserve">; </w:t>
      </w:r>
      <w:r>
        <w:rPr>
          <w:rtl w:val="true"/>
        </w:rPr>
        <w:t>לא לקולא ולא לחומרא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המחוזי פרשׂ יריעה רחבה</w:t>
      </w:r>
      <w:r>
        <w:rPr>
          <w:rtl w:val="true"/>
        </w:rPr>
        <w:t xml:space="preserve">, </w:t>
      </w:r>
      <w:r>
        <w:rPr>
          <w:rtl w:val="true"/>
        </w:rPr>
        <w:t>הן ביחס למדיניות הענישה הנהוגה במקרים כגון דא</w:t>
      </w:r>
      <w:r>
        <w:rPr>
          <w:rtl w:val="true"/>
        </w:rPr>
        <w:t xml:space="preserve">, </w:t>
      </w:r>
      <w:r>
        <w:rPr>
          <w:rtl w:val="true"/>
        </w:rPr>
        <w:t>הן ביחס לד</w:t>
      </w:r>
      <w:r>
        <w:rPr>
          <w:rtl w:val="true"/>
        </w:rPr>
        <w:t xml:space="preserve">' </w:t>
      </w:r>
      <w:r>
        <w:rPr>
          <w:rtl w:val="true"/>
        </w:rPr>
        <w:t>אמותיה הייחודיות של הפרשה הקשה והמטלטלת שהונחה לפניו</w:t>
      </w:r>
      <w:r>
        <w:rPr>
          <w:rtl w:val="true"/>
        </w:rPr>
        <w:t xml:space="preserve">. </w:t>
      </w:r>
      <w:r>
        <w:rPr>
          <w:rtl w:val="true"/>
        </w:rPr>
        <w:t>העונש שנגזר</w:t>
      </w:r>
      <w:r>
        <w:rPr>
          <w:rtl w:val="true"/>
        </w:rPr>
        <w:t xml:space="preserve">, </w:t>
      </w:r>
      <w:r>
        <w:rPr>
          <w:rtl w:val="true"/>
        </w:rPr>
        <w:t>ממוקם בחלקם התחתון של מתחמי הענישה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החלטתו לקבוע מתחמי ענישה נפרדים</w:t>
      </w:r>
      <w:r>
        <w:rPr>
          <w:rtl w:val="true"/>
        </w:rPr>
        <w:t xml:space="preserve">, </w:t>
      </w:r>
      <w:r>
        <w:rPr>
          <w:rtl w:val="true"/>
        </w:rPr>
        <w:t>כמו גם החלטתו להימנע מלנכות את ימי המעצר מן העונש – מנומקות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מפורטות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נתונות לסמכותה המלאה של הערכאה 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ועולות בקנה אחד עם הדין הנוהג במקרים כאלה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החלטנו לדחות את ערעור המערער</w:t>
      </w:r>
      <w:r>
        <w:rPr>
          <w:rtl w:val="true"/>
        </w:rPr>
        <w:t xml:space="preserve"> על גזר הדין</w:t>
      </w:r>
      <w:r>
        <w:rPr>
          <w:rtl w:val="true"/>
        </w:rPr>
        <w:t xml:space="preserve">. </w:t>
      </w:r>
      <w:r>
        <w:rPr>
          <w:rtl w:val="true"/>
        </w:rPr>
        <w:t>החלטנו גם</w:t>
      </w:r>
      <w:r>
        <w:rPr>
          <w:rtl w:val="true"/>
        </w:rPr>
        <w:t xml:space="preserve">, </w:t>
      </w:r>
      <w:r>
        <w:rPr>
          <w:rtl w:val="true"/>
        </w:rPr>
        <w:t>לא בלי התלבטות</w:t>
      </w:r>
      <w:r>
        <w:rPr>
          <w:rtl w:val="true"/>
        </w:rPr>
        <w:t xml:space="preserve">, </w:t>
      </w:r>
      <w:r>
        <w:rPr>
          <w:rtl w:val="true"/>
        </w:rPr>
        <w:t>לדחות את ערעור המשיבה על קולת העונש</w:t>
      </w:r>
      <w:r>
        <w:rPr>
          <w:rtl w:val="true"/>
        </w:rPr>
        <w:t xml:space="preserve">. </w:t>
      </w:r>
      <w:r>
        <w:rPr>
          <w:rtl w:val="true"/>
        </w:rPr>
        <w:t>לא נכחד</w:t>
      </w:r>
      <w:r>
        <w:rPr>
          <w:rtl w:val="true"/>
        </w:rPr>
        <w:t xml:space="preserve">, </w:t>
      </w:r>
      <w:r>
        <w:rPr>
          <w:rtl w:val="true"/>
        </w:rPr>
        <w:t>ביחס לחומרת העבירות שבוצעו</w:t>
      </w:r>
      <w:r>
        <w:rPr>
          <w:rtl w:val="true"/>
        </w:rPr>
        <w:t xml:space="preserve">, </w:t>
      </w:r>
      <w:r>
        <w:rPr>
          <w:rtl w:val="true"/>
        </w:rPr>
        <w:t>סברנו גם אנחנו כי נכון היה להחמיר בעונשו של המערער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העונש שגזר בית המשפט המחוזי</w:t>
      </w:r>
      <w:r>
        <w:rPr>
          <w:rtl w:val="true"/>
        </w:rPr>
        <w:t xml:space="preserve">, </w:t>
      </w:r>
      <w:r>
        <w:rPr>
          <w:rtl w:val="true"/>
        </w:rPr>
        <w:t>כבד כשלעצמו</w:t>
      </w:r>
      <w:r>
        <w:rPr>
          <w:rtl w:val="true"/>
        </w:rPr>
        <w:t xml:space="preserve">, </w:t>
      </w:r>
      <w:r>
        <w:rPr>
          <w:rtl w:val="true"/>
        </w:rPr>
        <w:t>גם הוא נטוע היטב בגבולות שיקול הדעת הלגיטימי של הערכאה הדיונית</w:t>
      </w:r>
      <w:r>
        <w:rPr>
          <w:rFonts w:cs="Century" w:ascii="Century" w:hAnsi="Century"/>
          <w:sz w:val="28"/>
          <w:rtl w:val="true"/>
        </w:rPr>
        <w:t xml:space="preserve">; </w:t>
      </w:r>
      <w:r>
        <w:rPr>
          <w:rFonts w:ascii="Century" w:hAnsi="Century" w:cs="Century"/>
          <w:sz w:val="28"/>
          <w:sz w:val="28"/>
          <w:rtl w:val="true"/>
        </w:rPr>
        <w:t>בנסיבות אלו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אין מקום אפוא להתערבותנו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הן הכרעת הדין</w:t>
      </w:r>
      <w:r>
        <w:rPr>
          <w:rtl w:val="true"/>
        </w:rPr>
        <w:t xml:space="preserve">, </w:t>
      </w:r>
      <w:r>
        <w:rPr>
          <w:rtl w:val="true"/>
        </w:rPr>
        <w:t>הן גזר הדין – מנומקים ומפורטים</w:t>
      </w:r>
      <w:r>
        <w:rPr>
          <w:rtl w:val="true"/>
        </w:rPr>
        <w:t xml:space="preserve">. </w:t>
      </w:r>
      <w:r>
        <w:rPr>
          <w:rtl w:val="true"/>
        </w:rPr>
        <w:t>השיקולים הרלבנטיים – הובאו כולם בחשבון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אל לנו להתערב בשיקול דעתו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</w:t>
      </w:r>
      <w:r>
        <w:rPr>
          <w:rtl w:val="true"/>
        </w:rPr>
        <w:t>רות</w:t>
      </w:r>
      <w:r>
        <w:rPr>
          <w:rtl w:val="true"/>
        </w:rPr>
        <w:t>י לדחות את הערעור</w:t>
      </w:r>
      <w:r>
        <w:rPr>
          <w:rtl w:val="true"/>
        </w:rPr>
        <w:t>ים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BODYVERDIC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BODYVERDICT"/>
        <w:ind w:firstLine="720" w:end="0"/>
        <w:jc w:val="start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BODYVERDICT"/>
        <w:ind w:firstLine="720" w:end="0"/>
        <w:jc w:val="start"/>
        <w:rPr/>
      </w:pPr>
      <w:r>
        <w:rPr>
          <w:rtl w:val="true"/>
        </w:rPr>
      </w:r>
    </w:p>
    <w:p>
      <w:pPr>
        <w:pStyle w:val="BODYVERDICT"/>
        <w:ind w:firstLine="720"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BODYVERDICT"/>
        <w:ind w:firstLine="720"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tl w:val="true"/>
        </w:rPr>
        <w:t>:</w:t>
      </w:r>
    </w:p>
    <w:p>
      <w:pPr>
        <w:pStyle w:val="BODYVERDIC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BODYVERDIC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spacing w:lineRule="auto" w:line="240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BODYVERDIC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BODYVERDIC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25.4.2022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19048240</w:t>
      </w:r>
      <w:r>
        <w:rPr>
          <w:sz w:val="16"/>
          <w:rtl w:val="true"/>
        </w:rPr>
        <w:t>_</w:t>
      </w:r>
      <w:r>
        <w:rPr>
          <w:sz w:val="16"/>
        </w:rPr>
        <w:t>O11.docx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54678313-4824/19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4824/19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7187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jc.b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98569/53" TargetMode="External"/><Relationship Id="rId7" Type="http://schemas.openxmlformats.org/officeDocument/2006/relationships/hyperlink" Target="http://www.nevo.co.il/case/26019030" TargetMode="External"/><Relationship Id="rId8" Type="http://schemas.openxmlformats.org/officeDocument/2006/relationships/hyperlink" Target="http://www.nevo.co.il/law/98569/53" TargetMode="External"/><Relationship Id="rId9" Type="http://schemas.openxmlformats.org/officeDocument/2006/relationships/hyperlink" Target="http://www.nevo.co.il/law/98569" TargetMode="External"/><Relationship Id="rId10" Type="http://schemas.openxmlformats.org/officeDocument/2006/relationships/hyperlink" Target="http://www.nevo.co.il/case/20371879" TargetMode="External"/><Relationship Id="rId11" Type="http://schemas.openxmlformats.org/officeDocument/2006/relationships/hyperlink" Target="http://www.nevo.co.il/law/70301/40jc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198659" TargetMode="External"/><Relationship Id="rId14" Type="http://schemas.openxmlformats.org/officeDocument/2006/relationships/hyperlink" Target="http://www.nevo.co.il/case/5573732" TargetMode="External"/><Relationship Id="rId15" Type="http://schemas.openxmlformats.org/officeDocument/2006/relationships/hyperlink" Target="http://www.nevo.co.il/law/98569/53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case/6002494" TargetMode="External"/><Relationship Id="rId18" Type="http://schemas.openxmlformats.org/officeDocument/2006/relationships/hyperlink" Target="http://www.nevo.co.il/case/5755866" TargetMode="External"/><Relationship Id="rId19" Type="http://schemas.openxmlformats.org/officeDocument/2006/relationships/hyperlink" Target="http://www.nevo.co.il/case/5875466" TargetMode="External"/><Relationship Id="rId20" Type="http://schemas.openxmlformats.org/officeDocument/2006/relationships/hyperlink" Target="https://supreme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2022-05-15T08:06:00Z</dcterms:created>
  <dc:creator>h4</dc:creator>
  <dc:description/>
  <cp:keywords/>
  <dc:language>en-IL</dc:language>
  <cp:lastModifiedBy>hofit</cp:lastModifiedBy>
  <cp:lastPrinted>2022-04-25T10:01:00Z</cp:lastPrinted>
  <dcterms:modified xsi:type="dcterms:W3CDTF">2022-05-15T08:06:00Z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20371879:2;6198659;5573732;6002494;5755866;5875466</vt:lpwstr>
  </property>
  <property fmtid="{D5CDD505-2E9C-101B-9397-08002B2CF9AE}" pid="9" name="CITY">
    <vt:lpwstr/>
  </property>
  <property fmtid="{D5CDD505-2E9C-101B-9397-08002B2CF9AE}" pid="10" name="DATE">
    <vt:lpwstr>20220425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וילנר;ג' כנפי שטייניץ</vt:lpwstr>
  </property>
  <property fmtid="{D5CDD505-2E9C-101B-9397-08002B2CF9AE}" pid="14" name="LAWLISTTMP1">
    <vt:lpwstr>70301/40jc.b</vt:lpwstr>
  </property>
  <property fmtid="{D5CDD505-2E9C-101B-9397-08002B2CF9AE}" pid="15" name="LAWLISTTMP2">
    <vt:lpwstr>98569/053</vt:lpwstr>
  </property>
  <property fmtid="{D5CDD505-2E9C-101B-9397-08002B2CF9AE}" pid="16" name="LAWYER">
    <vt:lpwstr>יאיר חמודות;טלי גוטליב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>ראיות</vt:lpwstr>
  </property>
  <property fmtid="{D5CDD505-2E9C-101B-9397-08002B2CF9AE}" pid="30" name="NOSE13">
    <vt:lpwstr>דיון פלילי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89;89;18;77</vt:lpwstr>
  </property>
  <property fmtid="{D5CDD505-2E9C-101B-9397-08002B2CF9AE}" pid="38" name="NOSE21">
    <vt:lpwstr>מהימנות</vt:lpwstr>
  </property>
  <property fmtid="{D5CDD505-2E9C-101B-9397-08002B2CF9AE}" pid="39" name="NOSE210">
    <vt:lpwstr/>
  </property>
  <property fmtid="{D5CDD505-2E9C-101B-9397-08002B2CF9AE}" pid="40" name="NOSE22">
    <vt:lpwstr>עדות</vt:lpwstr>
  </property>
  <property fmtid="{D5CDD505-2E9C-101B-9397-08002B2CF9AE}" pid="41" name="NOSE23">
    <vt:lpwstr>ערעור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1635;1654;504;1446</vt:lpwstr>
  </property>
  <property fmtid="{D5CDD505-2E9C-101B-9397-08002B2CF9AE}" pid="49" name="NOSE31">
    <vt:lpwstr>בחינתה על-ידי ערכאת הערעור</vt:lpwstr>
  </property>
  <property fmtid="{D5CDD505-2E9C-101B-9397-08002B2CF9AE}" pid="50" name="NOSE310">
    <vt:lpwstr/>
  </property>
  <property fmtid="{D5CDD505-2E9C-101B-9397-08002B2CF9AE}" pid="51" name="NOSE32">
    <vt:lpwstr>קורבן עבירת מין</vt:lpwstr>
  </property>
  <property fmtid="{D5CDD505-2E9C-101B-9397-08002B2CF9AE}" pid="52" name="NOSE33">
    <vt:lpwstr>אי-התערבות במידת העונש</vt:lpwstr>
  </property>
  <property fmtid="{D5CDD505-2E9C-101B-9397-08002B2CF9AE}" pid="53" name="NOSE34">
    <vt:lpwstr>מדיניות ענישה: עבירות מין בקטינים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10196;12270;17039;16970</vt:lpwstr>
  </property>
  <property fmtid="{D5CDD505-2E9C-101B-9397-08002B2CF9AE}" pid="60" name="PADIDATE">
    <vt:lpwstr>20220426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4824;5850</vt:lpwstr>
  </property>
  <property fmtid="{D5CDD505-2E9C-101B-9397-08002B2CF9AE}" pid="66" name="PROCYEAR">
    <vt:lpwstr>19;19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410120220425</vt:lpwstr>
  </property>
  <property fmtid="{D5CDD505-2E9C-101B-9397-08002B2CF9AE}" pid="70" name="TYPE_N_DATE">
    <vt:lpwstr>41020220425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