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4907/23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4915/23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4955/23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4907/23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4955/23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4955/23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4907/23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4915/23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4955/23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7016-12-21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14.05.2023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11.12.2023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4907/23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4915/23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4955/23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שהם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4915/23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4907/23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רבאח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4955/23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4907/23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אנדרה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רוזנטל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חדאד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37</w:t>
        </w:r>
      </w:hyperlink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Start w:id="10" w:name="_Hlk154565468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*</w:t>
      </w:r>
      <w:r>
        <w:rPr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להחמיר בעונשם של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הורשעו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הודאתם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 של ניסיון הצתה בנסיבה של 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לייחס חשיבות לכך שמעשי המשיבים בוצעו בעודם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להודאתם ולהבעת החרטה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מבלי להפחית מחשיבותם של אלו – אין בהם כדי לצמצם במידה כה רבה את חומרת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גילם הצעיר של המשיבים אינו יכול להקנות להם חסינות וכך גם לא העובדה שאין לחובתם הרשעות קודמות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שמטרתן לפגוע ביהודים ולקעקע את ביטחונם האישי בביתם שאמור להיות מבצרם ולשמש להם עוגן לביטחון אישי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 לנו להעביר את המסר כי בתי המשפט יחוסו על אותם נערים שיזמו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תכננו והוציאו אל הפועל את אותן העבירות שמסוכנותן אינה מוטלת בספק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בקבוקי תבערה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 על רקע לאומני‏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061" w:leader="none"/>
        </w:tabs>
        <w:overflowPunct w:val="true"/>
        <w:autoSpaceDE w:val="true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061" w:leader="none"/>
        </w:tabs>
        <w:overflowPunct w:val="true"/>
        <w:autoSpaceDE w:val="true"/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בשבתו כבימ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לנוער נגזר על המשיב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ועל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 עונש של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 לשניהם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בגין הרשעתם בעבירה של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השלכת בקבוקי תבערה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שמתגוררים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יהודים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על יסוד הודאתם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מערערת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 מערערים על חומרתו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ערעור המדינה ודחה את ערעור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baseline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תיטה שלא להתערב בעונש שהושת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בהם ניכרת חריגה ממשית מרמת הענישה הנוהגת או הראויה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על פני הדברים טעות מהותית ובולטת בפסק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עניינם של המשיבים הוא בגדר חריגים לכלל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בחינת העונש שנגזר על המשיבים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בהתייחס לחומרת מעשיהם והסכנה הגלומה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נסיבותיהם הפרטניות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חוק הנוער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שפיטה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 ודרכי טיפול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ומנגד – הכפלת הענישה על עבירות 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שקבע המחוקק בחוק המאבק בטרור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מעלה כי גזרי הדין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מקלים עם שניהם באופן המצדיק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המשיבים חברו יחדיו עם אחר על מנת להצית את ביתו של 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ממניע אידאולוגי לאומני מובהק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ידיעה כי בשעות הבוקר המוקדמות ישהו דיירים בבית עת מתחילה שגרת יומם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בתכנון בקפידה שמטרתו לפגוע ביהודים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 בחנו את שטח הבית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ערכו עליו תצפית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המשיב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החליף את בגדיו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עטו על פניהם רעלות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שלא יזהו אותם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ולאחר מכן הוציאו את תכניתם אל הפועל והשליכו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בקבוקי תבערה בו בזמן בצוותא חדא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בקבוקי תבערה חצו את גדר הבית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אחד נפל בסמוך לדלת הבית והשלישי התלקח בחצר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 אלה יש בהם סכנת חיים ונזק רב שיש ליתן לו משקל בעת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בנוסף לנזק הנפשי שנגרם לנפגע העבירה ופגיעה בביטחונם האישי של דיירי הבית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שב ועמד על חומרתן של עבירות המבוצעות ממניע לאומני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הגולשות לא אחת להתפרצויות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זורות אימה בקרב הציבור ופוגעות בשלטון החוק והסדר הציבורי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פגיעת המשיבים בערכים המוגנים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בכלל זה שמירה על שלמות החיים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 והגוף מתוך מניע אידאולוגי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לאומני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מהווה מעשה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בהתאם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לסעיף </w:t>
      </w:r>
      <w:r>
        <w:rPr>
          <w:rFonts w:cs="Times New Roman" w:ascii="Times New Roman" w:hAnsi="Times New Roman"/>
          <w:spacing w:val="0"/>
          <w:szCs w:val="26"/>
        </w:rPr>
        <w:t>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המאבק בטרור לפיו העונש הנגזר בגין העבירה יוכפל עד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מנת שחומרת המעשים תבוא לידי תוצאה עונשית ויינתן ביטוי הולם לשיקולי ההרתעה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להחמיר בעונשי שני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וגילם הצעיר בעת ביצוע העבירות אינו יכול להוות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כסות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אל מול חומרת העבירות שביצעו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במילים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לייחס חשיבות לכך שמעשי שני המשיבים בוצעו בעודם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הודאתם והבעת החרטה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מבלי להפחית מחשיבותם של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בהם כדי לצמצם במידה כה רבה את חומרת מעשיהם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גילם אינו יכול להקנות להם חסינות וכך גם לא העובדה שאין לחובתם הרשעות קודמות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חישוב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בפיקוח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אלקטרוני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המיוחדות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ובסיכויי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בהכרעת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המשלימה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בציון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בפיקוח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וממילא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בהתייחס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לתסקירי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ומורדות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מהמסגרות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שיתף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ובחלקן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לבסוף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החליט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מעוניין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האחרון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בהמלצה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מתרשם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הטיפולית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שנעשתה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ניצל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התוכנית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בצורה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וביקש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לתסקיר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המליץ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לפנים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משורת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במקביל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וממילא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בהמלצה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הפלסטינים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ממזרח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ירושלים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כשהנער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משתף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הגורמים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הטיפוליים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גדולה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ללקיחת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נרחב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ורצון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ומוטיבציה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להשתקם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ושנשקלו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תכלית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ההרתעה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כהגדרתו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ייחודן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ונפיצותן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האחרונה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הדגשה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תכלית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ההרתעה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הגמול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פלסטינים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ממזרח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ירושלים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יימנע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מלהטיל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שצוין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לאומני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ואידאולוגי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שבהחלט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חשובים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ונשקלים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נסוגים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Cs w:val="26"/>
        </w:rPr>
        <w:t>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המאבק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בטרור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וטראגית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נעלמה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מעיני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מתגורר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המצב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מיידים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ובקבוקי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תבערה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ונורמאלי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שמטרתן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ביהודים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ולקעקע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ביטחונם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מבצרם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ולשמש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עוגן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להעביר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ההפוך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יחוסו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שיזמו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תכננו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והוציאו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שמסוכנותן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מוטלת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שהגיעו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לפתח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הוחמר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יירתעו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ויידעו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ייתפסו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ויורשעו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גילם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מטרתו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להבטיח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שוויון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שפשעו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יחדיו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למנוע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שרירות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הרלוונטיים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שותפם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והעמדתו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להעמיד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יוותרו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bookmarkEnd w:id="10"/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7" w:name="Start_Write"/>
      <w:bookmarkStart w:id="18" w:name="Start_Write"/>
      <w:bookmarkEnd w:id="18"/>
    </w:p>
    <w:p>
      <w:pPr>
        <w:pStyle w:val="Normal"/>
        <w:overflowPunct w:val="true"/>
        <w:autoSpaceDE w:val="true"/>
        <w:ind w:end="0"/>
        <w:jc w:val="start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</w:p>
    <w:p>
      <w:pPr>
        <w:pStyle w:val="Ruller41"/>
        <w:numPr>
          <w:ilvl w:val="0"/>
          <w:numId w:val="3"/>
        </w:numPr>
        <w:tabs>
          <w:tab w:val="clear" w:pos="720"/>
          <w:tab w:val="left" w:pos="3061" w:leader="none"/>
        </w:tabs>
        <w:overflowPunct w:val="true"/>
        <w:autoSpaceDE w:val="true"/>
        <w:ind w:hanging="0" w:start="0" w:end="0"/>
        <w:jc w:val="both"/>
        <w:rPr/>
      </w:pPr>
      <w:r>
        <w:rPr>
          <w:rFonts w:ascii="FrankRuehl" w:hAnsi="FrankRuehl" w:cs="FrankRuehl"/>
          <w:sz w:val="28"/>
          <w:sz w:val="28"/>
          <w:rtl w:val="true"/>
        </w:rPr>
        <w:t xml:space="preserve">לפנינו </w:t>
      </w:r>
      <w:r>
        <w:rPr>
          <w:rFonts w:ascii="FrankRuehl" w:hAnsi="FrankRuehl" w:cs="FrankRuehl"/>
          <w:sz w:val="28"/>
          <w:sz w:val="28"/>
          <w:rtl w:val="true"/>
        </w:rPr>
        <w:t xml:space="preserve">ערעורים </w:t>
      </w:r>
      <w:r>
        <w:rPr>
          <w:rFonts w:ascii="FrankRuehl" w:hAnsi="FrankRuehl" w:cs="FrankRuehl"/>
          <w:sz w:val="28"/>
          <w:sz w:val="28"/>
          <w:rtl w:val="true"/>
        </w:rPr>
        <w:t>על גזר דינו של</w:t>
      </w:r>
      <w:r>
        <w:rPr>
          <w:rtl w:val="true"/>
        </w:rPr>
        <w:t xml:space="preserve"> בית המשפט המחוזי בירושלים בשבתו כבית משפט לנוער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לומפ</w:t>
      </w:r>
      <w:r>
        <w:rPr>
          <w:rtl w:val="true"/>
        </w:rPr>
        <w:t xml:space="preserve">)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7016-12-21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1.5.2023</w:t>
      </w:r>
      <w:r>
        <w:rPr>
          <w:rtl w:val="true"/>
        </w:rPr>
        <w:t xml:space="preserve">, </w:t>
      </w:r>
      <w:r>
        <w:rPr>
          <w:rtl w:val="true"/>
        </w:rPr>
        <w:t xml:space="preserve">ערעור המדינה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4907/23</w:t>
      </w:r>
      <w:r>
        <w:rPr>
          <w:rtl w:val="true"/>
        </w:rPr>
        <w:t xml:space="preserve">) </w:t>
      </w:r>
      <w:r>
        <w:rPr>
          <w:rtl w:val="true"/>
        </w:rPr>
        <w:t>על קולת העונש וערעור המשיבים על חומרת העונש אשר יקראו 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המשיב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cs="Miriam" w:ascii="Miriam" w:hAnsi="Miriam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FrankRuehl" w:hAnsi="FrankRuehl" w:cs="FrankRuehl"/>
          <w:rtl w:val="true"/>
        </w:rPr>
        <w:t>ְ</w:t>
      </w:r>
      <w:r>
        <w:rPr>
          <w:rtl w:val="true"/>
        </w:rPr>
        <w:t xml:space="preserve">- </w:t>
      </w:r>
      <w:r>
        <w:rPr>
          <w:rFonts w:ascii="Miriam" w:hAnsi="Miriam" w:cs="Miriam"/>
          <w:szCs w:val="24"/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ובהתאמה </w:t>
      </w:r>
      <w:r>
        <w:rPr>
          <w:rFonts w:ascii="Miriam" w:hAnsi="Miriam" w:cs="Miriam"/>
          <w:szCs w:val="24"/>
          <w:rtl w:val="true"/>
        </w:rPr>
        <w:t>המשיבים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tabs>
          <w:tab w:val="clear" w:pos="720"/>
          <w:tab w:val="left" w:pos="3061" w:leader="none"/>
        </w:tabs>
        <w:overflowPunct w:val="true"/>
        <w:autoSpaceDE w:val="true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tabs>
          <w:tab w:val="clear" w:pos="720"/>
          <w:tab w:val="left" w:pos="3061" w:leader="none"/>
        </w:tabs>
        <w:overflowPunct w:val="true"/>
        <w:autoSpaceDE w:val="true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בגדרו </w:t>
      </w:r>
      <w:r>
        <w:rPr>
          <w:rtl w:val="true"/>
        </w:rPr>
        <w:t xml:space="preserve">של גזר הדין </w:t>
      </w:r>
      <w:r>
        <w:rPr>
          <w:rtl w:val="true"/>
        </w:rPr>
        <w:t xml:space="preserve">נגזרו על </w:t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4915/23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 xml:space="preserve">המשיב </w:t>
      </w:r>
      <w:r>
        <w:rPr>
          <w:rFonts w:cs="Miriam" w:ascii="Miriam" w:hAnsi="Miriam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ועל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4955/23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 xml:space="preserve">המשיב </w:t>
      </w:r>
      <w:r>
        <w:rPr>
          <w:rFonts w:cs="Miriam" w:ascii="Miriam" w:hAnsi="Miriam"/>
          <w:szCs w:val="24"/>
        </w:rPr>
        <w:t>2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לריצוי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לצד ענישה נלווית לשניהם</w:t>
      </w:r>
      <w:r>
        <w:rPr>
          <w:rtl w:val="true"/>
        </w:rPr>
        <w:t xml:space="preserve">, </w:t>
      </w:r>
      <w:r>
        <w:rPr>
          <w:rtl w:val="true"/>
        </w:rPr>
        <w:t>בג</w:t>
      </w:r>
      <w:r>
        <w:rPr>
          <w:rtl w:val="true"/>
        </w:rPr>
        <w:t>ין הרשעת</w:t>
      </w:r>
      <w:r>
        <w:rPr>
          <w:rtl w:val="true"/>
        </w:rPr>
        <w:t>ם</w:t>
      </w:r>
      <w:r>
        <w:rPr>
          <w:rtl w:val="true"/>
        </w:rPr>
        <w:t xml:space="preserve"> ב</w:t>
      </w:r>
      <w:r>
        <w:rPr>
          <w:rtl w:val="true"/>
        </w:rPr>
        <w:t xml:space="preserve">עבירה </w:t>
      </w:r>
      <w:r>
        <w:rPr>
          <w:rtl w:val="true"/>
        </w:rPr>
        <w:t xml:space="preserve">- </w:t>
      </w:r>
      <w:r>
        <w:rPr>
          <w:rtl w:val="true"/>
        </w:rPr>
        <w:t>מעשה טרור של ניסיון הצתה</w:t>
      </w:r>
      <w:r>
        <w:rPr>
          <w:rtl w:val="true"/>
        </w:rPr>
        <w:t xml:space="preserve">, </w:t>
      </w:r>
      <w:r>
        <w:rPr>
          <w:rtl w:val="true"/>
        </w:rPr>
        <w:t>זאת על יסוד הודאתם בעובדות כתב אישום מתוקן במסגרת הסדר טיעון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14"/>
          <w:szCs w:val="18"/>
        </w:rPr>
      </w:pPr>
      <w:r>
        <w:rPr>
          <w:rFonts w:cs="Miriam" w:ascii="Century" w:hAnsi="Century"/>
          <w:b/>
          <w:spacing w:val="0"/>
          <w:sz w:val="14"/>
          <w:szCs w:val="18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בבוקר יום </w:t>
      </w:r>
      <w:r>
        <w:rPr/>
        <w:t>25.11.2021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ו המשיבים עם אחר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האחר</w:t>
      </w:r>
      <w:r>
        <w:rPr>
          <w:rtl w:val="true"/>
        </w:rPr>
        <w:t xml:space="preserve">) </w:t>
      </w:r>
      <w:r>
        <w:rPr>
          <w:rtl w:val="true"/>
        </w:rPr>
        <w:t xml:space="preserve">כדי </w:t>
      </w:r>
      <w:r>
        <w:rPr>
          <w:rtl w:val="true"/>
        </w:rPr>
        <w:t>ליידות</w:t>
      </w:r>
      <w:r>
        <w:rPr>
          <w:rtl w:val="true"/>
        </w:rPr>
        <w:t xml:space="preserve"> במשותף </w:t>
      </w:r>
      <w:r>
        <w:rPr>
          <w:rtl w:val="true"/>
        </w:rPr>
        <w:t>בקבוקי תבערה</w:t>
      </w:r>
      <w:r>
        <w:rPr>
          <w:rtl w:val="true"/>
        </w:rPr>
        <w:t xml:space="preserve"> לעבר בית שמתגוררים בו יהודים וזאת </w:t>
      </w:r>
      <w:r>
        <w:rPr>
          <w:rtl w:val="true"/>
        </w:rPr>
        <w:t>ממניע לאומני</w:t>
      </w:r>
      <w:r>
        <w:rPr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היעד שנבחר על ידם הוא ביתו של א</w:t>
      </w:r>
      <w:r>
        <w:rPr>
          <w:rtl w:val="true"/>
        </w:rPr>
        <w:t xml:space="preserve">', </w:t>
      </w:r>
      <w:r>
        <w:rPr>
          <w:rtl w:val="true"/>
        </w:rPr>
        <w:t xml:space="preserve">הממוקם בשכונת בית חנינא בעיר ירושלים </w:t>
      </w:r>
      <w:r>
        <w:rPr>
          <w:rtl w:val="true"/>
        </w:rPr>
        <w:t xml:space="preserve">ובו מתגוררים מספר תושבים יהודים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tl w:val="true"/>
        </w:rPr>
        <w:t xml:space="preserve"> בהתאמה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בדרכם לבית </w:t>
      </w:r>
      <w:r>
        <w:rPr>
          <w:rtl w:val="true"/>
        </w:rPr>
        <w:t>ה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השלושה הגיעו סמוך לבית ובחנו את סביבתו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והאחר החליפו בגדים </w:t>
      </w:r>
      <w:r>
        <w:rPr>
          <w:rtl w:val="true"/>
        </w:rPr>
        <w:t>והשלושה עטו על פניהם רעלות</w:t>
      </w:r>
      <w:r>
        <w:rPr>
          <w:rtl w:val="true"/>
        </w:rPr>
        <w:t xml:space="preserve">. </w:t>
      </w:r>
      <w:r>
        <w:rPr>
          <w:rtl w:val="true"/>
        </w:rPr>
        <w:t>כל אחד מהם נשא</w:t>
      </w:r>
      <w:r>
        <w:rPr>
          <w:rtl w:val="true"/>
        </w:rPr>
        <w:t xml:space="preserve">, </w:t>
      </w:r>
      <w:r>
        <w:rPr>
          <w:rtl w:val="true"/>
        </w:rPr>
        <w:t xml:space="preserve">הדליק והשליך בקבוק תבערה </w:t>
      </w:r>
      <w:r>
        <w:rPr>
          <w:rtl w:val="true"/>
        </w:rPr>
        <w:t xml:space="preserve">בוער </w:t>
      </w:r>
      <w:r>
        <w:rPr>
          <w:rtl w:val="true"/>
        </w:rPr>
        <w:t>לעבר הבית</w:t>
      </w:r>
      <w:r>
        <w:rPr>
          <w:rtl w:val="true"/>
        </w:rPr>
        <w:t xml:space="preserve">. </w:t>
      </w:r>
      <w:r>
        <w:rPr>
          <w:rtl w:val="true"/>
        </w:rPr>
        <w:t>שניים מבקבוקי התבערה שהשליכו עברו את גדר הבית</w:t>
      </w:r>
      <w:r>
        <w:rPr>
          <w:rtl w:val="true"/>
        </w:rPr>
        <w:t xml:space="preserve">, </w:t>
      </w:r>
      <w:r>
        <w:rPr>
          <w:rtl w:val="true"/>
        </w:rPr>
        <w:t xml:space="preserve">אחד מהם נפל בסמוך לדלת הבית והבקבוק השלישי </w:t>
      </w:r>
      <w:r>
        <w:rPr>
          <w:rtl w:val="true"/>
        </w:rPr>
        <w:t>התלקח בחצר</w:t>
      </w:r>
      <w:r>
        <w:rPr>
          <w:rtl w:val="true"/>
        </w:rPr>
        <w:t xml:space="preserve">. </w:t>
      </w:r>
      <w:r>
        <w:rPr>
          <w:rtl w:val="true"/>
        </w:rPr>
        <w:t xml:space="preserve">השלושה נמלטו מהמקום </w:t>
      </w:r>
      <w:r>
        <w:rPr>
          <w:rtl w:val="true"/>
        </w:rPr>
        <w:t>לבית הספר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 נעצרו כעבור מספר שעות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במעשיהם אלה ניסו המשיבים לשלח במזיד אש בדבר לא להם במטרה לפגוע בבני אדם מתוך מניע לאומני אידאולוגי</w:t>
      </w:r>
      <w:r>
        <w:rPr>
          <w:rtl w:val="true"/>
        </w:rPr>
        <w:t xml:space="preserve">, </w:t>
      </w:r>
      <w:r>
        <w:rPr>
          <w:rtl w:val="true"/>
        </w:rPr>
        <w:t>במטרה לעורר פחד או בהלה בציבור</w:t>
      </w:r>
      <w:r>
        <w:rPr>
          <w:rtl w:val="true"/>
        </w:rPr>
        <w:t xml:space="preserve">, </w:t>
      </w:r>
      <w:r>
        <w:rPr>
          <w:rtl w:val="true"/>
        </w:rPr>
        <w:t>ובמעשיהם היה סיכון ממשי לפגיעה חמורה ברכוש</w:t>
      </w:r>
      <w:r>
        <w:rPr>
          <w:rtl w:val="true"/>
        </w:rPr>
        <w:t xml:space="preserve">, </w:t>
      </w:r>
      <w:r>
        <w:rPr>
          <w:rtl w:val="true"/>
        </w:rPr>
        <w:t>בנסיבות בהן יש אפשרות ממשית שתיגרם פגיעה חמורה בגופו של אדם או בבטיחות הציבור או בבריאותו</w:t>
      </w:r>
      <w:r>
        <w:rPr>
          <w:rtl w:val="true"/>
        </w:rPr>
        <w:t xml:space="preserve">, </w:t>
      </w:r>
      <w:r>
        <w:rPr>
          <w:rtl w:val="true"/>
        </w:rPr>
        <w:t>וכן ביצעו פעולה בנשק במטרה לבצע מעשה טרור</w:t>
      </w:r>
      <w:r>
        <w:rPr>
          <w:rtl w:val="true"/>
        </w:rPr>
        <w:t xml:space="preserve">. </w:t>
      </w:r>
      <w:r>
        <w:rPr>
          <w:rFonts w:cs="Century" w:ascii="Century" w:hAnsi="Century"/>
          <w:sz w:val="22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בגין האמור יוחסו </w:t>
      </w:r>
      <w:r>
        <w:rPr>
          <w:rtl w:val="true"/>
        </w:rPr>
        <w:t xml:space="preserve">למשיבים </w:t>
      </w:r>
      <w:r>
        <w:rPr>
          <w:rtl w:val="true"/>
        </w:rPr>
        <w:t>עבירה של ניסיון הצתה בנסיבה של מעשה טרור לפי</w:t>
      </w:r>
      <w:r>
        <w:rPr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סיפא בצירוף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בטרור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המשיבים הודו בעבירות המיוחסות להם בכתב האישום המתוקן במסגרת הסדר טיעון שלא כלל הסכמה לעניין העונש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המדינה בטיעוניה לעונש בבית המשפט המחוזי עתרה לגזור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על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וכן מאסרים מותנים</w:t>
      </w:r>
      <w:r>
        <w:rPr>
          <w:rtl w:val="true"/>
        </w:rPr>
        <w:t xml:space="preserve">, </w:t>
      </w:r>
      <w:r>
        <w:rPr>
          <w:rtl w:val="true"/>
        </w:rPr>
        <w:t>קנס ופיצוי לנפגע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ואילו 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עתרה לגזור עונש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 ועונשים נלווים וזאת בהתחשב בהליך הטיפולי והמשמעותי שעבר</w:t>
      </w:r>
      <w:r>
        <w:rPr>
          <w:rtl w:val="true"/>
        </w:rPr>
        <w:t xml:space="preserve">, </w:t>
      </w:r>
      <w:r>
        <w:rPr>
          <w:rtl w:val="true"/>
        </w:rPr>
        <w:t>אף כי לטענתה</w:t>
      </w:r>
      <w:r>
        <w:rPr>
          <w:rtl w:val="true"/>
        </w:rPr>
        <w:t xml:space="preserve">, </w:t>
      </w:r>
      <w:r>
        <w:rPr>
          <w:rtl w:val="true"/>
        </w:rPr>
        <w:t xml:space="preserve">העונש הראוי בגין מעשיו של משיב זה הוא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עמד </w:t>
      </w:r>
      <w:r>
        <w:rPr>
          <w:rtl w:val="true"/>
        </w:rPr>
        <w:t xml:space="preserve">בית המשפט </w:t>
      </w:r>
      <w:r>
        <w:rPr>
          <w:rtl w:val="true"/>
        </w:rPr>
        <w:t>המחוזי</w:t>
      </w:r>
      <w:r>
        <w:rPr>
          <w:rtl w:val="true"/>
        </w:rPr>
        <w:t xml:space="preserve"> על פגיעת המשיבים </w:t>
      </w:r>
      <w:r>
        <w:rPr>
          <w:rtl w:val="true"/>
        </w:rPr>
        <w:t xml:space="preserve"> </w:t>
      </w:r>
      <w:r>
        <w:rPr>
          <w:rtl w:val="true"/>
        </w:rPr>
        <w:t>בערכים המוגנים ביסוד העבירות בהן הורשע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בכלל זה שמירה על שלמות החיים</w:t>
      </w:r>
      <w:r>
        <w:rPr>
          <w:rtl w:val="true"/>
        </w:rPr>
        <w:t xml:space="preserve">, </w:t>
      </w:r>
      <w:r>
        <w:rPr>
          <w:rtl w:val="true"/>
        </w:rPr>
        <w:t xml:space="preserve">הנפש והגוף והיכולת לקיים </w:t>
      </w:r>
      <w:r>
        <w:rPr>
          <w:rtl w:val="true"/>
        </w:rPr>
        <w:t>שגרת חיים תקינה</w:t>
      </w:r>
      <w:r>
        <w:rPr>
          <w:rtl w:val="true"/>
        </w:rPr>
        <w:t xml:space="preserve">; </w:t>
      </w:r>
      <w:r>
        <w:rPr>
          <w:rtl w:val="true"/>
        </w:rPr>
        <w:t>שמירה על רכוש הזולת</w:t>
      </w:r>
      <w:r>
        <w:rPr>
          <w:rtl w:val="true"/>
        </w:rPr>
        <w:t xml:space="preserve">, </w:t>
      </w:r>
      <w:r>
        <w:rPr>
          <w:rtl w:val="true"/>
        </w:rPr>
        <w:t xml:space="preserve">ערכים שהפגיעה בהם גם מהווה </w:t>
      </w:r>
      <w:r>
        <w:rPr>
          <w:rtl w:val="true"/>
        </w:rPr>
        <w:t>"</w:t>
      </w:r>
      <w:r>
        <w:rPr>
          <w:rtl w:val="true"/>
        </w:rPr>
        <w:t>קריאת תיגר על רשויות החוק והאכיפה</w:t>
      </w:r>
      <w:r>
        <w:rPr>
          <w:rtl w:val="true"/>
        </w:rPr>
        <w:t xml:space="preserve">" </w:t>
      </w:r>
      <w:r>
        <w:rPr>
          <w:rtl w:val="true"/>
        </w:rPr>
        <w:t>וכן שמירה על הסדר הציבורי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tabs>
          <w:tab w:val="clear" w:pos="720"/>
          <w:tab w:val="left" w:pos="3061" w:leader="none"/>
        </w:tabs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3"/>
        </w:numPr>
        <w:tabs>
          <w:tab w:val="clear" w:pos="720"/>
          <w:tab w:val="left" w:pos="3061" w:leader="none"/>
        </w:tabs>
        <w:ind w:hanging="0" w:start="0" w:end="0"/>
        <w:jc w:val="both"/>
        <w:rPr/>
      </w:pPr>
      <w:r>
        <w:rPr>
          <w:rtl w:val="true"/>
        </w:rPr>
        <w:t>בית המשפט המחוזי התייחס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שבוצעה תוך תכנון מוקדם והחלטה משותפת של המשיבים</w:t>
      </w:r>
      <w:r>
        <w:rPr>
          <w:rtl w:val="true"/>
        </w:rPr>
        <w:t xml:space="preserve">, </w:t>
      </w:r>
      <w:r>
        <w:rPr>
          <w:rtl w:val="true"/>
        </w:rPr>
        <w:t>שחברו יחדיו עם אחר על מנת ליידות במשותף מספר בקבוקי תבערה מתוך מניע לאומני אידאולוגי</w:t>
      </w:r>
      <w:r>
        <w:rPr>
          <w:rtl w:val="true"/>
        </w:rPr>
        <w:t xml:space="preserve">, </w:t>
      </w:r>
      <w:r>
        <w:rPr>
          <w:rtl w:val="true"/>
        </w:rPr>
        <w:t>באזור מגורים בשעת בוקר מוקדמת</w:t>
      </w:r>
      <w:r>
        <w:rPr>
          <w:rtl w:val="true"/>
        </w:rPr>
        <w:t xml:space="preserve">, </w:t>
      </w:r>
      <w:r>
        <w:rPr>
          <w:rtl w:val="true"/>
        </w:rPr>
        <w:t xml:space="preserve">כשרבים הסיכויים שבני אדם נמצאים בביתם </w:t>
      </w:r>
      <w:r>
        <w:rPr>
          <w:rtl w:val="true"/>
        </w:rPr>
        <w:t xml:space="preserve">- </w:t>
      </w:r>
      <w:r>
        <w:rPr>
          <w:rtl w:val="true"/>
        </w:rPr>
        <w:t xml:space="preserve">תכנון אשר </w:t>
      </w:r>
      <w:r>
        <w:rPr>
          <w:rtl w:val="true"/>
        </w:rPr>
        <w:t>"</w:t>
      </w:r>
      <w:r>
        <w:rPr>
          <w:rtl w:val="true"/>
        </w:rPr>
        <w:t>מעצים</w:t>
      </w:r>
      <w:r>
        <w:rPr>
          <w:rtl w:val="true"/>
        </w:rPr>
        <w:t xml:space="preserve">" </w:t>
      </w:r>
      <w:r>
        <w:rPr>
          <w:rtl w:val="true"/>
        </w:rPr>
        <w:t>את החומרה שבמעשים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 xml:space="preserve">עמד על כך שתוצאותיה של הצתה עלולים להיות </w:t>
      </w:r>
      <w:r>
        <w:rPr>
          <w:rtl w:val="true"/>
        </w:rPr>
        <w:t>"</w:t>
      </w:r>
      <w:r>
        <w:rPr>
          <w:rtl w:val="true"/>
        </w:rPr>
        <w:t>קטלניים ורבי היקף</w:t>
      </w:r>
      <w:r>
        <w:rPr>
          <w:rtl w:val="true"/>
        </w:rPr>
        <w:t xml:space="preserve">",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לנוכח הסכנה האינהרנטית הטבועה בה והמסר העברייני האלים שעולה ממנה</w:t>
      </w:r>
      <w:r>
        <w:rPr>
          <w:rtl w:val="true"/>
        </w:rPr>
        <w:t xml:space="preserve">, </w:t>
      </w:r>
      <w:r>
        <w:rPr>
          <w:rtl w:val="true"/>
        </w:rPr>
        <w:t>נתפסת כעבירה חמורה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tabs>
          <w:tab w:val="clear" w:pos="720"/>
          <w:tab w:val="left" w:pos="3061" w:leader="none"/>
        </w:tabs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tabs>
          <w:tab w:val="clear" w:pos="720"/>
          <w:tab w:val="left" w:pos="3061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ניתנה התייחסות לכך שיש לתת את הדעת הן לנזק שנגרם והן לנזק הפוטנציאלי מעבירת ניסיון ההצתה</w:t>
      </w:r>
      <w:r>
        <w:rPr>
          <w:rtl w:val="true"/>
        </w:rPr>
        <w:t xml:space="preserve">, </w:t>
      </w:r>
      <w:r>
        <w:rPr>
          <w:rtl w:val="true"/>
        </w:rPr>
        <w:t xml:space="preserve">אשר מעצם טבעה אמנם לא נגרם אותו נזק שנגרם בעבירה </w:t>
      </w:r>
      <w:r>
        <w:rPr>
          <w:rtl w:val="true"/>
        </w:rPr>
        <w:t>"</w:t>
      </w:r>
      <w:r>
        <w:rPr>
          <w:rtl w:val="true"/>
        </w:rPr>
        <w:t>מושלמת</w:t>
      </w:r>
      <w:r>
        <w:rPr>
          <w:rtl w:val="true"/>
        </w:rPr>
        <w:t xml:space="preserve">", </w:t>
      </w:r>
      <w:r>
        <w:rPr>
          <w:rtl w:val="true"/>
        </w:rPr>
        <w:t>אולם מתקיים הפוטנציאל לגרימת הנזק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לכך שהמשיבים ביצעו את העבירה בנסיבות של מעשה טרור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להצדקה להשית עונשי מאסר בפועל משמעותיים גם על מי שזו היא עבורו הרשעתו הראשונה בפלילים</w:t>
      </w:r>
      <w:r>
        <w:rPr>
          <w:rtl w:val="true"/>
        </w:rPr>
        <w:t xml:space="preserve">, </w:t>
      </w:r>
      <w:r>
        <w:rPr>
          <w:rtl w:val="true"/>
        </w:rPr>
        <w:t>גם אם מדובר בקטינים הקרובים לסף האחריות בפלילים</w:t>
      </w:r>
      <w:r>
        <w:rPr>
          <w:rtl w:val="true"/>
        </w:rPr>
        <w:t xml:space="preserve">; </w:t>
      </w:r>
      <w:r>
        <w:rPr>
          <w:rtl w:val="true"/>
        </w:rPr>
        <w:t xml:space="preserve">ולעמדת המחוקק לעבירה זו כעולה </w:t>
      </w:r>
      <w:hyperlink r:id="rId13">
        <w:r>
          <w:rPr>
            <w:rStyle w:val="Hyperlink"/>
            <w:rtl w:val="true"/>
          </w:rPr>
          <w:t>מסעיף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tabs>
          <w:tab w:val="clear" w:pos="720"/>
          <w:tab w:val="left" w:pos="3061" w:leader="none"/>
        </w:tabs>
        <w:ind w:hanging="0" w:start="0" w:end="0"/>
        <w:jc w:val="both"/>
        <w:rPr/>
      </w:pPr>
      <w:r>
        <w:rPr>
          <w:rtl w:val="true"/>
        </w:rPr>
        <w:t>בגזירת עונש</w:t>
      </w:r>
      <w:r>
        <w:rPr>
          <w:rtl w:val="true"/>
        </w:rPr>
        <w:t>ו</w:t>
      </w:r>
      <w:r>
        <w:rPr>
          <w:rtl w:val="true"/>
        </w:rPr>
        <w:t xml:space="preserve"> של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בגדרי המתחם</w:t>
      </w:r>
      <w:r>
        <w:rPr>
          <w:rtl w:val="true"/>
        </w:rPr>
        <w:t xml:space="preserve">, </w:t>
      </w:r>
      <w:r>
        <w:rPr>
          <w:rtl w:val="true"/>
        </w:rPr>
        <w:t>ניתן משקל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לנסיבותיו האישיות </w:t>
      </w:r>
      <w:r>
        <w:rPr>
          <w:rtl w:val="true"/>
        </w:rPr>
        <w:t xml:space="preserve">- </w:t>
      </w:r>
      <w:r>
        <w:rPr>
          <w:rtl w:val="true"/>
        </w:rPr>
        <w:t xml:space="preserve">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בעת ביצוע העבירה</w:t>
      </w:r>
      <w:r>
        <w:rPr>
          <w:rtl w:val="true"/>
        </w:rPr>
        <w:t xml:space="preserve">; </w:t>
      </w:r>
      <w:r>
        <w:rPr>
          <w:rtl w:val="true"/>
        </w:rPr>
        <w:t>נעדר עבר פלילי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מאז האירוע חלפה שנה וחצי בה לא היה מעורב בעבירות נוספות</w:t>
      </w:r>
      <w:r>
        <w:rPr>
          <w:rtl w:val="true"/>
        </w:rPr>
        <w:t xml:space="preserve">; </w:t>
      </w:r>
      <w:r>
        <w:rPr>
          <w:rtl w:val="true"/>
        </w:rPr>
        <w:t>נטל אחריות על מעשיו והביע חרטה</w:t>
      </w:r>
      <w:r>
        <w:rPr>
          <w:rtl w:val="true"/>
        </w:rPr>
        <w:t xml:space="preserve"> </w:t>
      </w:r>
      <w:r>
        <w:rPr>
          <w:rtl w:val="true"/>
        </w:rPr>
        <w:t>ובכך חסך זמן שיפוטי יקר</w:t>
      </w:r>
      <w:r>
        <w:rPr>
          <w:rtl w:val="true"/>
        </w:rPr>
        <w:t xml:space="preserve">; </w:t>
      </w:r>
      <w:r>
        <w:rPr>
          <w:rtl w:val="true"/>
        </w:rPr>
        <w:t>שהה במעצר במשך חודש ימים ולאחר מכן כשלושה חודשים באיזוק אלקטרוני ובהמשך במעצר בית חלקי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tabs>
          <w:tab w:val="clear" w:pos="720"/>
          <w:tab w:val="left" w:pos="3061" w:leader="none"/>
        </w:tabs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tabs>
          <w:tab w:val="clear" w:pos="720"/>
          <w:tab w:val="left" w:pos="3061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 xml:space="preserve">יחד עם זאת צוין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התקשה לשתף פעולה עם שירות המבחן</w:t>
      </w:r>
      <w:r>
        <w:rPr>
          <w:rtl w:val="true"/>
        </w:rPr>
        <w:t xml:space="preserve">; </w:t>
      </w:r>
      <w:r>
        <w:rPr>
          <w:rtl w:val="true"/>
        </w:rPr>
        <w:t>לא התמיד בקשר עמו ומשכך לא ניתנה המלצה בעניינו</w:t>
      </w:r>
      <w:r>
        <w:rPr>
          <w:rtl w:val="true"/>
        </w:rPr>
        <w:t xml:space="preserve">; </w:t>
      </w:r>
      <w:r>
        <w:rPr>
          <w:rtl w:val="true"/>
        </w:rPr>
        <w:t>נשר מלימודיו</w:t>
      </w:r>
      <w:r>
        <w:rPr>
          <w:rtl w:val="true"/>
        </w:rPr>
        <w:t xml:space="preserve">, </w:t>
      </w:r>
      <w:r>
        <w:rPr>
          <w:rtl w:val="true"/>
        </w:rPr>
        <w:t>בעל קושי בהפעלת שיקול דעת ומשפחתו מעורבת בפלילים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בגזירת עונשו של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בכך שבעת ביצוע העבירה היה בן </w:t>
      </w:r>
      <w:r>
        <w:rPr/>
        <w:t>15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נעדר עבר פלילי</w:t>
      </w:r>
      <w:r>
        <w:rPr>
          <w:rtl w:val="true"/>
        </w:rPr>
        <w:t xml:space="preserve">; </w:t>
      </w:r>
      <w:r>
        <w:rPr>
          <w:rtl w:val="true"/>
        </w:rPr>
        <w:t>מאז האירוע חלפה שנה וחצי במהלכה לא היה מעורב בעבירות נוספות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נטל אחריות על מעשיו וחסך זמן שיפוטי</w:t>
      </w:r>
      <w:r>
        <w:rPr>
          <w:rtl w:val="true"/>
        </w:rPr>
        <w:t xml:space="preserve">; </w:t>
      </w:r>
      <w:r>
        <w:rPr>
          <w:rtl w:val="true"/>
        </w:rPr>
        <w:t>שהה במעצר במשך חודש ימים ולאחר מכן כחודשיים וחצי במעצר באיזוק אלקטרוני ובהמשך במעצר בית חלקי</w:t>
      </w:r>
      <w:r>
        <w:rPr>
          <w:rtl w:val="true"/>
        </w:rPr>
        <w:t xml:space="preserve">; </w:t>
      </w:r>
      <w:r>
        <w:rPr>
          <w:rtl w:val="true"/>
        </w:rPr>
        <w:t>הודה והתחרט על המעשים וכן שיתף פעולה באופן מלא עם שירות המבחן</w:t>
      </w:r>
      <w:r>
        <w:rPr>
          <w:rtl w:val="true"/>
        </w:rPr>
        <w:t xml:space="preserve">, </w:t>
      </w:r>
      <w:r>
        <w:rPr>
          <w:rtl w:val="true"/>
        </w:rPr>
        <w:t>שבא בהמלצה לנקוט בדרכי שיקום בעניינו ולהטיל עליו עונש של שירות לתועלת הציבור וצו מבחן</w:t>
      </w:r>
      <w:r>
        <w:rPr>
          <w:rtl w:val="true"/>
        </w:rPr>
        <w:t xml:space="preserve">, </w:t>
      </w:r>
      <w:r>
        <w:rPr>
          <w:rtl w:val="true"/>
        </w:rPr>
        <w:t xml:space="preserve">אף שהתרשם כי ניכר שהמשיב </w:t>
      </w:r>
      <w:r>
        <w:rPr/>
        <w:t>2</w:t>
      </w:r>
      <w:r>
        <w:rPr>
          <w:rtl w:val="true"/>
        </w:rPr>
        <w:t xml:space="preserve"> "</w:t>
      </w:r>
      <w:r>
        <w:rPr>
          <w:rtl w:val="true"/>
        </w:rPr>
        <w:t>נגרר</w:t>
      </w:r>
      <w:r>
        <w:rPr>
          <w:rtl w:val="true"/>
        </w:rPr>
        <w:t xml:space="preserve">" </w:t>
      </w:r>
      <w:r>
        <w:rPr>
          <w:rtl w:val="true"/>
        </w:rPr>
        <w:t xml:space="preserve">אחר נערים ללא חשיבה על מעשיו וטרם מעצרו שוטט עם </w:t>
      </w:r>
      <w:r>
        <w:rPr>
          <w:rtl w:val="true"/>
        </w:rPr>
        <w:t>"</w:t>
      </w:r>
      <w:r>
        <w:rPr>
          <w:rtl w:val="true"/>
        </w:rPr>
        <w:t>נערי שוליים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בסופו של דיון בבית המשפט המחוזי </w:t>
      </w:r>
      <w:r>
        <w:rPr>
          <w:rtl w:val="true"/>
        </w:rPr>
        <w:t xml:space="preserve">על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נגזרו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בניכוי ימי מעצרו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עבירה לפי חוק הטרור מסוג פשע או עבירת הצתה</w:t>
      </w:r>
      <w:r>
        <w:rPr>
          <w:rtl w:val="true"/>
        </w:rPr>
        <w:t xml:space="preserve">, </w:t>
      </w:r>
      <w:r>
        <w:rPr>
          <w:rtl w:val="true"/>
        </w:rPr>
        <w:t>וזאת בתוך שלוש שנים מיום שחרורו מהמאסר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עבירה לפי חוק הטרור מסוג עוון</w:t>
      </w:r>
      <w:r>
        <w:rPr>
          <w:rtl w:val="true"/>
        </w:rPr>
        <w:t xml:space="preserve">, </w:t>
      </w:r>
      <w:r>
        <w:rPr>
          <w:rtl w:val="true"/>
        </w:rPr>
        <w:t xml:space="preserve">או עבירה של התפרעות או עבירה של היזק בזדון וזאת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מהמאסר וכן פיצוי בסך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לנפגע העבירה</w:t>
      </w:r>
      <w:r>
        <w:rPr>
          <w:rtl w:val="true"/>
        </w:rPr>
        <w:t xml:space="preserve">. </w:t>
      </w:r>
      <w:r>
        <w:rPr>
          <w:rtl w:val="true"/>
        </w:rPr>
        <w:t>לנוכח תקופת המאסר</w:t>
      </w:r>
      <w:r>
        <w:rPr>
          <w:rtl w:val="true"/>
        </w:rPr>
        <w:t xml:space="preserve">, </w:t>
      </w:r>
      <w:r>
        <w:rPr>
          <w:rtl w:val="true"/>
        </w:rPr>
        <w:t>גילו הצעיר ומצבה הכלכלי הקשה של המשפחה לא הוטל קנס</w:t>
      </w:r>
      <w:r>
        <w:rPr>
          <w:rtl w:val="true"/>
        </w:rPr>
        <w:t xml:space="preserve">. </w:t>
      </w:r>
      <w:r>
        <w:rPr>
          <w:rtl w:val="true"/>
        </w:rPr>
        <w:t xml:space="preserve">נקבע כי יתייצב לריצוי עונשו ביום </w:t>
      </w:r>
      <w:r>
        <w:rPr/>
        <w:t>16.7.2023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 שישה חודשי מאסר לריצוי בדרך של עבודות שירות בניכוי ימי מעצרו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עבירה לפי חוק הטרור מסוג פשע</w:t>
      </w:r>
      <w:r>
        <w:rPr>
          <w:rtl w:val="true"/>
        </w:rPr>
        <w:t xml:space="preserve">, </w:t>
      </w:r>
      <w:r>
        <w:rPr>
          <w:rtl w:val="true"/>
        </w:rPr>
        <w:t>או עבירת הצתה בתוך שלוש שנים ממועד מתן גזר הדין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עבירה מסוג עוון או עבירה של התפרעות או עבירה של היזק בזדון וזאת בתוך שלוש שנים ממועד מתן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וכן פיצוי בסך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לנפגע העבירה</w:t>
      </w:r>
      <w:r>
        <w:rPr>
          <w:rtl w:val="true"/>
        </w:rPr>
        <w:t xml:space="preserve">. </w:t>
      </w:r>
      <w:r>
        <w:rPr>
          <w:rtl w:val="true"/>
        </w:rPr>
        <w:t>לנוכח תקופת המאסר</w:t>
      </w:r>
      <w:r>
        <w:rPr>
          <w:rtl w:val="true"/>
        </w:rPr>
        <w:t xml:space="preserve">, </w:t>
      </w:r>
      <w:r>
        <w:rPr>
          <w:rtl w:val="true"/>
        </w:rPr>
        <w:t>גילו הצעיר ומצבה הכלכלי הקשה של המשפחה לא הוטל קנס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 xml:space="preserve">נקבע כי 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להתייצב לתחילת ריצוי עבודות השירות החל מיום </w:t>
      </w:r>
      <w:r>
        <w:rPr/>
        <w:t>5.6.2023</w:t>
      </w:r>
      <w:r>
        <w:rPr>
          <w:rtl w:val="true"/>
        </w:rPr>
        <w:t xml:space="preserve">, </w:t>
      </w:r>
      <w:r>
        <w:rPr>
          <w:rtl w:val="true"/>
        </w:rPr>
        <w:t>אולם לאור בקשת בא</w:t>
      </w:r>
      <w:r>
        <w:rPr>
          <w:rtl w:val="true"/>
        </w:rPr>
        <w:t>-</w:t>
      </w:r>
      <w:r>
        <w:rPr>
          <w:rtl w:val="true"/>
        </w:rPr>
        <w:t>כוחו נקבע כי יתייצב לריצוי עונשו עם סיום שנת הלימודים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20.6.2023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5.6.2023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גזר הדין בעניינו של האחר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שהורשע בעבירות מושא הערעור במסגרת 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בנפרד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זאת לנוכח עברו הפלילי ומאחר שביצע את המיוחס לו שעה שהיה תחת תנאים מגבילים בהליך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והושת עליו עונש של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במצטבר ל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שנגזרו עליו בתיק האחר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ערעור המדינה על קולת העונש עונשו הוחמר ל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במצטבר לעונש המאסר בפועל שכבר הוטל עליו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color w:val="833C0B"/>
          <w:spacing w:val="0"/>
          <w:szCs w:val="24"/>
        </w:rPr>
      </w:pPr>
      <w:r>
        <w:rPr>
          <w:rFonts w:cs="Miriam" w:ascii="Century" w:hAnsi="Century"/>
          <w:b/>
          <w:color w:val="833C0B"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Century"/>
          <w:color w:val="833C0B"/>
        </w:rPr>
      </w:pPr>
      <w:r>
        <w:rPr>
          <w:rFonts w:cs="Century" w:ascii="Century" w:hAnsi="Century"/>
          <w:color w:val="833C0B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לטענת ה</w:t>
      </w:r>
      <w:r>
        <w:rPr>
          <w:rFonts w:ascii="Century" w:hAnsi="Century" w:cs="Century"/>
          <w:rtl w:val="true"/>
        </w:rPr>
        <w:t>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בערעורה על קולת העונש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שנגזר על המשיבים</w:t>
      </w:r>
      <w:r>
        <w:rPr>
          <w:rFonts w:ascii="Century" w:hAnsi="Century" w:cs="Century"/>
          <w:rtl w:val="true"/>
        </w:rPr>
        <w:t xml:space="preserve"> אינו מבטא את החומרה היתרה הגלומה במעשיהם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אינו משקלל את הנזק הנפשי שנגרם למתלונן ואת הנזק הפוטנציאלי שיכול היה להיגרם בעקבות יידוי בקבוקי התבערה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אינו נותן משקל לכך שמדובר במעשה טרור ממניע של עוינות כלפי יהודים ב</w:t>
      </w:r>
      <w:r>
        <w:rPr>
          <w:rFonts w:ascii="Century" w:hAnsi="Century" w:cs="Century"/>
          <w:rtl w:val="true"/>
        </w:rPr>
        <w:t>שעה שהעבירה בוצעה בנסיבה של מעשה טרור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העונשים אינם מיישמים כראוי את הוראת המחוקק ואת פסיקת בית משפט זה בעניין עבירות טרור לפיהן ראוי להחמיר בעבירות שמבוצעות בנסיבות של מעשה טרור יותר מעבירות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רגילות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ובענייננו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יותר מעבירת ניסיון הצתה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רגילה</w:t>
      </w:r>
      <w:r>
        <w:rPr>
          <w:rFonts w:cs="Century" w:ascii="Century" w:hAnsi="Century"/>
          <w:rtl w:val="true"/>
        </w:rPr>
        <w:t>'".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עוד טענה המדינה כי עונשיהם של המשיבים 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FrankRuehl" w:hAnsi="FrankRuehl" w:cs="FrankRuehl"/>
          <w:rtl w:val="true"/>
        </w:rPr>
        <w:t>ְ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אינם עולים בקנה אחד עם העונש שהוטל על האחר במסגרת ערעורה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אמנם לחובתו של האחר עבר פלילי וביצע את המעשים בהם הורשע שעה שהיה תחת תנאים מגבילים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בהינתן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קיים פער משמעותי בין העונש שנגזר על המשיבים לעונש שהוטל עליו במסגרת הערעור</w:t>
      </w:r>
      <w:r>
        <w:rPr>
          <w:rFonts w:cs="Century" w:ascii="Century" w:hAnsi="Century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עקרון האחידות בענישה מחייב החמרה בעונשם של המשיבים</w:t>
      </w:r>
      <w:r>
        <w:rPr>
          <w:rtl w:val="true"/>
        </w:rPr>
        <w:t xml:space="preserve">, </w:t>
      </w:r>
      <w:r>
        <w:rPr>
          <w:rtl w:val="true"/>
        </w:rPr>
        <w:t>בשים לב להעדר נסיבות פרטניות מיוחדות שמצדיקות סטייה משמעותית מעקרון זה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ניתק קשר עם שירות המבחן ולא התקבלה בעניינו כל המלצה טיפולית ואילו בהתייחס למשיב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אמנם שירות המבחן המליץ על השתת שירות לתועלת הציבור וכן להימנע מהרשעה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אך אין כל הצדקה לסטייה </w:t>
      </w:r>
      <w:r>
        <w:rPr>
          <w:rtl w:val="true"/>
        </w:rPr>
        <w:t>"</w:t>
      </w:r>
      <w:r>
        <w:rPr>
          <w:rtl w:val="true"/>
        </w:rPr>
        <w:t>כל כך משמעותית</w:t>
      </w:r>
      <w:r>
        <w:rPr>
          <w:rtl w:val="true"/>
        </w:rPr>
        <w:t xml:space="preserve">" </w:t>
      </w:r>
      <w:r>
        <w:rPr>
          <w:rtl w:val="true"/>
        </w:rPr>
        <w:t>מהעונש שנגזר על האחר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 טענה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בהתבסס על פסיקת בית משפט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עבירות של יידוי בקבוקי תבערה על ידי קטינים הן שכיחות וקלות ליישום ועל מנת להילחם בתופעה זו נדרשת ענישה הולמת ומרתיעה דווקא בנסיבות בהן מדובר בקטינים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>
          <w:rFonts w:ascii="Century" w:hAnsi="Century" w:cs="Century"/>
          <w:color w:val="833C0B"/>
        </w:rPr>
      </w:pP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בערעורו השיג על חומרת העונש ובעיקר נגד משך רכיב המאסר בפועל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טען כי שגה בית המשפט המחוזי בחישוב תקופת מעצרו בפיקוח אלקטרוני</w:t>
      </w:r>
      <w:r>
        <w:rPr>
          <w:rtl w:val="true"/>
        </w:rPr>
        <w:t xml:space="preserve">, </w:t>
      </w:r>
      <w:r>
        <w:rPr>
          <w:rtl w:val="true"/>
        </w:rPr>
        <w:t>שכן בפועל היה נתון במעצר בפיקוח אלקטרוני תשעה חודשים ולא שלושה חודשים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לא התחשב בנסיבותיו המיוחדות האישיות ובכלל זה סיכויי שיקומו והתמונה הכוללת שעולה מחמישה תסקירי מבחן בעניינו</w:t>
      </w:r>
      <w:r>
        <w:rPr>
          <w:rtl w:val="true"/>
        </w:rPr>
        <w:t xml:space="preserve">; </w:t>
      </w:r>
      <w:r>
        <w:rPr>
          <w:rtl w:val="true"/>
        </w:rPr>
        <w:t>כי הרקע למעורבותו בפלילים נבע מהצורך להוכיח את עצמו</w:t>
      </w:r>
      <w:r>
        <w:rPr>
          <w:rtl w:val="true"/>
        </w:rPr>
        <w:t xml:space="preserve">, </w:t>
      </w:r>
      <w:r>
        <w:rPr>
          <w:rtl w:val="true"/>
        </w:rPr>
        <w:t>לחזק את מעמדו ב</w:t>
      </w:r>
      <w:r>
        <w:rPr>
          <w:rtl w:val="true"/>
        </w:rPr>
        <w:t>"</w:t>
      </w:r>
      <w:r>
        <w:rPr>
          <w:rtl w:val="true"/>
        </w:rPr>
        <w:t>קבוצת השווים</w:t>
      </w:r>
      <w:r>
        <w:rPr>
          <w:rtl w:val="true"/>
        </w:rPr>
        <w:t xml:space="preserve">" </w:t>
      </w:r>
      <w:r>
        <w:rPr>
          <w:rtl w:val="true"/>
        </w:rPr>
        <w:t>לאחר שנגרר אחרי אחרים</w:t>
      </w:r>
      <w:r>
        <w:rPr>
          <w:rtl w:val="true"/>
        </w:rPr>
        <w:t xml:space="preserve">, </w:t>
      </w:r>
      <w:r>
        <w:rPr>
          <w:rtl w:val="true"/>
        </w:rPr>
        <w:t>וכי הצליח לבנות גבולות פנימיים שיסייעו לו להימנע ממעורבות בפלילים בעתיד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color w:val="833C0B"/>
        </w:rPr>
      </w:pPr>
      <w:r>
        <w:rPr>
          <w:rFonts w:cs="Century" w:ascii="Century" w:hAnsi="Century"/>
          <w:color w:val="833C0B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color w:val="833C0B"/>
        </w:rPr>
      </w:pPr>
      <w:r>
        <w:rPr>
          <w:rtl w:val="true"/>
        </w:rPr>
        <w:tab/>
      </w:r>
      <w:r>
        <w:rPr>
          <w:rtl w:val="true"/>
        </w:rPr>
        <w:t xml:space="preserve">עוד נטען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לקח אחריות על ביצוע העבירה ולא נפתחו נגדו תיקים נוספים</w:t>
      </w:r>
      <w:r>
        <w:rPr>
          <w:rtl w:val="true"/>
        </w:rPr>
        <w:t xml:space="preserve">; </w:t>
      </w:r>
      <w:r>
        <w:rPr>
          <w:rtl w:val="true"/>
        </w:rPr>
        <w:t>השתלב במסגרת תעסוקתית ומשתדל לבנות לעצמו סדר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tl w:val="true"/>
        </w:rPr>
        <w:t xml:space="preserve">; </w:t>
      </w:r>
      <w:r>
        <w:rPr>
          <w:rtl w:val="true"/>
        </w:rPr>
        <w:t>כי עצם היותו קטין</w:t>
      </w:r>
      <w:r>
        <w:rPr>
          <w:rtl w:val="true"/>
        </w:rPr>
        <w:t xml:space="preserve">, </w:t>
      </w:r>
      <w:r>
        <w:rPr>
          <w:rtl w:val="true"/>
        </w:rPr>
        <w:t xml:space="preserve">אשר היה נתון ללחצים של אחרים היא </w:t>
      </w:r>
      <w:r>
        <w:rPr>
          <w:rtl w:val="true"/>
        </w:rPr>
        <w:t>"</w:t>
      </w:r>
      <w:r>
        <w:rPr>
          <w:rtl w:val="true"/>
        </w:rPr>
        <w:t>התנהלות אשר מאפיינת קטינים ואנשים המצויים בגיל הבגרות וללא אישיות בשלה ומגובשת</w:t>
      </w:r>
      <w:r>
        <w:rPr>
          <w:rtl w:val="true"/>
        </w:rPr>
        <w:t xml:space="preserve">", </w:t>
      </w:r>
      <w:r>
        <w:rPr>
          <w:rtl w:val="true"/>
        </w:rPr>
        <w:t>כלשון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  <w:color w:val="833C0B"/>
        </w:rPr>
      </w:pPr>
      <w:r>
        <w:rPr>
          <w:rFonts w:cs="Century" w:ascii="Century" w:hAnsi="Century"/>
          <w:color w:val="833C0B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 בערעורו כי שגה בית המשפט המחוזי כשלא אימץ באופן מלא את המלצת שירות המבחן להימנע מהרשעתו</w:t>
      </w:r>
      <w:r>
        <w:rPr>
          <w:rtl w:val="true"/>
        </w:rPr>
        <w:t xml:space="preserve">, </w:t>
      </w:r>
      <w:r>
        <w:rPr>
          <w:rtl w:val="true"/>
        </w:rPr>
        <w:t>לנקוט עמו בדרכי טיפול ולהעמידו בצו מבחן למשך שנה</w:t>
      </w:r>
      <w:r>
        <w:rPr>
          <w:rtl w:val="true"/>
        </w:rPr>
        <w:t xml:space="preserve">, </w:t>
      </w:r>
      <w:r>
        <w:rPr>
          <w:rtl w:val="true"/>
        </w:rPr>
        <w:t>להטיל עליו שירות לטובת הציבור בהיקף נרחב ולהחתימו על התחייבות להימנע מעבירות בעתיד</w:t>
      </w:r>
      <w:r>
        <w:rPr>
          <w:rtl w:val="true"/>
        </w:rPr>
        <w:t xml:space="preserve">, </w:t>
      </w:r>
      <w:r>
        <w:rPr>
          <w:rtl w:val="true"/>
        </w:rPr>
        <w:t>אלא נצמד לשיקול הענישה והרשיעו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תסקירי שרות המבחן היו חיוביים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ומלמדים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מעשה חריג בחייו</w:t>
      </w:r>
      <w:r>
        <w:rPr>
          <w:rtl w:val="true"/>
        </w:rPr>
        <w:t xml:space="preserve">, </w:t>
      </w:r>
      <w:r>
        <w:rPr>
          <w:rtl w:val="true"/>
        </w:rPr>
        <w:t>כי למד לקח וכי לא ישוב על מעשיו בעתיד</w:t>
      </w:r>
      <w:r>
        <w:rPr>
          <w:rtl w:val="true"/>
        </w:rPr>
        <w:t xml:space="preserve">; </w:t>
      </w:r>
      <w:r>
        <w:rPr>
          <w:rtl w:val="true"/>
        </w:rPr>
        <w:t>הוא נעדר עבר פלילי</w:t>
      </w:r>
      <w:r>
        <w:rPr>
          <w:rtl w:val="true"/>
        </w:rPr>
        <w:t xml:space="preserve">; </w:t>
      </w:r>
      <w:r>
        <w:rPr>
          <w:rtl w:val="true"/>
        </w:rPr>
        <w:t>עבר הליך טיפולי שיקומי ומעצרו הוביל לתפנית משמעותית בתפיסתו והפנמה של מעשיו הפסולים</w:t>
      </w:r>
      <w:r>
        <w:rPr>
          <w:rtl w:val="true"/>
        </w:rPr>
        <w:t xml:space="preserve">, </w:t>
      </w:r>
      <w:r>
        <w:rPr>
          <w:rtl w:val="true"/>
        </w:rPr>
        <w:t>לרבות התנצלות והזדהות עם רגשותיהם של נפגעי העבירה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 xml:space="preserve">   </w:t>
      </w:r>
      <w:r>
        <w:rPr>
          <w:rtl w:val="true"/>
        </w:rPr>
        <w:t xml:space="preserve">עוד טען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 בית המשפט הכיר בחשיבות המסלול הטיפולי בעניינו אך סתר עצמו כשהרשיעו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המסר של הרתעת הרבים בנוגע לנערים הפלסטינים ממזרח ירושלים חייב להיות שונה כ</w:t>
      </w:r>
      <w:r>
        <w:rPr>
          <w:rtl w:val="true"/>
        </w:rPr>
        <w:t>"</w:t>
      </w:r>
      <w:r>
        <w:rPr>
          <w:rtl w:val="true"/>
        </w:rPr>
        <w:t xml:space="preserve">שהנער משתף פעולה </w:t>
      </w:r>
      <w:r>
        <w:rPr>
          <w:rtl w:val="true"/>
        </w:rPr>
        <w:t>"</w:t>
      </w:r>
      <w:r>
        <w:rPr>
          <w:rtl w:val="true"/>
        </w:rPr>
        <w:t>באופן מלא</w:t>
      </w:r>
      <w:r>
        <w:rPr>
          <w:rtl w:val="true"/>
        </w:rPr>
        <w:t xml:space="preserve">" </w:t>
      </w:r>
      <w:r>
        <w:rPr>
          <w:rtl w:val="true"/>
        </w:rPr>
        <w:t>עם הגורמים הטיפולים ומפנים את הפסול במעשיו</w:t>
      </w:r>
      <w:r>
        <w:rPr>
          <w:rtl w:val="true"/>
        </w:rPr>
        <w:t xml:space="preserve">"; </w:t>
      </w:r>
      <w:r>
        <w:rPr>
          <w:rtl w:val="true"/>
        </w:rPr>
        <w:t>לקח אחריות מלאה והצליח בהליך הטיפולי</w:t>
      </w:r>
      <w:r>
        <w:rPr>
          <w:rtl w:val="true"/>
        </w:rPr>
        <w:t xml:space="preserve">; </w:t>
      </w:r>
      <w:r>
        <w:rPr>
          <w:rtl w:val="true"/>
        </w:rPr>
        <w:t xml:space="preserve">אין כל בסיס להשוואה בינו לבין האחר לעבירה מבחינת היקף העבירות ונסיבותיהן </w:t>
      </w:r>
      <w:r>
        <w:rPr>
          <w:rtl w:val="true"/>
        </w:rPr>
        <w:t xml:space="preserve">- </w:t>
      </w:r>
      <w:r>
        <w:rPr>
          <w:rtl w:val="true"/>
        </w:rPr>
        <w:t>האחר חזר וביצע אותו סוג של עבירה שנה לאחר שנה</w:t>
      </w:r>
      <w:r>
        <w:rPr>
          <w:rtl w:val="true"/>
        </w:rPr>
        <w:t xml:space="preserve">, </w:t>
      </w:r>
      <w:r>
        <w:rPr>
          <w:rtl w:val="true"/>
        </w:rPr>
        <w:t>האירוע השני התרחש בהיותו במעצר בית</w:t>
      </w:r>
      <w:r>
        <w:rPr>
          <w:rtl w:val="true"/>
        </w:rPr>
        <w:t xml:space="preserve">, </w:t>
      </w:r>
      <w:r>
        <w:rPr>
          <w:rtl w:val="true"/>
        </w:rPr>
        <w:t>נזקפו לחובתו הרשעות קודמות ושירות המבחן לא בא בעניינו בהמלצה טיפולית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עיקרי הדיון בערעורים</w:t>
      </w:r>
    </w:p>
    <w:p>
      <w:pPr>
        <w:pStyle w:val="Ruller4"/>
        <w:ind w:end="0"/>
        <w:jc w:val="both"/>
        <w:rPr>
          <w:rFonts w:ascii="Miriam" w:hAnsi="Miriam" w:cs="Miriam"/>
          <w:color w:val="833C0B"/>
          <w:sz w:val="24"/>
          <w:szCs w:val="24"/>
        </w:rPr>
      </w:pPr>
      <w:r>
        <w:rPr>
          <w:rFonts w:cs="Miriam" w:ascii="Miriam" w:hAnsi="Miriam"/>
          <w:color w:val="833C0B"/>
          <w:sz w:val="24"/>
          <w:szCs w:val="24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בדיון שהתנהל בפנינו</w:t>
      </w:r>
      <w:r>
        <w:rPr>
          <w:rtl w:val="true"/>
        </w:rPr>
        <w:t xml:space="preserve">, </w:t>
      </w:r>
      <w:r>
        <w:rPr>
          <w:rtl w:val="true"/>
        </w:rPr>
        <w:t>טען בא</w:t>
      </w:r>
      <w:r>
        <w:rPr>
          <w:rtl w:val="true"/>
        </w:rPr>
        <w:t>-</w:t>
      </w:r>
      <w:r>
        <w:rPr>
          <w:rtl w:val="true"/>
        </w:rPr>
        <w:t>כוח המ</w:t>
      </w:r>
      <w:r>
        <w:rPr>
          <w:rtl w:val="true"/>
        </w:rPr>
        <w:t xml:space="preserve">דינה לחומרת העבירה שהעונש לצידה עד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 מאסר ואשר מצדיקה גם במקרה דנן עונשי מאסר בפועל משמעותיים</w:t>
      </w:r>
      <w:r>
        <w:rPr>
          <w:rtl w:val="true"/>
        </w:rPr>
        <w:t xml:space="preserve">; </w:t>
      </w:r>
      <w:r>
        <w:rPr>
          <w:rtl w:val="true"/>
        </w:rPr>
        <w:t>בנסיבות שבוצעו</w:t>
      </w:r>
      <w:r>
        <w:rPr>
          <w:rtl w:val="true"/>
        </w:rPr>
        <w:t xml:space="preserve">, </w:t>
      </w:r>
      <w:r>
        <w:rPr>
          <w:rtl w:val="true"/>
        </w:rPr>
        <w:t>שכללו תכנון</w:t>
      </w:r>
      <w:r>
        <w:rPr>
          <w:rtl w:val="true"/>
        </w:rPr>
        <w:t xml:space="preserve">, </w:t>
      </w:r>
      <w:r>
        <w:rPr>
          <w:rtl w:val="true"/>
        </w:rPr>
        <w:t>החלפת בגדים</w:t>
      </w:r>
      <w:r>
        <w:rPr>
          <w:rtl w:val="true"/>
        </w:rPr>
        <w:t xml:space="preserve">, </w:t>
      </w:r>
      <w:r>
        <w:rPr>
          <w:rtl w:val="true"/>
        </w:rPr>
        <w:t xml:space="preserve">עטיית רעלות ויידוי שלושה בקבוקי תבערה לעבר בית בשעת בוקר מוקדמת כשאנשים נמצאים בבית </w:t>
      </w:r>
      <w:r>
        <w:rPr>
          <w:rtl w:val="true"/>
        </w:rPr>
        <w:t xml:space="preserve">- </w:t>
      </w:r>
      <w:r>
        <w:rPr>
          <w:rtl w:val="true"/>
        </w:rPr>
        <w:t>הנזק יכול היה להיות גדול מאוד</w:t>
      </w:r>
      <w:r>
        <w:rPr>
          <w:rtl w:val="true"/>
        </w:rPr>
        <w:t xml:space="preserve">;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ראוי להיות מדרג בענישה בין שני המשיבים</w:t>
      </w:r>
      <w:r>
        <w:rPr>
          <w:rtl w:val="true"/>
        </w:rPr>
        <w:t xml:space="preserve">, </w:t>
      </w:r>
      <w:r>
        <w:rPr>
          <w:rtl w:val="true"/>
        </w:rPr>
        <w:t>אך העונשים שהושתו עליהם נמוכים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 המדינה</w:t>
      </w:r>
      <w:r>
        <w:rPr>
          <w:rtl w:val="true"/>
        </w:rPr>
        <w:t xml:space="preserve">, </w:t>
      </w:r>
      <w:r>
        <w:rPr>
          <w:rtl w:val="true"/>
        </w:rPr>
        <w:t xml:space="preserve">כי הפער בין העונשים שהושתו על המשיבים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לבין העונש שהושת על שותפם לעבירות </w:t>
      </w:r>
      <w:r>
        <w:rPr>
          <w:rtl w:val="true"/>
        </w:rPr>
        <w:t xml:space="preserve">- </w:t>
      </w:r>
      <w:r>
        <w:rPr>
          <w:rtl w:val="true"/>
        </w:rPr>
        <w:t>גדול מידי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קרוב לגיל הבגרות</w:t>
      </w:r>
      <w:r>
        <w:rPr>
          <w:rtl w:val="true"/>
        </w:rPr>
        <w:t xml:space="preserve">, </w:t>
      </w:r>
      <w:r>
        <w:rPr>
          <w:rtl w:val="true"/>
        </w:rPr>
        <w:t>הקשר בינו לבין שירות המבחן לא היה במיטבו</w:t>
      </w:r>
      <w:r>
        <w:rPr>
          <w:rtl w:val="true"/>
        </w:rPr>
        <w:t xml:space="preserve">, </w:t>
      </w:r>
      <w:r>
        <w:rPr>
          <w:rtl w:val="true"/>
        </w:rPr>
        <w:t>הלה ניתק אותו בטרם ניתן פסק דין ושירות המבחן לא בא בהמלצה טיפולית לגביו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באשר למשיב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טענה המדינה</w:t>
      </w:r>
      <w:r>
        <w:rPr>
          <w:rtl w:val="true"/>
        </w:rPr>
        <w:t xml:space="preserve">, </w:t>
      </w:r>
      <w:r>
        <w:rPr>
          <w:rtl w:val="true"/>
        </w:rPr>
        <w:t>כי שירות המבחן המליץ בזמנו על אי הרשעה ושירות לטובת הציבור</w:t>
      </w:r>
      <w:r>
        <w:rPr>
          <w:rtl w:val="true"/>
        </w:rPr>
        <w:t xml:space="preserve">, </w:t>
      </w:r>
      <w:r>
        <w:rPr>
          <w:rtl w:val="true"/>
        </w:rPr>
        <w:t xml:space="preserve">אולם בתסקיר הנוכחי חזר בו ועומד על הרשעתו ברקע </w:t>
      </w:r>
      <w:r>
        <w:rPr>
          <w:rtl w:val="true"/>
        </w:rPr>
        <w:t>"</w:t>
      </w:r>
      <w:r>
        <w:rPr>
          <w:rtl w:val="true"/>
        </w:rPr>
        <w:t>טעות</w:t>
      </w:r>
      <w:r>
        <w:rPr>
          <w:rtl w:val="true"/>
        </w:rPr>
        <w:t xml:space="preserve">" </w:t>
      </w:r>
      <w:r>
        <w:rPr>
          <w:rtl w:val="true"/>
        </w:rPr>
        <w:t>של המשיב אשר נסע באופנוע ללא רישיון</w:t>
      </w:r>
      <w:r>
        <w:rPr>
          <w:rtl w:val="true"/>
        </w:rPr>
        <w:t xml:space="preserve">, </w:t>
      </w:r>
      <w:r>
        <w:rPr>
          <w:rtl w:val="true"/>
        </w:rPr>
        <w:t>עבירה בגינה הוא עומד כעת לדין</w:t>
      </w:r>
      <w:r>
        <w:rPr>
          <w:rtl w:val="true"/>
        </w:rPr>
        <w:t xml:space="preserve">;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אמנם יש להתייחס לשני המשיבים באופן שונה אולם בסופו של דבר</w:t>
      </w:r>
      <w:r>
        <w:rPr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הרתעה עניינה למנוע מקטינים אחרים להיכנס למעגל ולבצע את העבירות מלכתחילה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מטעם שירות המבחן לנוער צוין במהלך הדיון בפנינו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החל לרצות את עונשו בחודש יולי</w:t>
      </w:r>
      <w:r>
        <w:rPr>
          <w:rtl w:val="true"/>
        </w:rPr>
        <w:t xml:space="preserve">, </w:t>
      </w:r>
      <w:r>
        <w:rPr>
          <w:rtl w:val="true"/>
        </w:rPr>
        <w:t>ללא עבירות משמעת</w:t>
      </w:r>
      <w:r>
        <w:rPr>
          <w:rtl w:val="true"/>
        </w:rPr>
        <w:t xml:space="preserve">, </w:t>
      </w:r>
      <w:r>
        <w:rPr>
          <w:rtl w:val="true"/>
        </w:rPr>
        <w:t>הביע חרטה</w:t>
      </w:r>
      <w:r>
        <w:rPr>
          <w:rtl w:val="true"/>
        </w:rPr>
        <w:t xml:space="preserve">, </w:t>
      </w:r>
      <w:r>
        <w:rPr>
          <w:rtl w:val="true"/>
        </w:rPr>
        <w:t>אך שיתוף הפעולה עמו היה חלקי ולא השלים את העבודה הטיפולית מאחר שביקש לסיים את הקשר</w:t>
      </w:r>
      <w:r>
        <w:rPr>
          <w:rtl w:val="true"/>
        </w:rPr>
        <w:t xml:space="preserve">. </w:t>
      </w:r>
      <w:r>
        <w:rPr>
          <w:rtl w:val="true"/>
        </w:rPr>
        <w:t>שירות המבחן התלבט באשר להמלצה בעניינו ולבסוף המליץ להותיר את העונש על כנו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שירות המבחן המליץ במהלך הדיון להרשיע את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להשית עליו מאסר על תנאי ופיצוי</w:t>
      </w:r>
      <w:r>
        <w:rPr>
          <w:rtl w:val="true"/>
        </w:rPr>
        <w:t xml:space="preserve">, </w:t>
      </w:r>
      <w:r>
        <w:rPr>
          <w:rtl w:val="true"/>
        </w:rPr>
        <w:t>להמיר את המאסר בשירות לתועלת הציבור בהיקף נרחב ולאפשר לו הליך שיקום מאחר שלקח אחריות מלאה לעבירה</w:t>
      </w:r>
      <w:r>
        <w:rPr>
          <w:rtl w:val="true"/>
        </w:rPr>
        <w:t xml:space="preserve">, </w:t>
      </w:r>
      <w:r>
        <w:rPr>
          <w:rtl w:val="true"/>
        </w:rPr>
        <w:t>ממשיך להביע חרטה</w:t>
      </w:r>
      <w:r>
        <w:rPr>
          <w:rtl w:val="true"/>
        </w:rPr>
        <w:t xml:space="preserve">, </w:t>
      </w:r>
      <w:r>
        <w:rPr>
          <w:rtl w:val="true"/>
        </w:rPr>
        <w:t>מגיע בצורה מסודרת לבית הספר</w:t>
      </w:r>
      <w:r>
        <w:rPr>
          <w:rtl w:val="true"/>
        </w:rPr>
        <w:t xml:space="preserve">, </w:t>
      </w:r>
      <w:r>
        <w:rPr>
          <w:rtl w:val="true"/>
        </w:rPr>
        <w:t>נפגש באופן מסודר עם שירות המבחן ולהתרשמותם הוא מביע מוטיבציה להשלמת הטיפול</w:t>
      </w:r>
      <w:r>
        <w:rPr>
          <w:rtl w:val="true"/>
        </w:rPr>
        <w:t xml:space="preserve">. </w:t>
      </w:r>
      <w:r>
        <w:rPr>
          <w:rtl w:val="true"/>
        </w:rPr>
        <w:t>עם זאת נמסר כי תלוי ועומד נגדו תיק פלילי נוסף</w:t>
      </w:r>
      <w:r>
        <w:rPr>
          <w:rtl w:val="true"/>
        </w:rPr>
        <w:t xml:space="preserve">, </w:t>
      </w:r>
      <w:r>
        <w:rPr>
          <w:rtl w:val="true"/>
        </w:rPr>
        <w:t>בגין מעורבותו בעבירה נוספת של נהיגה ללא רישיון וללא ביטוח</w:t>
      </w:r>
      <w:r>
        <w:rPr>
          <w:rtl w:val="true"/>
        </w:rPr>
        <w:t xml:space="preserve">, </w:t>
      </w:r>
      <w:r>
        <w:rPr>
          <w:rtl w:val="true"/>
        </w:rPr>
        <w:t>ועל כן שולב בתוכנית המיועדת לנערים שביצעו עבירות נהיגה</w:t>
      </w:r>
      <w:r>
        <w:rPr>
          <w:rtl w:val="true"/>
        </w:rPr>
        <w:t xml:space="preserve">, </w:t>
      </w:r>
      <w:r>
        <w:rPr>
          <w:rtl w:val="true"/>
        </w:rPr>
        <w:t>משתף פעולה ומגיע באופן קבוע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חזר במהלך הדיון בערעור על טיעוניו בכתב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טען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כבר ריצה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;</w:t>
      </w:r>
      <w:r>
        <w:rPr>
          <w:rtl w:val="true"/>
        </w:rPr>
        <w:t xml:space="preserve">  </w:t>
      </w:r>
      <w:r>
        <w:rPr>
          <w:rtl w:val="true"/>
        </w:rPr>
        <w:t>בקשתו לשחרור מוקדם נדחתה לאחרונה לנוכח העובדה שסווג כאסיר ביטחוני</w:t>
      </w:r>
      <w:r>
        <w:rPr>
          <w:rtl w:val="true"/>
        </w:rPr>
        <w:t xml:space="preserve">; </w:t>
      </w:r>
      <w:r>
        <w:rPr>
          <w:rtl w:val="true"/>
        </w:rPr>
        <w:t xml:space="preserve">אף מכורח טיעון המדינה בעניין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יש לקבל את ערעור המשיב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 xml:space="preserve">אין קשר ולא ניתן </w:t>
      </w:r>
      <w:r>
        <w:rPr>
          <w:rtl w:val="true"/>
        </w:rPr>
        <w:t>להשוות את</w:t>
      </w:r>
      <w:r>
        <w:rPr>
          <w:rtl w:val="true"/>
        </w:rPr>
        <w:t xml:space="preserve"> עניינם של המשיבים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במקרה דנן לעניינו של האחר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 xml:space="preserve">חמשת התסקירים מדברים בפני עצמם ולפיהם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 חרטה כנה</w:t>
      </w:r>
      <w:r>
        <w:rPr>
          <w:rtl w:val="true"/>
        </w:rPr>
        <w:t xml:space="preserve">; </w:t>
      </w:r>
      <w:r>
        <w:rPr>
          <w:rtl w:val="true"/>
        </w:rPr>
        <w:t>באשר לשיתוף הפעולה עם שירות המבחן שלא מוצה</w:t>
      </w:r>
      <w:r>
        <w:rPr>
          <w:rtl w:val="true"/>
        </w:rPr>
        <w:t xml:space="preserve">, </w:t>
      </w:r>
      <w:r>
        <w:rPr>
          <w:rtl w:val="true"/>
        </w:rPr>
        <w:t>הדבר נובע ממספר סיבות ובהן אישיותו ה</w:t>
      </w:r>
      <w:r>
        <w:rPr>
          <w:rtl w:val="true"/>
        </w:rPr>
        <w:t>"</w:t>
      </w:r>
      <w:r>
        <w:rPr>
          <w:rtl w:val="true"/>
        </w:rPr>
        <w:t>חלשה</w:t>
      </w:r>
      <w:r>
        <w:rPr>
          <w:rtl w:val="true"/>
        </w:rPr>
        <w:t xml:space="preserve">" </w:t>
      </w:r>
      <w:r>
        <w:rPr>
          <w:rtl w:val="true"/>
        </w:rPr>
        <w:t xml:space="preserve">של המשיב שמעוניין להרגיש </w:t>
      </w:r>
      <w:r>
        <w:rPr>
          <w:rtl w:val="true"/>
        </w:rPr>
        <w:t>"</w:t>
      </w:r>
      <w:r>
        <w:rPr>
          <w:rtl w:val="true"/>
        </w:rPr>
        <w:t>גבר</w:t>
      </w:r>
      <w:r>
        <w:rPr>
          <w:rtl w:val="true"/>
        </w:rPr>
        <w:t xml:space="preserve">" </w:t>
      </w:r>
      <w:r>
        <w:rPr>
          <w:rtl w:val="true"/>
        </w:rPr>
        <w:t>לא פחות מהקבוצה אליה הוא משתייך</w:t>
      </w:r>
      <w:r>
        <w:rPr>
          <w:rtl w:val="true"/>
        </w:rPr>
        <w:t xml:space="preserve">; </w:t>
      </w:r>
      <w:r>
        <w:rPr>
          <w:rtl w:val="true"/>
        </w:rPr>
        <w:t>יש להקל עם עונשו על מנת לשמר את רצונו להיות נורמטיבי ולהגשים את שאיפותיו</w:t>
      </w:r>
      <w:r>
        <w:rPr>
          <w:rtl w:val="true"/>
        </w:rPr>
        <w:t xml:space="preserve">; </w:t>
      </w:r>
      <w:r>
        <w:rPr>
          <w:rtl w:val="true"/>
        </w:rPr>
        <w:t xml:space="preserve">קיים פער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בעונש המאסר שלו לבין זה של האחר</w:t>
      </w:r>
      <w:r>
        <w:rPr>
          <w:rtl w:val="true"/>
        </w:rPr>
        <w:t xml:space="preserve">, </w:t>
      </w:r>
      <w:r>
        <w:rPr>
          <w:rtl w:val="true"/>
        </w:rPr>
        <w:t>אשר מצביע על הבדל מהותי בין השניים וכן יש להתחשב גם בתקופה שהיה נתון בפיקוח אלקטרוני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הפנה במהלך הדיון בפנינו לחוק הנוער המתייחס לשיקום</w:t>
      </w:r>
      <w:r>
        <w:rPr>
          <w:rtl w:val="true"/>
        </w:rPr>
        <w:t xml:space="preserve">; </w:t>
      </w:r>
      <w:r>
        <w:rPr>
          <w:rtl w:val="true"/>
        </w:rPr>
        <w:t xml:space="preserve">היותו בן </w:t>
      </w:r>
      <w:r>
        <w:rPr/>
        <w:t>15.5</w:t>
      </w:r>
      <w:r>
        <w:rPr>
          <w:rtl w:val="true"/>
        </w:rPr>
        <w:t xml:space="preserve"> </w:t>
      </w:r>
      <w:r>
        <w:rPr>
          <w:rtl w:val="true"/>
        </w:rPr>
        <w:t>בעת ביצוע העבירה</w:t>
      </w:r>
      <w:r>
        <w:rPr>
          <w:rtl w:val="true"/>
        </w:rPr>
        <w:t xml:space="preserve">, </w:t>
      </w:r>
      <w:r>
        <w:rPr>
          <w:rtl w:val="true"/>
        </w:rPr>
        <w:t>שהה חודש במעצר ושוחרר בתנאים מגבילים למעצר בית מלא ואף הצליח לסיים בהצלחה את לימודיו</w:t>
      </w:r>
      <w:r>
        <w:rPr>
          <w:rtl w:val="true"/>
        </w:rPr>
        <w:t xml:space="preserve">; </w:t>
      </w:r>
      <w:r>
        <w:rPr>
          <w:rtl w:val="true"/>
        </w:rPr>
        <w:t>אין ולא יכולה להיות השוואה בינו לבין האחר לעבירה</w:t>
      </w:r>
      <w:r>
        <w:rPr>
          <w:rtl w:val="true"/>
        </w:rPr>
        <w:t xml:space="preserve">, </w:t>
      </w:r>
      <w:r>
        <w:rPr>
          <w:rtl w:val="true"/>
        </w:rPr>
        <w:t xml:space="preserve">שכן השיקום אמור להוות </w:t>
      </w:r>
      <w:r>
        <w:rPr>
          <w:rtl w:val="true"/>
        </w:rPr>
        <w:t>"</w:t>
      </w:r>
      <w:r>
        <w:rPr>
          <w:rtl w:val="true"/>
        </w:rPr>
        <w:t>מפתח בתיקי נוער גם כאשר התיק קשה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לשיטתו מדובר ב</w:t>
      </w:r>
      <w:r>
        <w:rPr>
          <w:rtl w:val="true"/>
        </w:rPr>
        <w:t>"</w:t>
      </w:r>
      <w:r>
        <w:rPr>
          <w:rtl w:val="true"/>
        </w:rPr>
        <w:t>מקרה קיצוני</w:t>
      </w:r>
      <w:r>
        <w:rPr>
          <w:rtl w:val="true"/>
        </w:rPr>
        <w:t xml:space="preserve">" </w:t>
      </w:r>
      <w:r>
        <w:rPr>
          <w:rtl w:val="true"/>
        </w:rPr>
        <w:t>ונדיר בו שירות המבחן המליץ בבית המשפט המחוזי על אי הרשעה ושירות לתועלת הציבור ולא נפלה טעות בעניין זה</w:t>
      </w:r>
      <w:r>
        <w:rPr>
          <w:rtl w:val="true"/>
        </w:rPr>
        <w:t xml:space="preserve">; </w:t>
      </w:r>
      <w:r>
        <w:rPr>
          <w:rtl w:val="true"/>
        </w:rPr>
        <w:t>מדובר בעבירה ראשונה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יש להעביר מסר לנערים פלסטיניים הגרים במזרח ירושלים כי יש חשיבות ל</w:t>
      </w:r>
      <w:r>
        <w:rPr>
          <w:rtl w:val="true"/>
        </w:rPr>
        <w:t>"</w:t>
      </w:r>
      <w:r>
        <w:rPr>
          <w:rtl w:val="true"/>
        </w:rPr>
        <w:t>תפנית</w:t>
      </w:r>
      <w:r>
        <w:rPr>
          <w:rtl w:val="true"/>
        </w:rPr>
        <w:t xml:space="preserve">" </w:t>
      </w:r>
      <w:r>
        <w:rPr>
          <w:rtl w:val="true"/>
        </w:rPr>
        <w:t>ולתהליך שעושים לאחר ביצוע העבירה ולא בכל מקרה יבוקש מאסר 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נמנע מלהתייחס לעבירת הנהיגה ללא רישיון על אופנוע שביצע מאחר שלדבריו התיק אינו ברשותו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color w:val="833C0B"/>
        </w:rPr>
      </w:pPr>
      <w:r>
        <w:rPr>
          <w:color w:val="833C0B"/>
          <w:rtl w:val="true"/>
        </w:rPr>
      </w:r>
    </w:p>
    <w:p>
      <w:pPr>
        <w:pStyle w:val="Ruller4"/>
        <w:ind w:end="0"/>
        <w:jc w:val="both"/>
        <w:rPr>
          <w:color w:val="833C0B"/>
        </w:rPr>
      </w:pPr>
      <w:r>
        <w:rPr>
          <w:color w:val="833C0B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color w:val="833C0B"/>
        </w:rPr>
      </w:pPr>
      <w:r>
        <w:rPr>
          <w:rFonts w:cs="Century" w:ascii="Century" w:hAnsi="Century"/>
          <w:color w:val="833C0B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baseline"/>
        <w:rPr>
          <w:rFonts w:ascii="FrankRuehl" w:hAnsi="FrankRuehl" w:cs="FrankRuehl"/>
          <w:sz w:val="28"/>
        </w:rPr>
      </w:pPr>
      <w:r>
        <w:rPr>
          <w:rtl w:val="true"/>
        </w:rPr>
        <w:t>אני סבור כי דין ערעור המדינה על קולת העונש</w:t>
      </w:r>
      <w:r>
        <w:rPr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להתקבל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ודינם של ערעורי המשיבים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להידחו</w:t>
      </w:r>
      <w:r>
        <w:rPr>
          <w:rFonts w:ascii="Miriam" w:hAnsi="Miriam" w:cs="Miriam"/>
          <w:szCs w:val="24"/>
          <w:rtl w:val="true"/>
        </w:rPr>
        <w:t>ת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תיטה שלא להתערב בעו</w:t>
      </w:r>
      <w:r>
        <w:rPr>
          <w:rtl w:val="true"/>
        </w:rPr>
        <w:t>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 xml:space="preserve">ממשית מרמת הענישה הנוהגת או הראויה 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ובולטת בפסק 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14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3187/21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21.8.2022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tl w:val="true"/>
        </w:rPr>
        <w:t xml:space="preserve"> </w:t>
      </w:r>
      <w:hyperlink r:id="rId1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671/22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20.10.2022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4423/22</w:t>
        </w:r>
      </w:hyperlink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30.10.2022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שיפורט</w:t>
      </w:r>
      <w:r>
        <w:rPr>
          <w:rtl w:val="true"/>
        </w:rPr>
        <w:t xml:space="preserve">, </w:t>
      </w:r>
      <w:r>
        <w:rPr>
          <w:rtl w:val="true"/>
        </w:rPr>
        <w:t>עניינם של המשיבים שלפנינו הם בגדר חריגים</w:t>
      </w:r>
      <w:r>
        <w:rPr>
          <w:rtl w:val="true"/>
        </w:rPr>
        <w:t xml:space="preserve"> לכלל זה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בחינת העונש שנגזר על </w:t>
      </w:r>
      <w:r>
        <w:rPr>
          <w:rtl w:val="true"/>
        </w:rPr>
        <w:t xml:space="preserve">המשיבים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בהתייחס ל</w:t>
      </w:r>
      <w:r>
        <w:rPr>
          <w:rtl w:val="true"/>
        </w:rPr>
        <w:t>חומרת מעשי</w:t>
      </w:r>
      <w:r>
        <w:rPr>
          <w:rtl w:val="true"/>
        </w:rPr>
        <w:t>הם והסכנה הגלומה בהם</w:t>
      </w:r>
      <w:r>
        <w:rPr>
          <w:rtl w:val="true"/>
        </w:rPr>
        <w:t xml:space="preserve">, </w:t>
      </w:r>
      <w:r>
        <w:rPr>
          <w:rtl w:val="true"/>
        </w:rPr>
        <w:t>נסיבותי</w:t>
      </w:r>
      <w:r>
        <w:rPr>
          <w:rtl w:val="true"/>
        </w:rPr>
        <w:t>הם</w:t>
      </w:r>
      <w:r>
        <w:rPr>
          <w:rtl w:val="true"/>
        </w:rPr>
        <w:t xml:space="preserve"> הפרטניות</w:t>
      </w:r>
      <w:r>
        <w:rPr>
          <w:rtl w:val="true"/>
        </w:rPr>
        <w:t xml:space="preserve">, </w:t>
      </w:r>
      <w:r>
        <w:rPr>
          <w:rtl w:val="true"/>
        </w:rPr>
        <w:t xml:space="preserve">חוק הנוער </w:t>
      </w:r>
      <w:r>
        <w:rPr>
          <w:rtl w:val="true"/>
        </w:rPr>
        <w:t>ו</w:t>
      </w:r>
      <w:r>
        <w:rPr>
          <w:rtl w:val="true"/>
        </w:rPr>
        <w:t xml:space="preserve">מנגד </w:t>
      </w:r>
      <w:r>
        <w:rPr>
          <w:rtl w:val="true"/>
        </w:rPr>
        <w:t xml:space="preserve">- </w:t>
      </w:r>
      <w:r>
        <w:rPr>
          <w:rtl w:val="true"/>
        </w:rPr>
        <w:t xml:space="preserve">הכפלת הענישה </w:t>
      </w:r>
      <w:r>
        <w:rPr>
          <w:rtl w:val="true"/>
        </w:rPr>
        <w:t>על עבירות ההצתה</w:t>
      </w:r>
      <w:r>
        <w:rPr>
          <w:rtl w:val="true"/>
        </w:rPr>
        <w:t xml:space="preserve">, </w:t>
      </w:r>
      <w:r>
        <w:rPr>
          <w:rtl w:val="true"/>
        </w:rPr>
        <w:t>כפי שקבע המחוקק</w:t>
      </w:r>
      <w:r>
        <w:rPr>
          <w:rtl w:val="true"/>
        </w:rPr>
        <w:t xml:space="preserve"> בחוק המאבק בטרור</w:t>
      </w:r>
      <w:r>
        <w:rPr>
          <w:rtl w:val="true"/>
        </w:rPr>
        <w:t xml:space="preserve">, </w:t>
      </w:r>
      <w:r>
        <w:rPr>
          <w:rtl w:val="true"/>
        </w:rPr>
        <w:t>מעלה כי גזר</w:t>
      </w:r>
      <w:r>
        <w:rPr>
          <w:rtl w:val="true"/>
        </w:rPr>
        <w:t>י</w:t>
      </w:r>
      <w:r>
        <w:rPr>
          <w:rtl w:val="true"/>
        </w:rPr>
        <w:t xml:space="preserve"> הדין של בית המשפט המחוזי מקל</w:t>
      </w:r>
      <w:r>
        <w:rPr>
          <w:rtl w:val="true"/>
        </w:rPr>
        <w:t>ים</w:t>
      </w:r>
      <w:r>
        <w:rPr>
          <w:rtl w:val="true"/>
        </w:rPr>
        <w:t xml:space="preserve"> ע</w:t>
      </w:r>
      <w:r>
        <w:rPr>
          <w:rtl w:val="true"/>
        </w:rPr>
        <w:t>ם שניהם</w:t>
      </w:r>
      <w:r>
        <w:rPr>
          <w:rtl w:val="true"/>
        </w:rPr>
        <w:t xml:space="preserve"> באופן המצדיק את התערבות בית משפט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color w:val="833C0B"/>
        </w:rPr>
      </w:pPr>
      <w:r>
        <w:rPr>
          <w:color w:val="833C0B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המשיבים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הודו במיוחס להם בכתב האישום המתוקן</w:t>
      </w:r>
      <w:r>
        <w:rPr>
          <w:rtl w:val="true"/>
        </w:rPr>
        <w:t xml:space="preserve">, </w:t>
      </w:r>
      <w:r>
        <w:rPr>
          <w:rtl w:val="true"/>
        </w:rPr>
        <w:t>חברו יחדיו עם אחר על מנת להצית את ביתו של נפגע העבירה</w:t>
      </w:r>
      <w:r>
        <w:rPr>
          <w:rtl w:val="true"/>
        </w:rPr>
        <w:t xml:space="preserve">, </w:t>
      </w:r>
      <w:r>
        <w:rPr>
          <w:rtl w:val="true"/>
        </w:rPr>
        <w:t>וזאת ממניע אידאולוגי לאומני מובהק</w:t>
      </w:r>
      <w:r>
        <w:rPr>
          <w:rtl w:val="true"/>
        </w:rPr>
        <w:t xml:space="preserve">, </w:t>
      </w:r>
      <w:r>
        <w:rPr>
          <w:rtl w:val="true"/>
        </w:rPr>
        <w:t>מתוך ידיעה כי בשעות הבוקר המוקדמות</w:t>
      </w:r>
      <w:r>
        <w:rPr>
          <w:rtl w:val="true"/>
        </w:rPr>
        <w:t xml:space="preserve">, </w:t>
      </w:r>
      <w:r>
        <w:rPr>
          <w:rtl w:val="true"/>
        </w:rPr>
        <w:t>ישהו דיירים בבית עת מתחילה שגרת יומם</w:t>
      </w:r>
      <w:r>
        <w:rPr>
          <w:rtl w:val="true"/>
        </w:rPr>
        <w:t xml:space="preserve">. </w:t>
      </w:r>
      <w:r>
        <w:rPr>
          <w:rtl w:val="true"/>
        </w:rPr>
        <w:t>מדובר בתכנון בקפידה שמטרתו לפגוע ביהודים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המשיבים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בחנו את שטח הבית</w:t>
      </w:r>
      <w:r>
        <w:rPr>
          <w:rtl w:val="true"/>
        </w:rPr>
        <w:t xml:space="preserve">, </w:t>
      </w:r>
      <w:r>
        <w:rPr>
          <w:rtl w:val="true"/>
        </w:rPr>
        <w:t>ערכו עליו תצפית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החליף את בגדיו</w:t>
      </w:r>
      <w:r>
        <w:rPr>
          <w:rtl w:val="true"/>
        </w:rPr>
        <w:t xml:space="preserve">, </w:t>
      </w:r>
      <w:r>
        <w:rPr>
          <w:rtl w:val="true"/>
        </w:rPr>
        <w:t>עטו על פניהם רעלות</w:t>
      </w:r>
      <w:r>
        <w:rPr>
          <w:rtl w:val="true"/>
        </w:rPr>
        <w:t xml:space="preserve">, </w:t>
      </w:r>
      <w:r>
        <w:rPr>
          <w:rtl w:val="true"/>
        </w:rPr>
        <w:t>על מנת שלא יזהו אותם</w:t>
      </w:r>
      <w:r>
        <w:rPr>
          <w:rtl w:val="true"/>
        </w:rPr>
        <w:t xml:space="preserve">, </w:t>
      </w:r>
      <w:r>
        <w:rPr>
          <w:rtl w:val="true"/>
        </w:rPr>
        <w:t>ולאחר מכן הוציאו את תכניתם אל הפועל והשליכו</w:t>
      </w:r>
      <w:r>
        <w:rPr>
          <w:rtl w:val="true"/>
        </w:rPr>
        <w:t xml:space="preserve"> שלושה בקבוקי תבערה בו בזמן בצוותא חדא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שני בקבוקי תבערה חצו את גדר הבית</w:t>
      </w:r>
      <w:r>
        <w:rPr>
          <w:rtl w:val="true"/>
        </w:rPr>
        <w:t xml:space="preserve">, </w:t>
      </w:r>
      <w:r>
        <w:rPr>
          <w:rtl w:val="true"/>
        </w:rPr>
        <w:t>אחד נפל בסמוך לדלת הבית והשלישי התלקח בחצר</w:t>
      </w:r>
      <w:r>
        <w:rPr>
          <w:rtl w:val="true"/>
        </w:rPr>
        <w:t xml:space="preserve">. </w:t>
      </w:r>
      <w:r>
        <w:rPr>
          <w:rtl w:val="true"/>
        </w:rPr>
        <w:t xml:space="preserve">מעשים אלה יש בהם סכנת חיים ונזק רב  שיש ליתן לו משקל בעת גזירת העונש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 (</w:t>
      </w:r>
      <w:r>
        <w:rPr>
          <w:rtl w:val="true"/>
        </w:rPr>
        <w:t>וכן ראו למשל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2337/13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קואסמה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16.9.2013</w:t>
      </w:r>
      <w:r>
        <w:rPr>
          <w:rtl w:val="true"/>
        </w:rPr>
        <w:t>))</w:t>
      </w:r>
      <w:r>
        <w:rPr>
          <w:rtl w:val="true"/>
        </w:rPr>
        <w:t xml:space="preserve">, </w:t>
      </w:r>
      <w:r>
        <w:rPr>
          <w:rtl w:val="true"/>
        </w:rPr>
        <w:t>זאת בנוסף לנזק הנפשי שנגרם לנפגע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שהעיד כי </w:t>
      </w:r>
      <w:r>
        <w:rPr>
          <w:rtl w:val="true"/>
        </w:rPr>
        <w:t>"</w:t>
      </w:r>
      <w:r>
        <w:rPr>
          <w:rtl w:val="true"/>
        </w:rPr>
        <w:t>אירוע זה השפיע עליו באופן יומיומי</w:t>
      </w:r>
      <w:r>
        <w:rPr>
          <w:rtl w:val="true"/>
        </w:rPr>
        <w:t xml:space="preserve">", </w:t>
      </w:r>
      <w:r>
        <w:rPr>
          <w:rtl w:val="true"/>
        </w:rPr>
        <w:t xml:space="preserve">בכך שהוא </w:t>
      </w:r>
      <w:r>
        <w:rPr>
          <w:rtl w:val="true"/>
        </w:rPr>
        <w:t>"</w:t>
      </w:r>
      <w:r>
        <w:rPr>
          <w:rtl w:val="true"/>
        </w:rPr>
        <w:t>חש שהוא נמצא בסכנת חיים</w:t>
      </w:r>
      <w:r>
        <w:rPr>
          <w:rtl w:val="true"/>
        </w:rPr>
        <w:t xml:space="preserve">" </w:t>
      </w:r>
      <w:r>
        <w:rPr>
          <w:rtl w:val="true"/>
        </w:rPr>
        <w:t>ופגיעה בביטחונם האישי של דיירי הבית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Fonts w:eastAsia="Garamond"/>
          <w:color w:val="833C0B"/>
          <w:rtl w:val="true"/>
        </w:rPr>
        <w:t xml:space="preserve">  </w:t>
      </w:r>
      <w:r>
        <w:rPr>
          <w:rtl w:val="true"/>
        </w:rPr>
        <w:t>בית משפט זה שב ועמד על חומרתן של עבירות המבוצעות ממניע לאומני</w:t>
      </w:r>
      <w:r>
        <w:rPr>
          <w:rtl w:val="true"/>
        </w:rPr>
        <w:t xml:space="preserve">, </w:t>
      </w:r>
      <w:r>
        <w:rPr>
          <w:rtl w:val="true"/>
        </w:rPr>
        <w:t>אשר גולשות לא אחת להתפרצויות אלימות</w:t>
      </w:r>
      <w:r>
        <w:rPr>
          <w:rtl w:val="true"/>
        </w:rPr>
        <w:t xml:space="preserve">, </w:t>
      </w:r>
      <w:r>
        <w:rPr>
          <w:rtl w:val="true"/>
        </w:rPr>
        <w:t xml:space="preserve">זורות אימה בקרב הציבור ופוגעות בשלטון החוק והסדר הציבורי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8114/22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מדינת ישראל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ראשם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30.1.2023</w:t>
      </w:r>
      <w:r>
        <w:rPr>
          <w:rtl w:val="true"/>
        </w:rPr>
        <w:t>);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3245/23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מדינת ישראל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מאדי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1.10.2023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עניין מאדי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פגיעת המשיבים בערכים המוגנים</w:t>
      </w:r>
      <w:r>
        <w:rPr>
          <w:rtl w:val="true"/>
        </w:rPr>
        <w:t xml:space="preserve">, </w:t>
      </w:r>
      <w:r>
        <w:rPr>
          <w:rtl w:val="true"/>
        </w:rPr>
        <w:t>בכלל זה שמירה על שלמות החיים</w:t>
      </w:r>
      <w:r>
        <w:rPr>
          <w:rtl w:val="true"/>
        </w:rPr>
        <w:t xml:space="preserve">, </w:t>
      </w:r>
      <w:r>
        <w:rPr>
          <w:rtl w:val="true"/>
        </w:rPr>
        <w:t>הנפש והגוף מתוך מניע אידאולוגי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tl w:val="true"/>
        </w:rPr>
        <w:t xml:space="preserve"> מעשה טרור</w:t>
      </w:r>
      <w:r>
        <w:rPr>
          <w:rtl w:val="true"/>
        </w:rPr>
        <w:t xml:space="preserve">, </w:t>
      </w:r>
      <w:r>
        <w:rPr>
          <w:rtl w:val="true"/>
        </w:rPr>
        <w:t>בהתאם ל</w:t>
      </w:r>
      <w:r>
        <w:rPr>
          <w:color w:val="000000"/>
          <w:rtl w:val="true"/>
        </w:rPr>
        <w:t xml:space="preserve">סעיף </w:t>
      </w:r>
      <w:hyperlink r:id="rId21"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 xml:space="preserve"> לפיו </w:t>
      </w:r>
      <w:r>
        <w:rPr>
          <w:rtl w:val="true"/>
        </w:rPr>
        <w:t>העונש הנגזר בגין העבירה יוכפל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מנת שחומרת המעשים תבוא לידי תוצאה עונשית ויינתן ביטוי הולם לשיקולי ההרתעה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דעתי היא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יש להחמיר בעונשיהם של שני המשיבים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וגילם הצעיר בעת ביצוע העבירות אינו יכול להוות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כסות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אל מול חומרת העבירות שביצעו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 xml:space="preserve">יש </w:t>
      </w:r>
      <w:r>
        <w:rPr>
          <w:rFonts w:ascii="Century" w:hAnsi="Century" w:cs="Century"/>
          <w:rtl w:val="true"/>
        </w:rPr>
        <w:t>לייחס חשיבות לכך שמעשי</w:t>
      </w:r>
      <w:r>
        <w:rPr>
          <w:rFonts w:ascii="Century" w:hAnsi="Century" w:cs="Century"/>
          <w:rtl w:val="true"/>
        </w:rPr>
        <w:t>הם של שני המשיבים</w:t>
      </w:r>
      <w:r>
        <w:rPr>
          <w:rFonts w:ascii="Century" w:hAnsi="Century" w:cs="Century"/>
          <w:rtl w:val="true"/>
        </w:rPr>
        <w:t xml:space="preserve"> בוצעו בעוד</w:t>
      </w:r>
      <w:r>
        <w:rPr>
          <w:rFonts w:ascii="Century" w:hAnsi="Century" w:cs="Century"/>
          <w:rtl w:val="true"/>
        </w:rPr>
        <w:t>ם</w:t>
      </w:r>
      <w:r>
        <w:rPr>
          <w:rFonts w:ascii="Century" w:hAnsi="Century" w:cs="Century"/>
          <w:rtl w:val="true"/>
        </w:rPr>
        <w:t xml:space="preserve"> קטי</w:t>
      </w:r>
      <w:r>
        <w:rPr>
          <w:rFonts w:ascii="Century" w:hAnsi="Century" w:cs="Century"/>
          <w:rtl w:val="true"/>
        </w:rPr>
        <w:t>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כאמור </w:t>
      </w:r>
      <w:hyperlink r:id="rId22">
        <w:r>
          <w:rPr>
            <w:rStyle w:val="Hyperlink"/>
            <w:rFonts w:ascii="Century" w:hAnsi="Century" w:cs="Century"/>
            <w:color w:val="000000"/>
            <w:u w:val="none"/>
            <w:rtl w:val="true"/>
          </w:rPr>
          <w:t xml:space="preserve">בסעף </w:t>
        </w:r>
        <w:r>
          <w:rPr>
            <w:rStyle w:val="Hyperlink"/>
            <w:rFonts w:cs="Century" w:ascii="Century" w:hAnsi="Century"/>
            <w:color w:val="000000"/>
            <w:u w:val="none"/>
          </w:rPr>
          <w:t>25</w:t>
        </w:r>
        <w:r>
          <w:rPr>
            <w:rStyle w:val="Hyperlink"/>
            <w:rFonts w:cs="Century" w:ascii="Century" w:hAnsi="Century"/>
            <w:color w:val="000000"/>
            <w:u w:val="none"/>
            <w:rtl w:val="true"/>
          </w:rPr>
          <w:t>(</w:t>
        </w:r>
        <w:r>
          <w:rPr>
            <w:rStyle w:val="Hyperlink"/>
            <w:rFonts w:ascii="Century" w:hAnsi="Century" w:cs="Century"/>
            <w:color w:val="000000"/>
            <w:u w:val="none"/>
            <w:rtl w:val="true"/>
          </w:rPr>
          <w:t>ג</w:t>
        </w:r>
        <w:r>
          <w:rPr>
            <w:rStyle w:val="Hyperlink"/>
            <w:rFonts w:cs="Century" w:ascii="Century" w:hAnsi="Century"/>
            <w:color w:val="000000"/>
            <w:u w:val="none"/>
            <w:rtl w:val="true"/>
          </w:rPr>
          <w:t xml:space="preserve">) </w:t>
        </w:r>
        <w:r>
          <w:rPr>
            <w:rStyle w:val="Hyperlink"/>
            <w:rFonts w:ascii="Century" w:hAnsi="Century" w:cs="Century"/>
            <w:color w:val="000000"/>
            <w:u w:val="none"/>
            <w:rtl w:val="true"/>
          </w:rPr>
          <w:t xml:space="preserve">לחוק הנוער </w:t>
        </w:r>
        <w:r>
          <w:rPr>
            <w:rStyle w:val="Hyperlink"/>
            <w:rFonts w:cs="Century" w:ascii="Century" w:hAnsi="Century"/>
            <w:color w:val="000000"/>
            <w:u w:val="none"/>
            <w:rtl w:val="true"/>
          </w:rPr>
          <w:t>(</w:t>
        </w:r>
        <w:r>
          <w:rPr>
            <w:rStyle w:val="Hyperlink"/>
            <w:rFonts w:ascii="Century" w:hAnsi="Century" w:cs="Century"/>
            <w:color w:val="000000"/>
            <w:u w:val="none"/>
            <w:rtl w:val="true"/>
          </w:rPr>
          <w:t>שפיטה</w:t>
        </w:r>
        <w:r>
          <w:rPr>
            <w:rStyle w:val="Hyperlink"/>
            <w:rFonts w:cs="Century" w:ascii="Century" w:hAnsi="Century"/>
            <w:color w:val="000000"/>
            <w:u w:val="non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00"/>
            <w:u w:val="none"/>
            <w:rtl w:val="true"/>
          </w:rPr>
          <w:t>ענישה ודרכי טיפול</w:t>
        </w:r>
        <w:r>
          <w:rPr>
            <w:rStyle w:val="Hyperlink"/>
            <w:rFonts w:cs="Century" w:ascii="Century" w:hAnsi="Century"/>
            <w:color w:val="000000"/>
            <w:u w:val="none"/>
            <w:rtl w:val="true"/>
          </w:rPr>
          <w:t xml:space="preserve">), </w:t>
        </w:r>
        <w:r>
          <w:rPr>
            <w:rStyle w:val="Hyperlink"/>
            <w:rFonts w:ascii="Century" w:hAnsi="Century" w:cs="Century"/>
            <w:color w:val="000000"/>
            <w:u w:val="none"/>
            <w:rtl w:val="true"/>
          </w:rPr>
          <w:t>התשל</w:t>
        </w:r>
        <w:r>
          <w:rPr>
            <w:rStyle w:val="Hyperlink"/>
            <w:rFonts w:cs="Century" w:ascii="Century" w:hAnsi="Century"/>
            <w:color w:val="000000"/>
            <w:u w:val="none"/>
            <w:rtl w:val="true"/>
          </w:rPr>
          <w:t>"</w:t>
        </w:r>
        <w:r>
          <w:rPr>
            <w:rStyle w:val="Hyperlink"/>
            <w:rFonts w:ascii="Century" w:hAnsi="Century" w:cs="Century"/>
            <w:color w:val="000000"/>
            <w:u w:val="none"/>
            <w:rtl w:val="true"/>
          </w:rPr>
          <w:t>א</w:t>
        </w:r>
        <w:r>
          <w:rPr>
            <w:rStyle w:val="Hyperlink"/>
            <w:rFonts w:cs="Century" w:ascii="Century" w:hAnsi="Century"/>
            <w:color w:val="000000"/>
            <w:u w:val="none"/>
            <w:rtl w:val="true"/>
          </w:rPr>
          <w:t>-</w:t>
        </w:r>
        <w:r>
          <w:rPr>
            <w:rStyle w:val="Hyperlink"/>
            <w:rFonts w:cs="Century" w:ascii="Century" w:hAnsi="Century"/>
            <w:color w:val="000000"/>
            <w:u w:val="none"/>
          </w:rPr>
          <w:t>1971</w:t>
        </w:r>
        <w:r>
          <w:rPr>
            <w:rStyle w:val="Hyperlink"/>
            <w:rFonts w:cs="Century" w:ascii="Century" w:hAnsi="Century"/>
            <w:color w:val="000000"/>
            <w:u w:val="none"/>
            <w:rtl w:val="true"/>
          </w:rPr>
          <w:t xml:space="preserve">, </w:t>
        </w:r>
      </w:hyperlink>
      <w:r>
        <w:rPr>
          <w:rFonts w:ascii="Century" w:hAnsi="Century" w:cs="Century"/>
          <w:rtl w:val="true"/>
        </w:rPr>
        <w:t>הודאתם במעשים והבעת החרטה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מבלי להפחית מחשיבותם של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אין בהם</w:t>
      </w:r>
      <w:r>
        <w:rPr>
          <w:rFonts w:ascii="Century" w:hAnsi="Century" w:cs="Century"/>
          <w:rtl w:val="true"/>
        </w:rPr>
        <w:t xml:space="preserve"> כדי לצמצם במידה כה רבה את חומרת מעשיהם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גילם </w:t>
      </w:r>
      <w:r>
        <w:rPr>
          <w:rtl w:val="true"/>
        </w:rPr>
        <w:t>אינו יכול להקנות ל</w:t>
      </w:r>
      <w:r>
        <w:rPr>
          <w:rtl w:val="true"/>
        </w:rPr>
        <w:t>הם</w:t>
      </w:r>
      <w:r>
        <w:rPr>
          <w:rtl w:val="true"/>
        </w:rPr>
        <w:t xml:space="preserve"> חסינות </w:t>
      </w:r>
      <w:r>
        <w:rPr>
          <w:rFonts w:ascii="Century" w:hAnsi="Century" w:cs="Century"/>
          <w:rtl w:val="true"/>
        </w:rPr>
        <w:t>וכך גם לא העובדה שאין לחובתם הרשעות קודמות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2090/22</w:t>
        </w:r>
      </w:hyperlink>
      <w:r>
        <w:rPr>
          <w:color w:val="000000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</w:t>
      </w:r>
      <w:r>
        <w:rPr>
          <w:rFonts w:ascii="Century" w:hAnsi="Century" w:cs="Century"/>
          <w:rtl w:val="true"/>
        </w:rPr>
        <w:t xml:space="preserve">אות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,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29.5.2022</w:t>
      </w:r>
      <w:r>
        <w:rPr>
          <w:rFonts w:cs="Century" w:ascii="Century" w:hAnsi="Century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1465/20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19.3.2020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אפנה כעת לטענות הצדדים בערעוריהם</w:t>
      </w:r>
      <w:r>
        <w:rPr>
          <w:rtl w:val="true"/>
        </w:rPr>
        <w:t xml:space="preserve">. </w:t>
      </w:r>
      <w:r>
        <w:rPr>
          <w:rtl w:val="true"/>
        </w:rPr>
        <w:t xml:space="preserve">לטענת המשיב </w:t>
      </w:r>
      <w:r>
        <w:rPr/>
        <w:t>1</w:t>
      </w:r>
      <w:r>
        <w:rPr>
          <w:rtl w:val="true"/>
        </w:rPr>
        <w:t xml:space="preserve">, 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בעניין תקופת מעצרו בפיקוח אלקטרוני ובמכלול שיקוליו לא התחשב בנסיבותיו המיוחדות ובסיכויי שיקומו</w:t>
      </w:r>
      <w:r>
        <w:rPr>
          <w:rtl w:val="true"/>
        </w:rPr>
        <w:t xml:space="preserve">. </w:t>
      </w:r>
      <w:r>
        <w:rPr>
          <w:rtl w:val="true"/>
        </w:rPr>
        <w:t xml:space="preserve">עיון בהכרעת הדין המשלימה ובגזר הדין </w:t>
      </w:r>
      <w:r>
        <w:rPr>
          <w:rtl w:val="true"/>
        </w:rPr>
        <w:t>(</w:t>
      </w:r>
      <w:r>
        <w:rPr>
          <w:rtl w:val="true"/>
        </w:rPr>
        <w:t xml:space="preserve">ובפרט בסעיפים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עד סעיף </w:t>
      </w:r>
      <w:r>
        <w:rPr/>
        <w:t>60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.)</w:t>
      </w:r>
      <w:r>
        <w:rPr>
          <w:rtl w:val="true"/>
        </w:rPr>
        <w:t xml:space="preserve"> </w:t>
      </w:r>
      <w:r>
        <w:rPr>
          <w:rtl w:val="true"/>
        </w:rPr>
        <w:t xml:space="preserve">מעלה כי בית המשפט המחוזי התחשב לקולה בנסיבות ביצוע העבירה ובנסיבותיו האישיות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לרבות שיקולי השיקום</w:t>
      </w:r>
      <w:r>
        <w:rPr>
          <w:rtl w:val="true"/>
        </w:rPr>
        <w:t xml:space="preserve">. </w:t>
      </w:r>
      <w:r>
        <w:rPr>
          <w:rtl w:val="true"/>
        </w:rPr>
        <w:t xml:space="preserve">כך גם באשר לנסיבותיו של המשיב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 xml:space="preserve">החל מסעיף </w:t>
      </w:r>
      <w:r>
        <w:rPr/>
        <w:t>58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.), </w:t>
      </w:r>
      <w:r>
        <w:rPr>
          <w:rtl w:val="true"/>
        </w:rPr>
        <w:t>ומשכך גם אם שגה בית המשפט בציון פרק הזמן של מעצרו בפיקוח</w:t>
      </w:r>
      <w:r>
        <w:rPr>
          <w:rtl w:val="true"/>
        </w:rPr>
        <w:t xml:space="preserve">, </w:t>
      </w:r>
      <w:r>
        <w:rPr>
          <w:rtl w:val="true"/>
        </w:rPr>
        <w:t>אין בכך כדי לסטות מהעונש וממילא נגזר לקולה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בהתייחס לתסקירי שירות המבחן בעניינו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ניכר כי זה חווה </w:t>
      </w:r>
      <w:r>
        <w:rPr>
          <w:rtl w:val="true"/>
        </w:rPr>
        <w:t>"</w:t>
      </w:r>
      <w:r>
        <w:rPr>
          <w:rtl w:val="true"/>
        </w:rPr>
        <w:t>עליות ומורדות</w:t>
      </w:r>
      <w:r>
        <w:rPr>
          <w:rtl w:val="true"/>
        </w:rPr>
        <w:t xml:space="preserve">, </w:t>
      </w:r>
      <w:r>
        <w:rPr>
          <w:rtl w:val="true"/>
        </w:rPr>
        <w:t>כאשר בחלק מהמסגרות שיתף פעולה</w:t>
      </w:r>
      <w:r>
        <w:rPr>
          <w:rtl w:val="true"/>
        </w:rPr>
        <w:t xml:space="preserve">, </w:t>
      </w:r>
      <w:r>
        <w:rPr>
          <w:rtl w:val="true"/>
        </w:rPr>
        <w:t>ובחלקן לא</w:t>
      </w:r>
      <w:r>
        <w:rPr>
          <w:rtl w:val="true"/>
        </w:rPr>
        <w:t xml:space="preserve">", </w:t>
      </w:r>
      <w:r>
        <w:rPr>
          <w:rtl w:val="true"/>
        </w:rPr>
        <w:t>ואף לבסוף החליט כי אינו מעוניין בקשר עם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כך שזה האחרון המליץ בתסקיר המסכם מתאריך </w:t>
      </w:r>
      <w:r>
        <w:rPr/>
        <w:t>21.3.2023</w:t>
      </w:r>
      <w:r>
        <w:rPr>
          <w:rtl w:val="true"/>
        </w:rPr>
        <w:t xml:space="preserve"> </w:t>
      </w:r>
      <w:r>
        <w:rPr>
          <w:rtl w:val="true"/>
        </w:rPr>
        <w:t xml:space="preserve">וכן מפי קצין המבחן בדיון בבית המשפט המחוזי בתאריך </w:t>
      </w:r>
      <w:r>
        <w:rPr/>
        <w:t>28.3.2023</w:t>
      </w:r>
      <w:r>
        <w:rPr>
          <w:rtl w:val="true"/>
        </w:rPr>
        <w:t xml:space="preserve">, </w:t>
      </w:r>
      <w:r>
        <w:rPr>
          <w:rtl w:val="true"/>
        </w:rPr>
        <w:t>כי אינו בא בהמלצה בנוגע להמשך טיפולי בעניינו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בדיון שהתקיים בבית משפט זה נמסר מטעם שירות המבחן כי זה מתרשם שהיה צורך להשלים את העבודה הטיפולית שנעשתה עם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לא ניצל את התוכנית בצורה מלאה וביקש לסיים את הקשר</w:t>
      </w:r>
      <w:r>
        <w:rPr>
          <w:rtl w:val="true"/>
        </w:rPr>
        <w:t xml:space="preserve">". </w:t>
      </w:r>
      <w:r>
        <w:rPr>
          <w:rtl w:val="true"/>
        </w:rPr>
        <w:t>משכך יש לדחות כל טענה בעניין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באשר לתסקיר שירות המבחן בעניינו של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במהלך הדיון בפנינו שירות המבחן אמנם המליץ</w:t>
      </w:r>
      <w:r>
        <w:rPr>
          <w:rtl w:val="true"/>
        </w:rPr>
        <w:t>, "</w:t>
      </w:r>
      <w:r>
        <w:rPr>
          <w:rtl w:val="true"/>
        </w:rPr>
        <w:t>לפנים משורת הדין</w:t>
      </w:r>
      <w:r>
        <w:rPr>
          <w:rtl w:val="true"/>
        </w:rPr>
        <w:t xml:space="preserve">", </w:t>
      </w:r>
      <w:r>
        <w:rPr>
          <w:rtl w:val="true"/>
        </w:rPr>
        <w:t>להטיל עליו עונש מאסר בפועל לריצוי במסגרת עבודות שירות</w:t>
      </w:r>
      <w:r>
        <w:rPr>
          <w:rtl w:val="true"/>
        </w:rPr>
        <w:t xml:space="preserve">, </w:t>
      </w:r>
      <w:r>
        <w:rPr>
          <w:rtl w:val="true"/>
        </w:rPr>
        <w:t>אף זאת במקביל להרשעתו</w:t>
      </w:r>
      <w:r>
        <w:rPr>
          <w:rtl w:val="true"/>
        </w:rPr>
        <w:t xml:space="preserve">, </w:t>
      </w:r>
      <w:r>
        <w:rPr>
          <w:rtl w:val="true"/>
        </w:rPr>
        <w:t>וממילא מדובר בהמלצה בלבד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לקראת סיום</w:t>
      </w:r>
      <w:r>
        <w:rPr>
          <w:rtl w:val="true"/>
        </w:rPr>
        <w:t xml:space="preserve">, </w:t>
      </w:r>
      <w:r>
        <w:rPr>
          <w:rtl w:val="true"/>
        </w:rPr>
        <w:t xml:space="preserve">אתייחס לטענתו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המסר של הרתעת הרבים בנוגע לנערים הפלסטינים ממזרח ירושלים חייב להיות שונה כשהנער משתף פעולה באופן מלא עם הגורמים הטיפוליים ומפנים את הפסול במעשיו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קיימת חשיבות גדולה ללקיחת אחריות על ידי מבצע העבירה</w:t>
      </w:r>
      <w:r>
        <w:rPr>
          <w:rtl w:val="true"/>
        </w:rPr>
        <w:t xml:space="preserve">, </w:t>
      </w:r>
      <w:r>
        <w:rPr>
          <w:rtl w:val="true"/>
        </w:rPr>
        <w:t>הבנת הטעות</w:t>
      </w:r>
      <w:r>
        <w:rPr>
          <w:rtl w:val="true"/>
        </w:rPr>
        <w:t xml:space="preserve">, </w:t>
      </w:r>
      <w:r>
        <w:rPr>
          <w:rtl w:val="true"/>
        </w:rPr>
        <w:t>הבעת צער</w:t>
      </w:r>
      <w:r>
        <w:rPr>
          <w:rtl w:val="true"/>
        </w:rPr>
        <w:t xml:space="preserve">, </w:t>
      </w:r>
      <w:r>
        <w:rPr>
          <w:rtl w:val="true"/>
        </w:rPr>
        <w:t>הליך טיפולי נרחב ורצון ומוטיבציה להשתקם</w:t>
      </w:r>
      <w:r>
        <w:rPr>
          <w:rtl w:val="true"/>
        </w:rPr>
        <w:t xml:space="preserve">, </w:t>
      </w:r>
      <w:r>
        <w:rPr>
          <w:rtl w:val="true"/>
        </w:rPr>
        <w:t>נסיבות שאיננו מקלים בהן ראש ושנשקלו בהליך בבית המשפט המחוזי וגם בהליך זה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כל אלה אין בהן כדי לייתר את תכלית ההרתעה שביסוד החמרת הענישה</w:t>
      </w:r>
      <w:r>
        <w:rPr>
          <w:rtl w:val="true"/>
        </w:rPr>
        <w:t xml:space="preserve">, </w:t>
      </w:r>
      <w:r>
        <w:rPr>
          <w:rtl w:val="true"/>
        </w:rPr>
        <w:t>ובפרט כשמדובר במעשה טרור כהגדרתו בחוק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ייחודן ונפיצותן של עבירות אלו בעיקר בעת האחרונה</w:t>
      </w:r>
      <w:r>
        <w:rPr>
          <w:rtl w:val="true"/>
        </w:rPr>
        <w:t xml:space="preserve">, </w:t>
      </w:r>
      <w:r>
        <w:rPr>
          <w:rtl w:val="true"/>
        </w:rPr>
        <w:t xml:space="preserve">מצדיק הדגשה מיוחדת הן של תכלית ההרתעה בענישה והן של עיקרון הגמול </w:t>
      </w:r>
      <w:r>
        <w:rPr>
          <w:rtl w:val="true"/>
        </w:rPr>
        <w:t>(</w:t>
      </w:r>
      <w:r>
        <w:rPr>
          <w:rtl w:val="true"/>
        </w:rPr>
        <w:t xml:space="preserve">ראו בעניין זה דברי הסבר </w:t>
      </w:r>
      <w:r>
        <w:rPr>
          <w:rFonts w:ascii="Miriam" w:hAnsi="Miriam" w:cs="Miriam"/>
          <w:szCs w:val="24"/>
          <w:rtl w:val="true"/>
        </w:rPr>
        <w:t>להצעת חוק המאבק בטרור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 הממשלה</w:t>
      </w:r>
      <w:r>
        <w:rPr>
          <w:rtl w:val="true"/>
        </w:rPr>
        <w:t xml:space="preserve">, </w:t>
      </w:r>
      <w:r>
        <w:rPr/>
        <w:t>1066</w:t>
      </w:r>
      <w:r>
        <w:rPr>
          <w:rtl w:val="true"/>
        </w:rPr>
        <w:t xml:space="preserve">, </w:t>
      </w:r>
      <w:r>
        <w:rPr/>
        <w:t>1104</w:t>
      </w:r>
      <w:r>
        <w:rPr>
          <w:rtl w:val="true"/>
        </w:rPr>
        <w:t xml:space="preserve">), </w:t>
      </w:r>
      <w:r>
        <w:rPr>
          <w:rtl w:val="true"/>
        </w:rPr>
        <w:t>לבל נעביר מסר ל</w:t>
      </w:r>
      <w:r>
        <w:rPr>
          <w:rtl w:val="true"/>
        </w:rPr>
        <w:t>"</w:t>
      </w:r>
      <w:r>
        <w:rPr>
          <w:rtl w:val="true"/>
        </w:rPr>
        <w:t>אותם נערים פלסטינים ממזרח ירושלים</w:t>
      </w:r>
      <w:r>
        <w:rPr>
          <w:rtl w:val="true"/>
        </w:rPr>
        <w:t xml:space="preserve">", </w:t>
      </w:r>
      <w:r>
        <w:rPr>
          <w:rtl w:val="true"/>
        </w:rPr>
        <w:t>כלשון בא</w:t>
      </w:r>
      <w:r>
        <w:rPr>
          <w:rtl w:val="true"/>
        </w:rPr>
        <w:t>-</w:t>
      </w:r>
      <w:r>
        <w:rPr>
          <w:rtl w:val="true"/>
        </w:rPr>
        <w:t xml:space="preserve">כוח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 לאחר ביצוע העבירה יחוס עליהם בית המשפט</w:t>
      </w:r>
      <w:r>
        <w:rPr>
          <w:rtl w:val="true"/>
        </w:rPr>
        <w:t xml:space="preserve">, </w:t>
      </w:r>
      <w:r>
        <w:rPr>
          <w:rtl w:val="true"/>
        </w:rPr>
        <w:t>יימנע  מלהטיל מאסר בפועל וזאת לכאורה לאור נסיבות העבירה ונסיבותיהם האישיות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שציינתי בעבר</w:t>
      </w:r>
      <w:r>
        <w:rPr>
          <w:rtl w:val="true"/>
        </w:rPr>
        <w:t xml:space="preserve">, </w:t>
      </w:r>
      <w:r>
        <w:rPr>
          <w:rtl w:val="true"/>
        </w:rPr>
        <w:t>בעבירות המבוצעות ממניע גזעני</w:t>
      </w:r>
      <w:r>
        <w:rPr>
          <w:rtl w:val="true"/>
        </w:rPr>
        <w:t xml:space="preserve">,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דתי ואידאולוגי</w:t>
      </w:r>
      <w:r>
        <w:rPr>
          <w:rtl w:val="true"/>
        </w:rPr>
        <w:t xml:space="preserve">, </w:t>
      </w:r>
      <w:r>
        <w:rPr>
          <w:rtl w:val="true"/>
        </w:rPr>
        <w:t>נסיבות אישיות ושיקולים שיקומיים</w:t>
      </w:r>
      <w:r>
        <w:rPr>
          <w:rtl w:val="true"/>
        </w:rPr>
        <w:t xml:space="preserve">, </w:t>
      </w:r>
      <w:r>
        <w:rPr>
          <w:rtl w:val="true"/>
        </w:rPr>
        <w:t xml:space="preserve">אשר בהחלט חשובים ונשקלים בגזירת העונש </w:t>
      </w:r>
      <w:r>
        <w:rPr>
          <w:rtl w:val="true"/>
        </w:rPr>
        <w:t xml:space="preserve">- </w:t>
      </w:r>
      <w:r>
        <w:rPr>
          <w:rtl w:val="true"/>
        </w:rPr>
        <w:t>נסוגים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אל מול שיקולי הרתעה ושמירה על שלום הציבור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7848/22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אנסארי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2.5.2023</w:t>
      </w:r>
      <w:r>
        <w:rPr>
          <w:rtl w:val="true"/>
        </w:rPr>
        <w:t xml:space="preserve">),  </w:t>
      </w:r>
      <w:r>
        <w:rPr>
          <w:rFonts w:ascii="FrankRuehl" w:hAnsi="FrankRuehl" w:cs="FrankRuehl"/>
          <w:sz w:val="28"/>
          <w:sz w:val="28"/>
          <w:rtl w:val="true"/>
        </w:rPr>
        <w:t>עניין</w:t>
      </w:r>
      <w:r>
        <w:rPr>
          <w:rFonts w:ascii="Miriam" w:hAnsi="Miriam" w:cs="Miriam"/>
          <w:szCs w:val="24"/>
          <w:rtl w:val="true"/>
        </w:rPr>
        <w:t xml:space="preserve"> מאדי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 xml:space="preserve">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עמדת המחוקק לעבירה זו עולה </w:t>
      </w:r>
      <w:hyperlink r:id="rId26">
        <w:r>
          <w:rPr>
            <w:rStyle w:val="Hyperlink"/>
            <w:rtl w:val="true"/>
          </w:rPr>
          <w:t>מסעיף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 בו הורשעו המשיבים על פי הודאתם</w:t>
      </w:r>
      <w:r>
        <w:rPr>
          <w:rtl w:val="true"/>
        </w:rPr>
        <w:t xml:space="preserve">, </w:t>
      </w:r>
      <w:r>
        <w:rPr>
          <w:rtl w:val="true"/>
        </w:rPr>
        <w:t>ואך בדרך נס לא הסתיים האירוע בתוצאה קשה יותר ואפילו טראגית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לא נעלמה מעינינו גם עדותו של נפגע העבירה</w:t>
      </w:r>
      <w:r>
        <w:rPr>
          <w:rtl w:val="true"/>
        </w:rPr>
        <w:t xml:space="preserve">, </w:t>
      </w:r>
      <w:r>
        <w:rPr>
          <w:rtl w:val="true"/>
        </w:rPr>
        <w:t>כפי שהעיד בבית המשפט המחוזי</w:t>
      </w:r>
      <w:r>
        <w:rPr>
          <w:rtl w:val="true"/>
        </w:rPr>
        <w:t xml:space="preserve">, </w:t>
      </w:r>
      <w:r>
        <w:rPr>
          <w:rtl w:val="true"/>
        </w:rPr>
        <w:t>לפיה הוא מתגורר במקום מזה 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, "</w:t>
      </w:r>
      <w:r>
        <w:rPr>
          <w:rtl w:val="true"/>
        </w:rPr>
        <w:t>המצב לא משתנה</w:t>
      </w:r>
      <w:r>
        <w:rPr>
          <w:rtl w:val="true"/>
        </w:rPr>
        <w:t xml:space="preserve">, </w:t>
      </w:r>
      <w:r>
        <w:rPr>
          <w:rtl w:val="true"/>
        </w:rPr>
        <w:t>כאשר מיידים לעבר הבית אבנים ובקבוקי תבערה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זה מצב לא הגיוני ונורמאלי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ובעניינו</w:t>
      </w:r>
      <w:r>
        <w:rPr>
          <w:rtl w:val="true"/>
        </w:rPr>
        <w:t xml:space="preserve">, </w:t>
      </w:r>
      <w:r>
        <w:rPr>
          <w:rtl w:val="true"/>
        </w:rPr>
        <w:t>עבירות שמטרתן לפגוע ביהודים ולקעקע את ביטחונם האישי בביתם שאמור להיות מבצרם ולשמש להם עוגן לביטחון אישי</w:t>
      </w:r>
      <w:r>
        <w:rPr>
          <w:rtl w:val="true"/>
        </w:rPr>
        <w:t xml:space="preserve">, </w:t>
      </w:r>
      <w:r>
        <w:rPr>
          <w:rtl w:val="true"/>
        </w:rPr>
        <w:t>אל לנו להעביר את המסר ההפוך כי בתי המשפט יחוסו על אותם נערים אשר יזמו</w:t>
      </w:r>
      <w:r>
        <w:rPr>
          <w:rtl w:val="true"/>
        </w:rPr>
        <w:t xml:space="preserve">, </w:t>
      </w:r>
      <w:r>
        <w:rPr>
          <w:rtl w:val="true"/>
        </w:rPr>
        <w:t>תכננו והוציאו אל הפועל את אותן העבירות אשר מסוכנותן אינה מוטלת בספק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בראי זאת</w:t>
      </w:r>
      <w:r>
        <w:rPr>
          <w:rtl w:val="true"/>
        </w:rPr>
        <w:t xml:space="preserve">, </w:t>
      </w:r>
      <w:r>
        <w:rPr>
          <w:rtl w:val="true"/>
        </w:rPr>
        <w:t>במספר מקרים שהגיעו לפתחו של בית משפט זה הוחמר העונש שנגזר בערכאה הדיונית</w:t>
      </w:r>
      <w:r>
        <w:rPr>
          <w:rtl w:val="true"/>
        </w:rPr>
        <w:t xml:space="preserve">, </w:t>
      </w:r>
      <w:r>
        <w:rPr>
          <w:rtl w:val="true"/>
        </w:rPr>
        <w:t>על מנת שאותם נערים יירתעו מביצוע מעשים דומים ויידעו כי אם ייתפסו ויורשעו הם עלולים לרצות עונשי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וזאת על אף הנסיבות וחרף גילם הצעיר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2313/22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סרור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7.11.2022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מאדי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עקרון האחידות בענישה מטרתו להבטיח שוויון בין נאשמים שפשעו יחדיו ובנסיבות דומות וכן למנוע שרירות בענישה</w:t>
      </w:r>
      <w:r>
        <w:rPr>
          <w:rtl w:val="true"/>
        </w:rPr>
        <w:t xml:space="preserve">, </w:t>
      </w:r>
      <w:r>
        <w:rPr>
          <w:rtl w:val="true"/>
        </w:rPr>
        <w:t>והוא מהווה שיקול אחד בלבד ממכלול השיקולים הרלוונטיים לענישה</w:t>
      </w:r>
      <w:r>
        <w:rPr>
          <w:rtl w:val="true"/>
        </w:rPr>
        <w:t xml:space="preserve">. </w:t>
      </w:r>
      <w:r>
        <w:rPr>
          <w:rtl w:val="true"/>
        </w:rPr>
        <w:t xml:space="preserve">בהתייחס לעונש שנגזר על האחר בעבירה </w:t>
      </w:r>
      <w:r>
        <w:rPr>
          <w:rtl w:val="true"/>
        </w:rPr>
        <w:t>(</w:t>
      </w:r>
      <w:r>
        <w:rPr>
          <w:rtl w:val="true"/>
        </w:rPr>
        <w:t>שותפם של השניים</w:t>
      </w:r>
      <w:r>
        <w:rPr>
          <w:rtl w:val="true"/>
        </w:rPr>
        <w:t xml:space="preserve">), </w:t>
      </w:r>
      <w:r>
        <w:rPr>
          <w:rtl w:val="true"/>
        </w:rPr>
        <w:t xml:space="preserve">הרי כעולה מהתערבות בית משפט זה בעונשו והעמדתו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>ובמכלול השיקולים של נסיבות המשיבים</w:t>
      </w:r>
      <w:r>
        <w:rPr>
          <w:rtl w:val="true"/>
        </w:rPr>
        <w:t xml:space="preserve">,  </w:t>
      </w:r>
      <w:r>
        <w:rPr>
          <w:rtl w:val="true"/>
        </w:rPr>
        <w:t>יש לקבל את טענת המדינה בערעורה</w:t>
      </w:r>
      <w:r>
        <w:rPr>
          <w:rtl w:val="true"/>
        </w:rPr>
        <w:t xml:space="preserve">, </w:t>
      </w:r>
      <w:r>
        <w:rPr>
          <w:rtl w:val="true"/>
        </w:rPr>
        <w:t xml:space="preserve">לפיה העונשים שנגזרו בעניינם אף </w:t>
      </w:r>
      <w:r>
        <w:rPr>
          <w:rtl w:val="true"/>
        </w:rPr>
        <w:t>אינם משקפים</w:t>
      </w:r>
      <w:r>
        <w:rPr>
          <w:rtl w:val="true"/>
        </w:rPr>
        <w:t xml:space="preserve"> את עקרון האחידות בענישה</w:t>
      </w:r>
      <w:r>
        <w:rPr>
          <w:rtl w:val="true"/>
        </w:rPr>
        <w:t xml:space="preserve">, </w:t>
      </w:r>
      <w:r>
        <w:rPr>
          <w:rtl w:val="true"/>
        </w:rPr>
        <w:t>בהתייחס לעונש שהוטל על האחר במסגרת ערעורה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בסיכומו של דבר אציע לחבריי להעמיד את עונשו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 </w:t>
      </w:r>
      <w:r>
        <w:rPr>
          <w:rtl w:val="true"/>
        </w:rPr>
        <w:t xml:space="preserve">ואת עונשו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חלף עונשי המאסר בפועל שנגזרו עליהם בבית המשפט המחוזי</w:t>
      </w:r>
      <w:r>
        <w:rPr>
          <w:rtl w:val="true"/>
        </w:rPr>
        <w:t xml:space="preserve">. </w:t>
      </w:r>
      <w:r>
        <w:rPr>
          <w:rtl w:val="true"/>
        </w:rPr>
        <w:t>יתר רכיבי גזר דינם יוותרו על כנם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3"/>
        <w:gridCol w:w="2784"/>
        <w:gridCol w:w="2796"/>
      </w:tblGrid>
      <w:tr>
        <w:trPr/>
        <w:tc>
          <w:tcPr>
            <w:tcW w:w="2783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4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6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שופט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16"/>
          <w:szCs w:val="16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16"/>
          <w:szCs w:val="16"/>
          <w:u w:val="single"/>
        </w:rPr>
      </w:pPr>
      <w:r>
        <w:rPr>
          <w:rFonts w:cs="Miriam" w:ascii="Century" w:hAnsi="Century"/>
          <w:b/>
          <w:spacing w:val="0"/>
          <w:sz w:val="16"/>
          <w:szCs w:val="16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3"/>
        <w:gridCol w:w="2784"/>
        <w:gridCol w:w="2796"/>
      </w:tblGrid>
      <w:tr>
        <w:trPr/>
        <w:tc>
          <w:tcPr>
            <w:tcW w:w="2783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4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6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שופט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3"/>
        <w:gridCol w:w="2784"/>
        <w:gridCol w:w="2796"/>
      </w:tblGrid>
      <w:tr>
        <w:trPr/>
        <w:tc>
          <w:tcPr>
            <w:tcW w:w="2783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4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6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שופט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9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27.12.2023</w:t>
      </w:r>
      <w:r>
        <w:rPr>
          <w:rtl w:val="true"/>
        </w:rPr>
        <w:t xml:space="preserve">). </w:t>
      </w:r>
      <w:bookmarkEnd w:id="19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 </w:t>
      </w:r>
      <w:r>
        <w:rPr/>
        <w:t>18.2.2024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ניצן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074-7831077</w:t>
      </w:r>
      <w:r>
        <w:rPr>
          <w:rtl w:val="true"/>
        </w:rPr>
        <w:t xml:space="preserve">, </w:t>
      </w:r>
      <w:r>
        <w:rPr/>
        <w:t>074-7831078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שופט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שופט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שופט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23049070</w:t>
      </w:r>
      <w:r>
        <w:rPr>
          <w:sz w:val="16"/>
          <w:rtl w:val="true"/>
        </w:rPr>
        <w:t>_</w:t>
      </w:r>
      <w:r>
        <w:rPr>
          <w:sz w:val="16"/>
        </w:rPr>
        <w:t>J03.docx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54678313-4907/23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4907/23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i.a.3" TargetMode="External"/><Relationship Id="rId5" Type="http://schemas.openxmlformats.org/officeDocument/2006/relationships/hyperlink" Target="http://www.nevo.co.il/law/70301/448.a" TargetMode="External"/><Relationship Id="rId6" Type="http://schemas.openxmlformats.org/officeDocument/2006/relationships/hyperlink" Target="http://www.nevo.co.il/law/141771" TargetMode="External"/><Relationship Id="rId7" Type="http://schemas.openxmlformats.org/officeDocument/2006/relationships/hyperlink" Target="http://www.nevo.co.il/law/141771/37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141771/37" TargetMode="External"/><Relationship Id="rId12" Type="http://schemas.openxmlformats.org/officeDocument/2006/relationships/hyperlink" Target="http://www.nevo.co.il/law/141771" TargetMode="External"/><Relationship Id="rId13" Type="http://schemas.openxmlformats.org/officeDocument/2006/relationships/hyperlink" Target="http://www.nevo.co.il/law/141771/37" TargetMode="External"/><Relationship Id="rId14" Type="http://schemas.openxmlformats.org/officeDocument/2006/relationships/hyperlink" Target="http://www.nevo.co.il/case/27608313" TargetMode="External"/><Relationship Id="rId15" Type="http://schemas.openxmlformats.org/officeDocument/2006/relationships/hyperlink" Target="http://www.nevo.co.il/case/28280788" TargetMode="External"/><Relationship Id="rId16" Type="http://schemas.openxmlformats.org/officeDocument/2006/relationships/hyperlink" Target="http://www.nevo.co.il/case/28735014" TargetMode="External"/><Relationship Id="rId17" Type="http://schemas.openxmlformats.org/officeDocument/2006/relationships/hyperlink" Target="http://www.nevo.co.il/law/70301/40i.a.3" TargetMode="External"/><Relationship Id="rId18" Type="http://schemas.openxmlformats.org/officeDocument/2006/relationships/hyperlink" Target="http://www.nevo.co.il/case/6859579" TargetMode="External"/><Relationship Id="rId19" Type="http://schemas.openxmlformats.org/officeDocument/2006/relationships/hyperlink" Target="http://www.nevo.co.il/case/29173557" TargetMode="External"/><Relationship Id="rId20" Type="http://schemas.openxmlformats.org/officeDocument/2006/relationships/hyperlink" Target="http://www.nevo.co.il/case/29591824" TargetMode="External"/><Relationship Id="rId21" Type="http://schemas.openxmlformats.org/officeDocument/2006/relationships/hyperlink" Target="http://www.nevo.co.il/law/141771/37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://www.nevo.co.il/case/28429424" TargetMode="External"/><Relationship Id="rId24" Type="http://schemas.openxmlformats.org/officeDocument/2006/relationships/hyperlink" Target="http://www.nevo.co.il/case/26489414" TargetMode="External"/><Relationship Id="rId25" Type="http://schemas.openxmlformats.org/officeDocument/2006/relationships/hyperlink" Target="http://www.nevo.co.il/case/29145070" TargetMode="External"/><Relationship Id="rId26" Type="http://schemas.openxmlformats.org/officeDocument/2006/relationships/hyperlink" Target="http://www.nevo.co.il/law/141771/37" TargetMode="External"/><Relationship Id="rId27" Type="http://schemas.openxmlformats.org/officeDocument/2006/relationships/hyperlink" Target="http://www.nevo.co.il/case/28463727" TargetMode="External"/><Relationship Id="rId28" Type="http://schemas.openxmlformats.org/officeDocument/2006/relationships/hyperlink" Target="https://supreme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2023-12-27T15:19:00Z</dcterms:created>
  <dc:creator>h4</dc:creator>
  <dc:description/>
  <cp:keywords/>
  <dc:language>en-IL</dc:language>
  <cp:lastModifiedBy>h10</cp:lastModifiedBy>
  <cp:lastPrinted>2023-12-27T07:15:00Z</cp:lastPrinted>
  <dcterms:modified xsi:type="dcterms:W3CDTF">2023-12-27T15:19:00Z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פלוני;פלוני;מדינת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27608313;28280788;28735014;6859579;29173557;29591824;28429424;26489414;29145070;28463727</vt:lpwstr>
  </property>
  <property fmtid="{D5CDD505-2E9C-101B-9397-08002B2CF9AE}" pid="9" name="CITY">
    <vt:lpwstr/>
  </property>
  <property fmtid="{D5CDD505-2E9C-101B-9397-08002B2CF9AE}" pid="10" name="DATE">
    <vt:lpwstr>20231227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מינץ;י' אלרון</vt:lpwstr>
  </property>
  <property fmtid="{D5CDD505-2E9C-101B-9397-08002B2CF9AE}" pid="14" name="LAWLISTTMP1">
    <vt:lpwstr>70301/448.a;025;040i.a.3</vt:lpwstr>
  </property>
  <property fmtid="{D5CDD505-2E9C-101B-9397-08002B2CF9AE}" pid="15" name="LAWLISTTMP2">
    <vt:lpwstr>141771/037:4</vt:lpwstr>
  </property>
  <property fmtid="{D5CDD505-2E9C-101B-9397-08002B2CF9AE}" pid="16" name="LAWYER">
    <vt:lpwstr>איתי שהם;מחמוד רבאח;אנדרה רוזנטל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504;1446;1446;1446</vt:lpwstr>
  </property>
  <property fmtid="{D5CDD505-2E9C-101B-9397-08002B2CF9AE}" pid="49" name="NOSE31">
    <vt:lpwstr>התערבות במידת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יידוי בקבוקי תבערה</vt:lpwstr>
  </property>
  <property fmtid="{D5CDD505-2E9C-101B-9397-08002B2CF9AE}" pid="52" name="NOSE33">
    <vt:lpwstr>מדיניות ענישה: עבירות אלימות על רקע לאומני‏</vt:lpwstr>
  </property>
  <property fmtid="{D5CDD505-2E9C-101B-9397-08002B2CF9AE}" pid="53" name="NOSE34">
    <vt:lpwstr>קטינים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15230;15301;16899;14248</vt:lpwstr>
  </property>
  <property fmtid="{D5CDD505-2E9C-101B-9397-08002B2CF9AE}" pid="60" name="PADIDATE">
    <vt:lpwstr>20231227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עפ;עפ;עפ</vt:lpwstr>
  </property>
  <property fmtid="{D5CDD505-2E9C-101B-9397-08002B2CF9AE}" pid="65" name="PROCNUM">
    <vt:lpwstr>4907;4915;4955</vt:lpwstr>
  </property>
  <property fmtid="{D5CDD505-2E9C-101B-9397-08002B2CF9AE}" pid="66" name="PROCYEAR">
    <vt:lpwstr>23;23;23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410120231227</vt:lpwstr>
  </property>
  <property fmtid="{D5CDD505-2E9C-101B-9397-08002B2CF9AE}" pid="70" name="TYPE_N_DATE">
    <vt:lpwstr>41020231227</vt:lpwstr>
  </property>
  <property fmtid="{D5CDD505-2E9C-101B-9397-08002B2CF9AE}" pid="71" name="VOLUME">
    <vt:lpwstr/>
  </property>
  <property fmtid="{D5CDD505-2E9C-101B-9397-08002B2CF9AE}" pid="72" name="WORDNUMPAGES">
    <vt:lpwstr>16</vt:lpwstr>
  </property>
</Properties>
</file>