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4908/18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4956/18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239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239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4908/18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4956/18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פואד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עסייוי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/>
                <w:rtl w:val="true"/>
              </w:rPr>
              <w:t>המשיבה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4908/18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4956/18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המשיבות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4908/18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משפחת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פארס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עיסוויה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משפחת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אסמעיל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זגארנה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זל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משפחת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המנוח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זגארנה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פסק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באר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שבע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szCs w:val="24"/>
                  <w:rtl w:val="true"/>
                </w:rPr>
                <w:t>ת</w:t>
              </w:r>
              <w:r>
                <w:rPr>
                  <w:rStyle w:val="Hyperlink"/>
                  <w:rFonts w:cs="Miriam" w:ascii="Century" w:hAnsi="Century"/>
                  <w:b/>
                  <w:szCs w:val="24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szCs w:val="24"/>
                </w:rPr>
                <w:t>35230-09-15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13.5.2018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כבוד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משניות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28.10.2019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4908/18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4956/18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אלקרינאוי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שפר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4908/18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4956/18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 xml:space="preserve">וכן בשם המשיבות </w:t>
            </w:r>
            <w:r>
              <w:rPr>
                <w:rFonts w:cs="David" w:ascii="David" w:hAnsi="David"/>
              </w:rPr>
              <w:t>4-2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4956/18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גלבפיש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הערבית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עבדאללה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רחמן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DocumentHead"/>
        <w:ind w:end="0"/>
        <w:jc w:val="center"/>
        <w:rPr>
          <w:bCs w:val="false"/>
          <w:u w:val="none"/>
        </w:rPr>
      </w:pPr>
      <w:r>
        <w:rPr>
          <w:bCs w:val="false"/>
          <w:u w:val="none"/>
          <w:rtl w:val="true"/>
        </w:rPr>
      </w:r>
      <w:bookmarkStart w:id="5" w:name="BeginProtocol"/>
      <w:bookmarkStart w:id="6" w:name="secretary"/>
      <w:bookmarkStart w:id="7" w:name="BeginProtocol"/>
      <w:bookmarkStart w:id="8" w:name="secretary"/>
      <w:bookmarkEnd w:id="7"/>
      <w:bookmarkEnd w:id="8"/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bookmarkStart w:id="9" w:name="LawTable"/>
      <w:bookmarkEnd w:id="9"/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298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5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תשכ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1961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לא מרובדות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64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ה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0" w:name="ABSTRACT_START"/>
      <w:bookmarkEnd w:id="10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העליון החמיר בעונשו של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נהג שהורשע בהריגה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שגרם למותם של שלושה בני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אדם בתאונת דרכים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נקבע כי הוא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ירצה </w:t>
      </w:r>
      <w:r>
        <w:rPr>
          <w:rFonts w:cs="Times New Roman" w:ascii="Times New Roman" w:hAnsi="Times New Roman"/>
          <w:spacing w:val="0"/>
          <w:szCs w:val="26"/>
        </w:rPr>
        <w:t>66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במקום </w:t>
      </w:r>
      <w:r>
        <w:rPr>
          <w:rFonts w:cs="Times New Roman" w:ascii="Times New Roman" w:hAnsi="Times New Roman"/>
          <w:spacing w:val="0"/>
          <w:szCs w:val="26"/>
        </w:rPr>
        <w:t>45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 שגזר עליו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תאונות דרכים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הריגה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ערעורים מזה ומזה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בגדרו הושת על המשיב עונש של </w:t>
      </w:r>
      <w:r>
        <w:rPr>
          <w:rFonts w:cs="Times New Roman" w:ascii="Times New Roman" w:hAnsi="Times New Roman"/>
          <w:spacing w:val="0"/>
          <w:szCs w:val="26"/>
        </w:rPr>
        <w:t>45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בגין הרשעתו בעבירת הריגה לאחר שגרם למותם של שלושה בני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אדם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שישבן ברכבו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בתאונת דרכים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שנכנס לצומת באור אדום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ערעור המדינה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מופנה כלפי קולת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ואילו ערעור המשיב מופנה כלפי 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השופטים מ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מזוז 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ערעור המדינה ודחה את ערעור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זה ייטה שלא להתערב </w:t>
      </w:r>
      <w:r>
        <w:rPr>
          <w:rFonts w:ascii="Times New Roman" w:hAnsi="Times New Roman" w:cs="Times New Roman"/>
          <w:spacing w:val="0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במקרה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סבור כי העונש אשר נגזר על המשיב סוטה לקולא באופן קיצוני ממדיניות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בו כדי לבטא באופן הולם את חומרת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שב והדגיש את הצורך בענישה מחמירה ומרתיעה בגין עבירות תעבורה המביאות לגדיעתם של חיי אדם בטרם 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מדיניות ענישה זו נחוצה לשם הרתעת הרבים מפני ביצוע עבירות תעבורה ומפני נטילת סיכונים בלתי סבירים אשר יש בהם כדי לסכן חיי 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נקבע בעבר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על רמת הענישה בגין הרשעה בעבירות תעבורה קטלניות להלום את חומרת המעשים ותוצאותיהם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ואילו נסיבותיו האישיות של נאשם במקרים אלו מתגמדות לנוכח התוצאות הקשות להן גרם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לחובת המשיב לא פחות מ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תעבורה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בהן עבירה של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ציות לרמזור אדום ועבירה של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מתן זכות קדימה בעקבותיה גרם לתאונת דרכים נוספת ונגרם נזק לכלי הרכב אשר היו מעורבים 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קנסות על סך אלפי שקלים אשר הושתו על המשיב ועונש של שלילת רישיונו לפרק זמן מסוים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היה בהם כדי להוות עבורו גורם מרתיע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עבירות התעבורה הקודמות אותן ביצע המשיב הסתיימו למרבה המזל מבלי שגרם לפגיעות בנפש ובגוף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אולם לא לעולם חוסן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התגרות המשיב בגורלו ובגורל חבריו הביאה זו הפעם לתוצאה מרה ומזעזעת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שלושה בני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אדם נהרגו וילדים התייתמו מאבותיהם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חרטתו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אם היא כנה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בה כדי להשיב לחיים את ההרוגים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לנוכח תוצאותיהם הקשות של מעשי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אשר גזר עליו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אינו מבטא את גודל האסון שגרם עת נכנס בקלות דעת לצומת סואן בעוד הרמזור בכיוון נסיעתו אדום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זה אינו עולה בקנה אחד עם רמת הענישה אשר הותוותה בפסיקותיו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כלפי העבירות בהן הורשע המשיב בנסיבות דומות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שכללה לעיתים עונשים של 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סטייה זו ממדיניות הענישה הנוהגת מצדיקה את התערבות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כערכאת ערעור בעונשו של המשיב תוך התחשבות בהלכה כי אין זה מדרכה של ערכאת הערעור למצות את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על קולת העונש מתקבל ואילו הערעור על חומרת העונש נדחה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 ירצה עונש של חמש וחצי 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תחת </w:t>
      </w:r>
      <w:r>
        <w:rPr>
          <w:rFonts w:cs="Times New Roman" w:ascii="Times New Roman" w:hAnsi="Times New Roman"/>
          <w:spacing w:val="0"/>
          <w:szCs w:val="26"/>
        </w:rPr>
        <w:t>45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המאסר בפועל שנגזרו עליו בביהמ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  <w:bookmarkStart w:id="11" w:name="ABSTRACT_END"/>
      <w:bookmarkStart w:id="12" w:name="ABSTRACT_END"/>
      <w:bookmarkEnd w:id="12"/>
    </w:p>
    <w:p>
      <w:pPr>
        <w:pStyle w:val="DocumentHead"/>
        <w:ind w:end="0"/>
        <w:jc w:val="center"/>
        <w:rPr/>
      </w:pPr>
      <w:bookmarkStart w:id="13" w:name="PsakDin"/>
      <w:bookmarkStart w:id="14" w:name="LawTable_End"/>
      <w:bookmarkEnd w:id="14"/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bookmarkEnd w:id="13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bookmarkStart w:id="16" w:name="Start_Write"/>
      <w:bookmarkEnd w:id="16"/>
      <w:r>
        <w:rPr>
          <w:rtl w:val="true"/>
        </w:rPr>
        <w:t xml:space="preserve">לפנינו שני ערעורים על גזר דינו של בית המשפט המחוזי בבאר שבע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משניות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35230-09-15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13.5.2018</w:t>
      </w:r>
      <w:r>
        <w:rPr>
          <w:rtl w:val="true"/>
        </w:rPr>
        <w:t xml:space="preserve">, </w:t>
      </w:r>
      <w:r>
        <w:rPr>
          <w:rtl w:val="true"/>
        </w:rPr>
        <w:t xml:space="preserve">בגדרו הושת על המשיב עונש של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 מאסר בפועל לצד ענישה נלווית</w:t>
      </w:r>
      <w:r>
        <w:rPr>
          <w:rtl w:val="true"/>
        </w:rPr>
        <w:t xml:space="preserve">, </w:t>
      </w:r>
      <w:r>
        <w:rPr>
          <w:rtl w:val="true"/>
        </w:rPr>
        <w:t>וזאת בגין הרשעתו בעבירת הריגה לאחר שגרם למותם של שלושה בני</w:t>
      </w:r>
      <w:r>
        <w:rPr>
          <w:rtl w:val="true"/>
        </w:rPr>
        <w:t>-</w:t>
      </w:r>
      <w:r>
        <w:rPr>
          <w:rtl w:val="true"/>
        </w:rPr>
        <w:t>אדם בתאונת דרכים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4956/18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המערערת</w:t>
      </w:r>
      <w:r>
        <w:rPr>
          <w:rtl w:val="true"/>
        </w:rPr>
        <w:t xml:space="preserve">)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4908/18</w:t>
      </w:r>
      <w:r>
        <w:rPr>
          <w:rtl w:val="true"/>
        </w:rPr>
        <w:t xml:space="preserve">)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עיקרי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האישום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 פי המתואר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בבוקרו של יום </w:t>
      </w:r>
      <w:r>
        <w:rPr/>
        <w:t>21.5.2015</w:t>
      </w:r>
      <w:r>
        <w:rPr>
          <w:rtl w:val="true"/>
        </w:rPr>
        <w:t xml:space="preserve"> </w:t>
      </w:r>
      <w:r>
        <w:rPr>
          <w:rtl w:val="true"/>
        </w:rPr>
        <w:t xml:space="preserve">הסיע המשיב ברכבו שלושה נוסעים בכביש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מכיוון צומת שוקת לכיוון צומת להבים</w:t>
      </w:r>
      <w:r>
        <w:rPr>
          <w:rtl w:val="true"/>
        </w:rPr>
        <w:t xml:space="preserve">, </w:t>
      </w:r>
      <w:r>
        <w:rPr>
          <w:rtl w:val="true"/>
        </w:rPr>
        <w:t xml:space="preserve">המהווה הצטלבות בין כביש רוחב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 xml:space="preserve">לכביש אורך </w:t>
      </w:r>
      <w:r>
        <w:rPr/>
        <w:t>40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אדום</w:t>
      </w:r>
      <w:r>
        <w:rPr>
          <w:rtl w:val="true"/>
        </w:rPr>
        <w:t xml:space="preserve">. </w:t>
      </w:r>
      <w:r>
        <w:rPr>
          <w:rtl w:val="true"/>
        </w:rPr>
        <w:t>בתחילה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רהט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נסיעתו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הצומת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משנכנס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לצומת</w:t>
      </w:r>
      <w:r>
        <w:rPr>
          <w:rtl w:val="true"/>
        </w:rPr>
        <w:t xml:space="preserve">, </w:t>
      </w:r>
      <w:r>
        <w:rPr>
          <w:rtl w:val="true"/>
        </w:rPr>
        <w:t>חצה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כביש</w:t>
      </w:r>
      <w:r>
        <w:rPr>
          <w:rFonts w:eastAsia="Arial TUR;Arial" w:cs="Arial TUR;Arial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האוטובוס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וגרר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הצומת</w:t>
      </w:r>
      <w:r>
        <w:rPr>
          <w:rtl w:val="true"/>
        </w:rPr>
        <w:t xml:space="preserve">. </w:t>
      </w:r>
      <w:r>
        <w:rPr>
          <w:rtl w:val="true"/>
        </w:rPr>
        <w:t>ההתנגשות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האוטובוס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ולפגיעתו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לצידו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לעלייתו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ולפגיעתו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נהרגו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מנוסעי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האוטובוס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פסק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בהכרעת דינו מיום </w:t>
      </w:r>
      <w:r>
        <w:rPr/>
        <w:t>15.11.2017</w:t>
      </w:r>
      <w:r>
        <w:rPr>
          <w:rtl w:val="true"/>
        </w:rPr>
        <w:t xml:space="preserve">, </w:t>
      </w:r>
      <w:r>
        <w:rPr>
          <w:rtl w:val="true"/>
        </w:rPr>
        <w:t xml:space="preserve">הרשיע בית המשפט המחוזי את המשיב לאחר שמיעת ראיות בעבירה של הריגה לפי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ובעבירה של אי</w:t>
      </w:r>
      <w:r>
        <w:rPr>
          <w:rtl w:val="true"/>
        </w:rPr>
        <w:t>-</w:t>
      </w:r>
      <w:r>
        <w:rPr>
          <w:rtl w:val="true"/>
        </w:rPr>
        <w:t>ציות לרמזור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תקנות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במסגרת גזר הדין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 על חומרת מעשיו של המשיב</w:t>
      </w:r>
      <w:r>
        <w:rPr>
          <w:rtl w:val="true"/>
        </w:rPr>
        <w:t xml:space="preserve">, </w:t>
      </w:r>
      <w:r>
        <w:rPr>
          <w:rtl w:val="true"/>
        </w:rPr>
        <w:t xml:space="preserve">אשר </w:t>
      </w:r>
      <w:r>
        <w:rPr>
          <w:rtl w:val="true"/>
        </w:rPr>
        <w:t>"</w:t>
      </w:r>
      <w:r>
        <w:rPr>
          <w:rtl w:val="true"/>
        </w:rPr>
        <w:t>נכנס אל הצומת כשהוא מודע לעובדת קיומו של אור אדום ברמזור</w:t>
      </w:r>
      <w:r>
        <w:rPr>
          <w:rtl w:val="true"/>
        </w:rPr>
        <w:t xml:space="preserve">, </w:t>
      </w:r>
      <w:r>
        <w:rPr>
          <w:rtl w:val="true"/>
        </w:rPr>
        <w:t>הכיר היטב את הצומת ואת עומס התנועה שבו</w:t>
      </w:r>
      <w:r>
        <w:rPr>
          <w:rtl w:val="true"/>
        </w:rPr>
        <w:t xml:space="preserve">, </w:t>
      </w:r>
      <w:r>
        <w:rPr>
          <w:rtl w:val="true"/>
        </w:rPr>
        <w:t>וכן היה מודע היטב לאפשרות שכתוצאה ממעשיו עלולה להיגרם תאונת דרכים קשה והרת אסון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בעליל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tl w:val="true"/>
        </w:rPr>
        <w:t>-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משבחן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בקביעת עונשו של המשיב בתוך מתחם ענישה זה</w:t>
      </w:r>
      <w:r>
        <w:rPr>
          <w:rtl w:val="true"/>
        </w:rPr>
        <w:t xml:space="preserve">, </w:t>
      </w:r>
      <w:r>
        <w:rPr>
          <w:rtl w:val="true"/>
        </w:rPr>
        <w:t xml:space="preserve">שקל בית המשפט המחוזי לחומרא את חומרת העבירה </w:t>
      </w:r>
      <w:r>
        <w:rPr>
          <w:rtl w:val="true"/>
        </w:rPr>
        <w:t>–</w:t>
      </w:r>
      <w:r>
        <w:rPr>
          <w:rtl w:val="true"/>
        </w:rPr>
        <w:t xml:space="preserve"> ובכלל זה את תוצאות מעשיו אשר גרמו למותם של שלושה בני</w:t>
      </w:r>
      <w:r>
        <w:rPr>
          <w:rtl w:val="true"/>
        </w:rPr>
        <w:t>-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 xml:space="preserve">ואת החלטתו ליטול </w:t>
      </w:r>
      <w:r>
        <w:rPr>
          <w:rtl w:val="true"/>
        </w:rPr>
        <w:t>"</w:t>
      </w:r>
      <w:r>
        <w:rPr>
          <w:rtl w:val="true"/>
        </w:rPr>
        <w:t>סיכון מודע</w:t>
      </w:r>
      <w:r>
        <w:rPr>
          <w:rtl w:val="true"/>
        </w:rPr>
        <w:t xml:space="preserve">" </w:t>
      </w:r>
      <w:r>
        <w:rPr>
          <w:rtl w:val="true"/>
        </w:rPr>
        <w:t>לכך שמעשיו עלולים להסתיים בתוצאה קטלנית</w:t>
      </w:r>
      <w:r>
        <w:rPr>
          <w:rtl w:val="true"/>
        </w:rPr>
        <w:t xml:space="preserve">, </w:t>
      </w:r>
      <w:r>
        <w:rPr>
          <w:rtl w:val="true"/>
        </w:rPr>
        <w:t>כפי שאכן קרה בסופו של דבר</w:t>
      </w:r>
    </w:p>
    <w:p>
      <w:pPr>
        <w:pStyle w:val="Ruller4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בתאונה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והיותו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חטא</w:t>
      </w:r>
      <w:r>
        <w:rPr>
          <w:rtl w:val="true"/>
        </w:rPr>
        <w:t xml:space="preserve">, </w:t>
      </w:r>
      <w:r>
        <w:rPr>
          <w:rtl w:val="true"/>
        </w:rPr>
        <w:t>ופועל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לדאוג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דודו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לדאוג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הקורבנות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; </w:t>
      </w:r>
      <w:r>
        <w:rPr>
          <w:rtl w:val="true"/>
        </w:rPr>
        <w:t>פסילת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;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ההרוגים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בתאונה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הערעורים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ערעורו של המשיב נסוב בתחילה הן על הכרעת הדין והן על גזר הדין</w:t>
      </w:r>
      <w:r>
        <w:rPr>
          <w:rtl w:val="true"/>
        </w:rPr>
        <w:t xml:space="preserve">, </w:t>
      </w:r>
      <w:r>
        <w:rPr>
          <w:rtl w:val="true"/>
        </w:rPr>
        <w:t>אולם לאחר שנשמעו טענות באי</w:t>
      </w:r>
      <w:r>
        <w:rPr>
          <w:rtl w:val="true"/>
        </w:rPr>
        <w:t>-</w:t>
      </w:r>
      <w:r>
        <w:rPr>
          <w:rtl w:val="true"/>
        </w:rPr>
        <w:t>כוח הצדדים במסגרת הדיון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הודיע בא</w:t>
      </w:r>
      <w:r>
        <w:rPr>
          <w:rtl w:val="true"/>
        </w:rPr>
        <w:t>-</w:t>
      </w:r>
      <w:r>
        <w:rPr>
          <w:rtl w:val="true"/>
        </w:rPr>
        <w:t>כוח המשיב כי הוא חוזר בו מערעורו על הכרעת הדין לפי המלצת בית המשפט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28.10.2019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במסגרת הערעור על קולת העונש</w:t>
      </w:r>
      <w:r>
        <w:rPr>
          <w:rtl w:val="true"/>
        </w:rPr>
        <w:t xml:space="preserve">, </w:t>
      </w:r>
      <w:r>
        <w:rPr>
          <w:rtl w:val="true"/>
        </w:rPr>
        <w:t>טוענים באי</w:t>
      </w:r>
      <w:r>
        <w:rPr>
          <w:rtl w:val="true"/>
        </w:rPr>
        <w:t>-</w:t>
      </w:r>
      <w:r>
        <w:rPr>
          <w:rtl w:val="true"/>
        </w:rPr>
        <w:t>כוח המערערת כי העונש אשר נגזר על המשיב אינו מבטא כהלכה את חומרת מעשיו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בין היתר לנוכח קביעות בית המשפט המחוזי בהכרעת דינו שלפיהן המשיב נטל </w:t>
      </w:r>
      <w:r>
        <w:rPr>
          <w:rtl w:val="true"/>
        </w:rPr>
        <w:t>"</w:t>
      </w:r>
      <w:r>
        <w:rPr>
          <w:rtl w:val="true"/>
        </w:rPr>
        <w:t>סיכון עצום ובלתי סביר</w:t>
      </w:r>
      <w:r>
        <w:rPr>
          <w:rtl w:val="true"/>
        </w:rPr>
        <w:t xml:space="preserve">" </w:t>
      </w:r>
      <w:r>
        <w:rPr>
          <w:rtl w:val="true"/>
        </w:rPr>
        <w:t xml:space="preserve">עת נכנס אל הצומת בעוד הרמזור לכיוון נסיעתו אדום </w:t>
      </w:r>
      <w:r>
        <w:rPr>
          <w:rtl w:val="true"/>
        </w:rPr>
        <w:t>–</w:t>
      </w:r>
      <w:r>
        <w:rPr>
          <w:rtl w:val="true"/>
        </w:rPr>
        <w:t xml:space="preserve"> ולאור העובדה שכתוצאה ממעשיו נהרגו שלושה בני אדם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בהריגתם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tl w:val="true"/>
        </w:rPr>
        <w:t>-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פזיזה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 xml:space="preserve">"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הוענק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בסיכומם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טוענים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tl w:val="true"/>
        </w:rPr>
        <w:t>-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עקרונות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", </w:t>
      </w:r>
      <w:r>
        <w:rPr>
          <w:rtl w:val="true"/>
        </w:rPr>
        <w:t>כלשונם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 טוען בערעורו כי בית המשפט המחוזי החמיר עימו יתר על המידה וחרג ממדיניות הענישה הנוהגת במקרים דומים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האוטובוס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מופרזת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105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85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ולהמלצת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אקדים ואומר כי אני סבור שדין הערעור על קולת העונש להתקבל</w:t>
      </w:r>
      <w:r>
        <w:rPr>
          <w:rtl w:val="true"/>
        </w:rPr>
        <w:t xml:space="preserve">, </w:t>
      </w:r>
      <w:r>
        <w:rPr>
          <w:rtl w:val="true"/>
        </w:rPr>
        <w:t xml:space="preserve">ואילו דין הערעור על חומרת העונש להידחות </w:t>
      </w:r>
      <w:r>
        <w:rPr>
          <w:rtl w:val="true"/>
        </w:rPr>
        <w:t>–</w:t>
      </w:r>
      <w:r>
        <w:rPr>
          <w:rtl w:val="true"/>
        </w:rPr>
        <w:t xml:space="preserve"> וכך אציע לחבריי לעשות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105/17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זיתוני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26.12.2017</w:t>
      </w:r>
      <w:r>
        <w:rPr>
          <w:rtl w:val="true"/>
        </w:rPr>
        <w:t>))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מאות בני</w:t>
      </w:r>
      <w:r>
        <w:rPr>
          <w:rtl w:val="true"/>
        </w:rPr>
        <w:t>-</w:t>
      </w:r>
      <w:r>
        <w:rPr>
          <w:rtl w:val="true"/>
        </w:rPr>
        <w:t>אדם מוצאים את מותם מדי שנה בכבישים</w:t>
      </w:r>
      <w:r>
        <w:rPr>
          <w:rtl w:val="true"/>
        </w:rPr>
        <w:t xml:space="preserve">. </w:t>
      </w:r>
      <w:r>
        <w:rPr>
          <w:rtl w:val="true"/>
        </w:rPr>
        <w:t>אין המדובר ביד הגורל בלבד</w:t>
      </w:r>
      <w:r>
        <w:rPr>
          <w:rtl w:val="true"/>
        </w:rPr>
        <w:t xml:space="preserve">: </w:t>
      </w:r>
      <w:r>
        <w:rPr>
          <w:rtl w:val="true"/>
        </w:rPr>
        <w:t>לא אחת תאונות קטלניות מתרחשות כתוצאה מקלות דעתם של נהגים הנוטלים סיכונים בלתי סבירים ומפרים את הוראות כללי התעבורה על מנת לקצר את משך זמן נסיעתם עד להגעה למחוז חפצם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לגדיעתם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תורמת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1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9094/18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בושרי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 </w:t>
      </w:r>
      <w:r>
        <w:rPr/>
        <w:t>2.1.2019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ותוצאותיהם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8464/15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פנזין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/>
        <w:t>30.10.2017</w:t>
      </w:r>
      <w:r>
        <w:rPr>
          <w:rtl w:val="true"/>
        </w:rPr>
        <w:t>)).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לחובת המשיב לא פחות מ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עבירות תעבורה</w:t>
      </w:r>
      <w:r>
        <w:rPr>
          <w:rtl w:val="true"/>
        </w:rPr>
        <w:t xml:space="preserve">, </w:t>
      </w:r>
      <w:r>
        <w:rPr>
          <w:rtl w:val="true"/>
        </w:rPr>
        <w:t>בהן עבירה של אי</w:t>
      </w:r>
      <w:r>
        <w:rPr>
          <w:rtl w:val="true"/>
        </w:rPr>
        <w:t>-</w:t>
      </w:r>
      <w:r>
        <w:rPr>
          <w:rtl w:val="true"/>
        </w:rPr>
        <w:t>ציות לרמזור אדום ועבירה של אי</w:t>
      </w:r>
      <w:r>
        <w:rPr>
          <w:rtl w:val="true"/>
        </w:rPr>
        <w:t>-</w:t>
      </w:r>
      <w:r>
        <w:rPr>
          <w:rtl w:val="true"/>
        </w:rPr>
        <w:t>מתן זכות קדימה בעקבותיה גרם לתאונת דרכים נוספת ונגרם נזק לכלי הרכב אשר היו מעורבים בה</w:t>
      </w:r>
      <w:r>
        <w:rPr>
          <w:rtl w:val="true"/>
        </w:rPr>
        <w:t xml:space="preserve">. </w:t>
      </w:r>
      <w:r>
        <w:rPr>
          <w:rtl w:val="true"/>
        </w:rPr>
        <w:t>קנסות על סך אלפי שקלים אשר הושתו על המשיב ועונש של שלילת רישיונו לפרק זמן מסוים</w:t>
      </w:r>
      <w:r>
        <w:rPr>
          <w:rtl w:val="true"/>
        </w:rPr>
        <w:t xml:space="preserve">, </w:t>
      </w:r>
      <w:r>
        <w:rPr>
          <w:rtl w:val="true"/>
        </w:rPr>
        <w:t>לא היה בהם כדי להוות עבורו גורם מרתיע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חוסן</w:t>
      </w:r>
      <w:r>
        <w:rPr>
          <w:rtl w:val="true"/>
        </w:rPr>
        <w:t xml:space="preserve">. </w:t>
      </w:r>
      <w:r>
        <w:rPr>
          <w:rtl w:val="true"/>
        </w:rPr>
        <w:t>התגרות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בגורלו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ובגורל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ומזעזעת</w:t>
      </w:r>
      <w:r>
        <w:rPr>
          <w:rtl w:val="true"/>
        </w:rPr>
        <w:t xml:space="preserve">: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tl w:val="true"/>
        </w:rPr>
        <w:t>-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נהרגו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התייתמו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מאבותיהם</w:t>
      </w:r>
      <w:r>
        <w:rPr>
          <w:rtl w:val="true"/>
        </w:rPr>
        <w:t xml:space="preserve">. </w:t>
      </w:r>
      <w:r>
        <w:rPr>
          <w:rtl w:val="true"/>
        </w:rPr>
        <w:t>חרטתו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ההרוגים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לנוכח תוצאותיהם הקשות של מעשי המשיב</w:t>
      </w:r>
      <w:r>
        <w:rPr>
          <w:rtl w:val="true"/>
        </w:rPr>
        <w:t xml:space="preserve">, </w:t>
      </w:r>
      <w:r>
        <w:rPr>
          <w:rtl w:val="true"/>
        </w:rPr>
        <w:t>אני סבור כי העונש אשר גזר עליו בית המשפט המחוזי אינו מבטא את גודל האסון שגרם עת נכנס בקלות דעת לצומת סואן בעוד הרמזור בכיוון נסיעתו אדום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שכללה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8191/09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24.5.2010</w:t>
      </w:r>
      <w:r>
        <w:rPr>
          <w:rtl w:val="true"/>
        </w:rPr>
        <w:t xml:space="preserve">) </w:t>
      </w:r>
      <w:r>
        <w:rPr>
          <w:rtl w:val="true"/>
        </w:rPr>
        <w:t>ו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6087/08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שרביט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23.3.2009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הערעור על קולת העונש מתקבל ואילו הערעור על חומרת העונש נדחה</w:t>
      </w:r>
      <w:r>
        <w:rPr>
          <w:rtl w:val="true"/>
        </w:rPr>
        <w:t xml:space="preserve">. </w:t>
      </w:r>
      <w:r>
        <w:rPr>
          <w:rtl w:val="true"/>
        </w:rPr>
        <w:t>המשיב ירצה עונש של חמש וחצי 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תחת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 המאסר בפועל שנגזרו עליו בבית המשפט המחוזי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7.11.2019</w:t>
      </w:r>
      <w:r>
        <w:rPr>
          <w:rtl w:val="true"/>
        </w:rPr>
        <w:t xml:space="preserve">). </w:t>
      </w:r>
      <w:bookmarkEnd w:id="17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bidi w:val="0"/>
              <w:spacing w:before="0" w:after="42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spacing w:before="0" w:after="420"/>
              <w:ind w:end="0"/>
              <w:jc w:val="start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spacing w:before="0" w:after="420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18049080</w:t>
      </w:r>
      <w:r>
        <w:rPr>
          <w:sz w:val="16"/>
          <w:rtl w:val="true"/>
        </w:rPr>
        <w:t>_</w:t>
      </w:r>
      <w:r>
        <w:rPr>
          <w:sz w:val="16"/>
        </w:rPr>
        <w:t>J04.docx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7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מ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מזוז </w:t>
      </w:r>
      <w:r>
        <w:rPr>
          <w:rFonts w:cs="David" w:ascii="David" w:hAnsi="David"/>
          <w:color w:val="000000"/>
          <w:szCs w:val="22"/>
        </w:rPr>
        <w:t>54678313-4908/18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4908/18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פואד אל עסייוי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 w:before="480" w:after="360"/>
      <w:outlineLvl w:val="0"/>
    </w:pPr>
    <w:rPr>
      <w:rFonts w:ascii="Century" w:hAnsi="Century" w:cs="Miriam"/>
      <w:b/>
      <w:sz w:val="2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rFonts w:ascii="Century" w:hAnsi="Century" w:cs="Miriam"/>
      <w:b/>
      <w:sz w:val="22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 w:before="0" w:after="420"/>
      <w:ind w:firstLine="799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spacing w:before="0" w:after="420"/>
      <w:ind w:hanging="0" w:start="1644" w:end="1276"/>
      <w:contextualSpacing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Style13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58414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8" TargetMode="External"/><Relationship Id="rId5" Type="http://schemas.openxmlformats.org/officeDocument/2006/relationships/hyperlink" Target="http://www.nevo.co.il/law/74274" TargetMode="External"/><Relationship Id="rId6" Type="http://schemas.openxmlformats.org/officeDocument/2006/relationships/hyperlink" Target="http://www.nevo.co.il/law/74274/64.e" TargetMode="External"/><Relationship Id="rId7" Type="http://schemas.openxmlformats.org/officeDocument/2006/relationships/hyperlink" Target="http://www.nevo.co.il/case/20584142" TargetMode="External"/><Relationship Id="rId8" Type="http://schemas.openxmlformats.org/officeDocument/2006/relationships/hyperlink" Target="http://www.nevo.co.il/law/70301/298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4274/64.e" TargetMode="External"/><Relationship Id="rId11" Type="http://schemas.openxmlformats.org/officeDocument/2006/relationships/hyperlink" Target="http://www.nevo.co.il/law/74274" TargetMode="External"/><Relationship Id="rId12" Type="http://schemas.openxmlformats.org/officeDocument/2006/relationships/hyperlink" Target="http://www.nevo.co.il/case/22006497" TargetMode="External"/><Relationship Id="rId13" Type="http://schemas.openxmlformats.org/officeDocument/2006/relationships/hyperlink" Target="http://www.nevo.co.il/case/25262266" TargetMode="External"/><Relationship Id="rId14" Type="http://schemas.openxmlformats.org/officeDocument/2006/relationships/hyperlink" Target="http://www.nevo.co.il/case/20787921" TargetMode="External"/><Relationship Id="rId15" Type="http://schemas.openxmlformats.org/officeDocument/2006/relationships/hyperlink" Target="http://www.nevo.co.il/case/6123100" TargetMode="External"/><Relationship Id="rId16" Type="http://schemas.openxmlformats.org/officeDocument/2006/relationships/hyperlink" Target="http://www.nevo.co.il/case/5910267" TargetMode="External"/><Relationship Id="rId17" Type="http://schemas.openxmlformats.org/officeDocument/2006/relationships/hyperlink" Target="http://supreme.court.gov.il/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2019-11-10T09:57:00Z</dcterms:created>
  <dc:creator>h4</dc:creator>
  <dc:description/>
  <cp:keywords/>
  <dc:language>en-IL</dc:language>
  <cp:lastModifiedBy>orly</cp:lastModifiedBy>
  <cp:lastPrinted>2019-11-07T11:03:00Z</cp:lastPrinted>
  <dcterms:modified xsi:type="dcterms:W3CDTF">2019-11-10T09:57:00Z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פואד אל עסייוי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ישראל;משפחת המנוח פארס אל עיסוויה ז#ל;משפחת המנוח אסמעיל זגארנה זל;משפחת המנוח עודה אל זגארנה ז#ל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20584142:2;22006497;25262266;20787921;6123100;5910267</vt:lpwstr>
  </property>
  <property fmtid="{D5CDD505-2E9C-101B-9397-08002B2CF9AE}" pid="9" name="CITY">
    <vt:lpwstr/>
  </property>
  <property fmtid="{D5CDD505-2E9C-101B-9397-08002B2CF9AE}" pid="10" name="DATE">
    <vt:lpwstr>20191107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מ' מזוז;י' אלרון;א' שטיין</vt:lpwstr>
  </property>
  <property fmtid="{D5CDD505-2E9C-101B-9397-08002B2CF9AE}" pid="14" name="LAWLISTTMP1">
    <vt:lpwstr>70301/298</vt:lpwstr>
  </property>
  <property fmtid="{D5CDD505-2E9C-101B-9397-08002B2CF9AE}" pid="15" name="LAWLISTTMP2">
    <vt:lpwstr>74274/064.e</vt:lpwstr>
  </property>
  <property fmtid="{D5CDD505-2E9C-101B-9397-08002B2CF9AE}" pid="16" name="LAWYER">
    <vt:lpwstr>איתמר גלבפיש;עלי אלקרינאוי;שירי שפר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</vt:lpwstr>
  </property>
  <property fmtid="{D5CDD505-2E9C-101B-9397-08002B2CF9AE}" pid="49" name="NOSE31">
    <vt:lpwstr>מדיניות ענישה: תאונות דרכים</vt:lpwstr>
  </property>
  <property fmtid="{D5CDD505-2E9C-101B-9397-08002B2CF9AE}" pid="50" name="NOSE310">
    <vt:lpwstr/>
  </property>
  <property fmtid="{D5CDD505-2E9C-101B-9397-08002B2CF9AE}" pid="51" name="NOSE32">
    <vt:lpwstr>מדיניות ענישה: הריגה</vt:lpwstr>
  </property>
  <property fmtid="{D5CDD505-2E9C-101B-9397-08002B2CF9AE}" pid="52" name="NOSE33">
    <vt:lpwstr>מדיניות ענישה: התערבות ערכאת ערעור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11753;14739;8982</vt:lpwstr>
  </property>
  <property fmtid="{D5CDD505-2E9C-101B-9397-08002B2CF9AE}" pid="60" name="PADIDATE">
    <vt:lpwstr>20191110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4908;4956</vt:lpwstr>
  </property>
  <property fmtid="{D5CDD505-2E9C-101B-9397-08002B2CF9AE}" pid="66" name="PROCYEAR">
    <vt:lpwstr>18;18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410120191107</vt:lpwstr>
  </property>
  <property fmtid="{D5CDD505-2E9C-101B-9397-08002B2CF9AE}" pid="70" name="TYPE_N_DATE">
    <vt:lpwstr>41020191107</vt:lpwstr>
  </property>
  <property fmtid="{D5CDD505-2E9C-101B-9397-08002B2CF9AE}" pid="71" name="VOLUME">
    <vt:lpwstr/>
  </property>
  <property fmtid="{D5CDD505-2E9C-101B-9397-08002B2CF9AE}" pid="72" name="WORDNUMPAGES">
    <vt:lpwstr>8</vt:lpwstr>
  </property>
</Properties>
</file>