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bookmarkStart w:id="0" w:name="_GoBack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Appellant"/>
            <w:bookmarkEnd w:id="4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מכלוף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אילוז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תבור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כונס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הנכסים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הרשמי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פר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ק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38779-09-16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15.1.2020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טאהא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יובל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יועז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ברקת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End w:id="5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חכמון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ברקוביץ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6" w:name="LawTable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פקודת בזיון בית משפט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6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החברות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288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העליון הורה לשחרר ממאסר אדם שניתן נגדו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צו מאסר רביעי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יום לפי </w:t>
      </w:r>
      <w:hyperlink r:id="rId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בזיון בימ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אשר דבק בטענתו כי המחשבים שהוא נדרש להחזיר אינם בידו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שלא ניתן לקבל את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חלוט לפיו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הוא שנטל את המחשבים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נפסק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טענת הממרה בדבר חוסר יכולת לקיים את הצו היא טענה שניתן להעלותה במישור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להבדיל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בעיקר כאשר הסנקציה על הממרה כוללת מאסר ופגיעה בזכות לחירות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יש לייחס משקל לחלוף הזמן שבו נתון הממרה תחת חרב הסנקציה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שוכנע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תכלית בהמשך 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– מאסר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 – ביזיון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 – כפיית ציות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החלטת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במסגרתה ניתן נגד המערער צו מאסר רביעי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21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יום לפי </w:t>
      </w:r>
      <w:hyperlink r:id="rId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בזיון בימ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שהלה לא ציית לפס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שניתן במסגרת הליך פירוק חברה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ולפיו היה על המערער להשיב למנהלת המיוחדת את כל המחשבים שנטל ממשרדי החברה הרלוונטית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לכל אורך הליכי הביזיון טען המערער כי הוא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מסוגל להחזיר את החומר שאותו הוא נדרש להחזיר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הוא אינו מצוי בידיו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זו נדחתה תוך הפניה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ערעורו על פסק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שבו נקבע כי הוא שנטל את המחשבים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שפסק הדין הפך לחלוט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עומד עדיין במריו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ומתעקש לטעון כי האמת המשפטית בפסק הדין החלוט אינה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מתכתבת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האמת העובדתית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בסיטואציה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שגרתית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במרבית המקרים בהם מופעלים הליכי בזיון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המַמְרה אינו יכול לטעון כי אין ביכולתו לעשות או להימנע מלעשות מעשה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פלוני נדרש לפרסם או להימנע מפרסום או נדרש להימנע מלהיכנס לשטח מסוים או להימנע מלהשתמש במוצר מסוים – בכל אותם מקרים פלוני אינו יכול לטעון איני יכול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ומעשיו או מחדליו מדברים בעד 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במקרה דנן המערער טוען שהמעשה שנדרש ממנו אינו ביכולתו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שכן החומר שנדרש ממנו להשיב לא בידיו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הקביעה החלוטה בפסק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לקבל את הטענה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עצם האפשרות להעלאת טענה כגון דא בהליכי בזיון היא חריגה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בנקודה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 שהקביעה לפיה המערער הוא שנטל את המחשבים היא קביעה חלוטה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מבוססת היטב בחומר הראיות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השאלה היחידה הצריכה לעניין היא במישור אחר – האם יש עדיין תוחלת בכך שהמערער ימשיך לרצות עונש מאסר עד שיתרצה ויאמר היכן הטמין את המחשבים או יודה כי השמיד את המחשבים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משיב על כך בשלילה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 בזיון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נועדו להעניש את הממרה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לגרום לו לציית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יש הצדקה להטיל מאסר על הממרה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לבחון מהי תקופת הזמן הראויה והנחוצה כדי לאכוף על הממרה את הוראת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האפקטיביות של הליכי בזיון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בכלל ופקודת מאסר בפרט היא תלוית 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לתפור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חליפת סנקציות בהתאם למידותיו של הממרה ולהערכת הסיכוי לכך שהסנקציה תביא את הממרה לציית לצו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 הדין כאשר הסנקציה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תהא זו קנס או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משיגה את מטרתה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גישה אחת סבורה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הועילה כפייה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חוזרים וכופים את הממרה שנית ושלישית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עד אין סוף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 שישוב מסורו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גישה אחרת סבורה כי מקום בו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השתכנע כי אין בכוחו של המאסר כדי להביא את הסרבן לחדול מסרבנותו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לו לביהמ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להטיל מאסר או להאריכו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מבין הגישות המתוארות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נוטה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לטעמ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במקרים חריגים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כבעני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טענת הממרה בדבר חוסר יכולת לקיים את הצו היא טענה שניתן להעלותה במישור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להבדיל מהמישור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בעיקר כאשר הסנקציה שהושתה על הממרה כוללת מאסר ופגיעה בזכות לחירות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אזי יש לייחס משקל לחלוף הזמן שבו נתון הממרה תחת חרב הסנקציה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לא ניתן לקבוע נוסחה אריתמטית אימתי חלוף הזמן יטה את הכף לטובת שחרור הממרה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לשלול מצבים שבהם לאחר שחרור הממרה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ימצא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כי יש לשוב ולהשית עליו סנקציה של מאסר מכוח הפקודה ובוודאי לגבי סנקציות אחרות כמו 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הכרעות אלה תלויות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מעצם טיבן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בנסיבותיו של כל מקרה ומקרה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 ההפרה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באינטרסים העומדים 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במצבו של המפר ובעוד מגוון של 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אנו עומדים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תקופת המאסר הרביעית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שהמשיב ריצה כמחצית התקופה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בנקודת זמן זו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אינו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רואה תוחלת בהמשך המאסר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הסיכוי הקלוש שיהא בכך כדי להביא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לשבירתו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המערער ולהודאתו כי המחשבים עדיין בשליטתו או כי הוא שהשמיד אותם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מורה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שחרורו של המערער ממאסר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באמור כדי למנוע מבימ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לשוב ולהידרש לבקשות שיוגשו נגד המערער מכוח הפקודה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שתוגשנה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ובמידת הצורך להשית עליו סנקציות לפי דין כפי שיתחייב מהנסיבות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בזיון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4033/17</w:t>
        </w:r>
      </w:hyperlink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בזיון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8740/17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8.3.2018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היומי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5148/19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23.10.2019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8280/19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23.12.2019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במריו</w:t>
      </w:r>
      <w:r>
        <w:rPr>
          <w:rtl w:val="true"/>
        </w:rPr>
        <w:t xml:space="preserve">, </w:t>
      </w:r>
      <w:r>
        <w:rPr>
          <w:rtl w:val="true"/>
        </w:rPr>
        <w:t>ומתעקש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מתכתבת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 xml:space="preserve">.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tl w:val="true"/>
        </w:rPr>
        <w:t xml:space="preserve">, </w:t>
      </w:r>
      <w:r>
        <w:rPr>
          <w:rFonts w:ascii="FrankRuehl" w:hAnsi="FrankRuehl"/>
          <w:rtl w:val="true"/>
        </w:rPr>
        <w:t>המַמְרה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, </w:t>
      </w:r>
      <w:r>
        <w:rPr>
          <w:rtl w:val="true"/>
        </w:rPr>
        <w:t>ומעשיו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z w:val="23"/>
          <w:szCs w:val="23"/>
        </w:rPr>
        <w:t>KPMG Inc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24.7.2007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וננקטו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בהחזקתו</w:t>
      </w:r>
      <w:r>
        <w:rPr>
          <w:rtl w:val="true"/>
        </w:rPr>
        <w:t xml:space="preserve">;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פנחסי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חזקי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722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 xml:space="preserve">); </w:t>
      </w:r>
      <w:hyperlink r:id="rId18">
        <w:bookmarkStart w:id="18" w:name="Text1"/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איתן</w:t>
      </w:r>
      <w:bookmarkEnd w:id="18"/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24</w:t>
      </w:r>
      <w:r>
        <w:rPr>
          <w:rtl w:val="true"/>
        </w:rPr>
        <w:t xml:space="preserve"> (</w:t>
      </w:r>
      <w:r>
        <w:rPr/>
        <w:t>29.9.2014</w:t>
      </w:r>
      <w:r>
        <w:rPr>
          <w:rtl w:val="true"/>
        </w:rPr>
        <w:t xml:space="preserve">);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הרנון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ציות</w:t>
      </w:r>
      <w:r>
        <w:rPr>
          <w:rFonts w:eastAsia="Arial TUR;Arial" w:cs="Arial TUR;Arial"/>
          <w:rtl w:val="true"/>
        </w:rPr>
        <w:t xml:space="preserve"> </w:t>
      </w:r>
      <w:r>
        <w:rPr/>
        <w:t>311</w:t>
      </w:r>
      <w:r>
        <w:rPr>
          <w:rtl w:val="true"/>
        </w:rPr>
        <w:t xml:space="preserve">, </w:t>
      </w:r>
      <w:r>
        <w:rPr/>
        <w:t>320</w:t>
      </w:r>
      <w:r>
        <w:rPr>
          <w:rtl w:val="true"/>
        </w:rPr>
        <w:t xml:space="preserve"> (</w:t>
      </w:r>
      <w:r>
        <w:rPr/>
        <w:t>1965</w:t>
      </w:r>
      <w:r>
        <w:rPr>
          <w:rtl w:val="true"/>
        </w:rPr>
        <w:t xml:space="preserve">),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דיסציפלינרית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חלוטה</w:t>
      </w:r>
      <w:r>
        <w:rPr>
          <w:rtl w:val="true"/>
        </w:rPr>
        <w:t xml:space="preserve">, </w:t>
      </w:r>
      <w:r>
        <w:rPr>
          <w:rtl w:val="true"/>
        </w:rPr>
        <w:t>ולדידי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23.12.2019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הנרחבות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החברות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3322/92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זינגר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2.12.1993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7870/17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הכונסת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קוטלר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9.11.2017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המפרקת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לשלוף</w:t>
      </w:r>
      <w:r>
        <w:rPr>
          <w:rtl w:val="true"/>
        </w:rPr>
        <w:t xml:space="preserve">"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מלכד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הבזיון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3888/04</w:t>
        </w:r>
        <w:r>
          <w:rPr>
            <w:rStyle w:val="Hyperlink"/>
            <w:color w:val="0000FF"/>
            <w:u w:val="single"/>
            <w:rtl w:val="true"/>
          </w:rPr>
          <w:t xml:space="preserve">‏ </w:t>
        </w:r>
        <w:r>
          <w:rPr>
            <w:rStyle w:val="Hyperlink"/>
            <w:color w:val="0000FF"/>
            <w:u w:val="single"/>
            <w:rtl w:val="true"/>
          </w:rPr>
          <w:t>שרבט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שרבט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7174/09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רייפמן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13.10.2009</w:t>
      </w:r>
      <w:r>
        <w:rPr>
          <w:rFonts w:cs="Century" w:ascii="Century" w:hAnsi="Century"/>
          <w:rtl w:val="true"/>
        </w:rPr>
        <w:t xml:space="preserve">)).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האפקטיביות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לתפור</w:t>
      </w:r>
      <w:r>
        <w:rPr>
          <w:rtl w:val="true"/>
        </w:rPr>
        <w:t xml:space="preserve">" </w:t>
      </w:r>
      <w:r>
        <w:rPr>
          <w:rtl w:val="true"/>
        </w:rPr>
        <w:t>חליפת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הסנקציה</w:t>
      </w:r>
      <w:r>
        <w:rPr>
          <w:rtl w:val="true"/>
        </w:rPr>
        <w:t xml:space="preserve">,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מטרתה</w:t>
      </w:r>
      <w:r>
        <w:rPr>
          <w:rtl w:val="true"/>
        </w:rPr>
        <w:t xml:space="preserve">?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מסורו</w:t>
      </w:r>
      <w:r>
        <w:rPr>
          <w:rtl w:val="true"/>
        </w:rPr>
        <w:t>" (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6/50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לויט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אנגל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459</w:t>
      </w:r>
      <w:r>
        <w:rPr>
          <w:rtl w:val="true"/>
        </w:rPr>
        <w:t xml:space="preserve">, </w:t>
      </w:r>
      <w:r>
        <w:rPr/>
        <w:t>470</w:t>
      </w:r>
      <w:r>
        <w:rPr>
          <w:rtl w:val="true"/>
        </w:rPr>
        <w:t xml:space="preserve"> (</w:t>
      </w:r>
      <w:r>
        <w:rPr/>
        <w:t>1950</w:t>
      </w:r>
      <w:r>
        <w:rPr>
          <w:rtl w:val="true"/>
        </w:rPr>
        <w:t xml:space="preserve">)).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מסרבנותו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בזיון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בית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המשפט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274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הד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10317/08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קורקוס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11.12.2008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"[</w:t>
      </w:r>
      <w:r>
        <w:rPr>
          <w:rFonts w:ascii="FrankRuehl" w:hAnsi="FrankRuehl"/>
          <w:rtl w:val="true"/>
        </w:rPr>
        <w:t>ה</w:t>
      </w:r>
      <w:r>
        <w:rPr>
          <w:rFonts w:cs="FrankRuehl" w:ascii="FrankRuehl" w:hAnsi="FrankRuehl"/>
          <w:rtl w:val="true"/>
        </w:rPr>
        <w:t>]</w:t>
      </w:r>
      <w:r>
        <w:rPr>
          <w:rFonts w:ascii="FrankRuehl" w:hAnsi="FrankRuehl"/>
          <w:rtl w:val="true"/>
        </w:rPr>
        <w:t>סיכוי הקלוש שאמצעי המאסר אכן ישפיע על המערער לחזור בו מסרבנותו</w:t>
      </w:r>
      <w:r>
        <w:rPr>
          <w:rFonts w:cs="FrankRuehl" w:ascii="FrankRuehl" w:hAnsi="FrankRuehl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פס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cs="FrankRuehl" w:ascii="FrankRuehl" w:hAnsi="FrankRuehl"/>
        </w:rPr>
        <w:t>5</w:t>
      </w:r>
      <w:r>
        <w:rPr>
          <w:rFonts w:cs="FrankRuehl" w:ascii="FrankRuehl" w:hAnsi="FrankRuehl"/>
          <w:rtl w:val="true"/>
        </w:rPr>
        <w:t xml:space="preserve">; </w:t>
      </w:r>
      <w:r>
        <w:rPr>
          <w:rFonts w:ascii="FrankRuehl" w:hAnsi="FrankRuehl"/>
          <w:rtl w:val="true"/>
        </w:rPr>
        <w:t xml:space="preserve">יצויין כי אותו מקרה נסב על מאסר שהושת מכוח </w:t>
      </w:r>
      <w:hyperlink r:id="rId28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לפקודה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בגין סירובו של עד להשיב על שאלות</w:t>
      </w:r>
      <w:r>
        <w:rPr>
          <w:rFonts w:cs="FrankRuehl" w:ascii="FrankRuehl" w:hAnsi="FrankRuehl"/>
          <w:rtl w:val="true"/>
        </w:rPr>
        <w:t xml:space="preserve">. </w:t>
      </w:r>
      <w:r>
        <w:rPr>
          <w:rFonts w:ascii="FrankRuehl" w:hAnsi="FrankRuehl"/>
          <w:rtl w:val="true"/>
        </w:rPr>
        <w:t>זאת להבדיל מהמקרה שלפנינו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 xml:space="preserve">שבו המאסר הושת מכוח </w:t>
      </w:r>
      <w:hyperlink r:id="rId29">
        <w:r>
          <w:rPr>
            <w:rStyle w:val="Hyperlink"/>
            <w:rFonts w:ascii="FrankRuehl" w:hAnsi="FrankRueh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/>
          <w:rtl w:val="true"/>
        </w:rPr>
        <w:t>לפקודה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/>
          <w:rtl w:val="true"/>
        </w:rPr>
        <w:t>בגין סירובו של המערער לציית לצווי בית משפט</w:t>
      </w:r>
      <w:r>
        <w:rPr>
          <w:rFonts w:cs="FrankRuehl" w:ascii="FrankRuehl" w:hAnsi="FrankRuehl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לחירות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הסנקציה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אריתמטית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יוסל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שוחמכר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המ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</w:rPr>
          <w:t>309/61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שטרקס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שוחמכר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טו</w:t>
        </w:r>
      </w:hyperlink>
      <w:r>
        <w:rPr>
          <w:rFonts w:eastAsia="Arial TUR;Arial" w:cs="Arial TUR;Arial"/>
          <w:rtl w:val="true"/>
        </w:rPr>
        <w:t xml:space="preserve"> </w:t>
      </w:r>
      <w:r>
        <w:rPr/>
        <w:t>1562</w:t>
      </w:r>
      <w:r>
        <w:rPr>
          <w:rtl w:val="true"/>
        </w:rPr>
        <w:t xml:space="preserve"> (</w:t>
      </w:r>
      <w:r>
        <w:rPr/>
        <w:t>1961</w:t>
      </w:r>
      <w:r>
        <w:rPr>
          <w:rtl w:val="true"/>
        </w:rPr>
        <w:t xml:space="preserve">))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r>
        <w:rPr>
          <w:rtl w:val="true"/>
        </w:rPr>
        <w:t>הכרעות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תלויות</w:t>
      </w:r>
      <w:r>
        <w:rPr>
          <w:rtl w:val="true"/>
        </w:rPr>
        <w:t xml:space="preserve">, </w:t>
      </w:r>
      <w:r>
        <w:rPr>
          <w:rtl w:val="true"/>
        </w:rPr>
        <w:t>מעצם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טיבן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ההפרה</w:t>
      </w:r>
      <w:r>
        <w:rPr>
          <w:rtl w:val="true"/>
        </w:rPr>
        <w:t xml:space="preserve">, </w:t>
      </w:r>
      <w:r>
        <w:rPr>
          <w:rtl w:val="true"/>
        </w:rPr>
        <w:t>באינטרסים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. </w:t>
      </w:r>
      <w:r>
        <w:rPr>
          <w:rtl w:val="true"/>
        </w:rPr>
        <w:t>בנקודת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לשבירתו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שתוגשנה</w:t>
      </w:r>
      <w:r>
        <w:rPr>
          <w:rtl w:val="true"/>
        </w:rPr>
        <w:t xml:space="preserve">, </w:t>
      </w:r>
      <w:r>
        <w:rPr>
          <w:rtl w:val="true"/>
        </w:rPr>
        <w:t>ובמידת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28.1.2020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20004910</w:t>
      </w:r>
      <w:r>
        <w:rPr>
          <w:sz w:val="16"/>
          <w:rtl w:val="true"/>
        </w:rPr>
        <w:t>_</w:t>
      </w:r>
      <w:r>
        <w:rPr>
          <w:sz w:val="16"/>
        </w:rPr>
        <w:t>E04.docx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54678313-491/20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מיכאל מכלוף מיקי אילוז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א מרכז מזון כפר תבור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/>
  </w:style>
  <w:style w:type="character" w:styleId="PageNumber">
    <w:name w:val="page number"/>
    <w:rPr>
      <w:rFonts w:cs="Times New Roman"/>
    </w:rPr>
  </w:style>
  <w:style w:type="character" w:styleId="Ruller3">
    <w:name w:val="Ruller 3 תו"/>
    <w:qFormat/>
    <w:rPr>
      <w:sz w:val="28"/>
      <w:lang w:val="en-US"/>
    </w:rPr>
  </w:style>
  <w:style w:type="character" w:styleId="BodyRuller">
    <w:name w:val="Body Ruller תו"/>
    <w:qFormat/>
    <w:rPr>
      <w:sz w:val="28"/>
      <w:lang w:val="en-US"/>
    </w:rPr>
  </w:style>
  <w:style w:type="character" w:styleId="Ruller38">
    <w:name w:val="סגנון Ruller 3 + (מורכב) ‏8 נק תו"/>
    <w:qFormat/>
    <w:rPr>
      <w:sz w:val="1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090171" TargetMode="External"/><Relationship Id="rId3" Type="http://schemas.openxmlformats.org/officeDocument/2006/relationships/hyperlink" Target="http://www.nevo.co.il/law/74901" TargetMode="External"/><Relationship Id="rId4" Type="http://schemas.openxmlformats.org/officeDocument/2006/relationships/hyperlink" Target="http://www.nevo.co.il/law/74901/5" TargetMode="External"/><Relationship Id="rId5" Type="http://schemas.openxmlformats.org/officeDocument/2006/relationships/hyperlink" Target="http://www.nevo.co.il/law/74901/6" TargetMode="External"/><Relationship Id="rId6" Type="http://schemas.openxmlformats.org/officeDocument/2006/relationships/hyperlink" Target="http://www.nevo.co.il/law/71859" TargetMode="External"/><Relationship Id="rId7" Type="http://schemas.openxmlformats.org/officeDocument/2006/relationships/hyperlink" Target="http://www.nevo.co.il/law/71859/288" TargetMode="External"/><Relationship Id="rId8" Type="http://schemas.openxmlformats.org/officeDocument/2006/relationships/hyperlink" Target="http://www.nevo.co.il/law/74901" TargetMode="External"/><Relationship Id="rId9" Type="http://schemas.openxmlformats.org/officeDocument/2006/relationships/hyperlink" Target="http://www.nevo.co.il/law/74901" TargetMode="External"/><Relationship Id="rId10" Type="http://schemas.openxmlformats.org/officeDocument/2006/relationships/hyperlink" Target="http://www.nevo.co.il/law/74901" TargetMode="External"/><Relationship Id="rId11" Type="http://schemas.openxmlformats.org/officeDocument/2006/relationships/hyperlink" Target="http://www.nevo.co.il/case/22690182" TargetMode="External"/><Relationship Id="rId12" Type="http://schemas.openxmlformats.org/officeDocument/2006/relationships/hyperlink" Target="http://www.nevo.co.il/law/74901" TargetMode="External"/><Relationship Id="rId13" Type="http://schemas.openxmlformats.org/officeDocument/2006/relationships/hyperlink" Target="http://www.nevo.co.il/case/23354874" TargetMode="External"/><Relationship Id="rId14" Type="http://schemas.openxmlformats.org/officeDocument/2006/relationships/hyperlink" Target="http://www.nevo.co.il/case/25912923" TargetMode="External"/><Relationship Id="rId15" Type="http://schemas.openxmlformats.org/officeDocument/2006/relationships/hyperlink" Target="http://www.nevo.co.il/case/26272195" TargetMode="External"/><Relationship Id="rId16" Type="http://schemas.openxmlformats.org/officeDocument/2006/relationships/hyperlink" Target="http://www.nevo.co.il/case/5707166" TargetMode="External"/><Relationship Id="rId17" Type="http://schemas.openxmlformats.org/officeDocument/2006/relationships/hyperlink" Target="http://www.nevo.co.il/case/17946247" TargetMode="External"/><Relationship Id="rId18" Type="http://schemas.openxmlformats.org/officeDocument/2006/relationships/hyperlink" Target="http://www.nevo.co.il/case/6882211" TargetMode="External"/><Relationship Id="rId19" Type="http://schemas.openxmlformats.org/officeDocument/2006/relationships/hyperlink" Target="http://www.nevo.co.il/law/71859/288" TargetMode="External"/><Relationship Id="rId20" Type="http://schemas.openxmlformats.org/officeDocument/2006/relationships/hyperlink" Target="http://www.nevo.co.il/law/71859" TargetMode="External"/><Relationship Id="rId21" Type="http://schemas.openxmlformats.org/officeDocument/2006/relationships/hyperlink" Target="http://www.nevo.co.il/case/17919316" TargetMode="External"/><Relationship Id="rId22" Type="http://schemas.openxmlformats.org/officeDocument/2006/relationships/hyperlink" Target="http://www.nevo.co.il/case/23354510" TargetMode="External"/><Relationship Id="rId23" Type="http://schemas.openxmlformats.org/officeDocument/2006/relationships/hyperlink" Target="http://www.nevo.co.il/case/5921968" TargetMode="External"/><Relationship Id="rId24" Type="http://schemas.openxmlformats.org/officeDocument/2006/relationships/hyperlink" Target="http://www.nevo.co.il/case/5571229" TargetMode="External"/><Relationship Id="rId25" Type="http://schemas.openxmlformats.org/officeDocument/2006/relationships/hyperlink" Target="http://www.nevo.co.il/case/17004613" TargetMode="External"/><Relationship Id="rId26" Type="http://schemas.openxmlformats.org/officeDocument/2006/relationships/hyperlink" Target="http://www.nevo.co.il/law/74901" TargetMode="External"/><Relationship Id="rId27" Type="http://schemas.openxmlformats.org/officeDocument/2006/relationships/hyperlink" Target="http://www.nevo.co.il/case/5716663" TargetMode="External"/><Relationship Id="rId28" Type="http://schemas.openxmlformats.org/officeDocument/2006/relationships/hyperlink" Target="http://www.nevo.co.il/law/74901/5" TargetMode="External"/><Relationship Id="rId29" Type="http://schemas.openxmlformats.org/officeDocument/2006/relationships/hyperlink" Target="http://www.nevo.co.il/law/74901/6" TargetMode="External"/><Relationship Id="rId30" Type="http://schemas.openxmlformats.org/officeDocument/2006/relationships/hyperlink" Target="http://www.nevo.co.il/case/16999788" TargetMode="External"/><Relationship Id="rId31" Type="http://schemas.openxmlformats.org/officeDocument/2006/relationships/hyperlink" Target="http://supreme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2020-01-30T11:14:00Z</dcterms:created>
  <dc:creator> </dc:creator>
  <dc:description/>
  <cp:keywords/>
  <dc:language>en-IL</dc:language>
  <cp:lastModifiedBy>orly</cp:lastModifiedBy>
  <cp:lastPrinted>2020-01-27T16:18:00Z</cp:lastPrinted>
  <dcterms:modified xsi:type="dcterms:W3CDTF">2020-01-30T11:14:00Z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מכלוף מיקי אילוז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י.א מרכז מזון כפר תבור בע#מ;כונס הנכסים הרשמי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22090171;22690182;23354874;25912923;26272195;5707166;17946247;6882211;17919316;23354510;5921968;5571229;17004613;5716663;16999788</vt:lpwstr>
  </property>
  <property fmtid="{D5CDD505-2E9C-101B-9397-08002B2CF9AE}" pid="9" name="CITY">
    <vt:lpwstr/>
  </property>
  <property fmtid="{D5CDD505-2E9C-101B-9397-08002B2CF9AE}" pid="10" name="DATE">
    <vt:lpwstr>20200128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סולברג;ג' קרא</vt:lpwstr>
  </property>
  <property fmtid="{D5CDD505-2E9C-101B-9397-08002B2CF9AE}" pid="14" name="LAWLISTTMP1">
    <vt:lpwstr>74901/005;006</vt:lpwstr>
  </property>
  <property fmtid="{D5CDD505-2E9C-101B-9397-08002B2CF9AE}" pid="15" name="LAWLISTTMP2">
    <vt:lpwstr>71859/288</vt:lpwstr>
  </property>
  <property fmtid="{D5CDD505-2E9C-101B-9397-08002B2CF9AE}" pid="16" name="LAWYER">
    <vt:lpwstr>גילה חכמון;אסף ברקוביץ';יובל יועז;דורון ברקת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ביזיון בית-המשפט</vt:lpwstr>
  </property>
  <property fmtid="{D5CDD505-2E9C-101B-9397-08002B2CF9AE}" pid="39" name="NOSE210">
    <vt:lpwstr/>
  </property>
  <property fmtid="{D5CDD505-2E9C-101B-9397-08002B2CF9AE}" pid="40" name="NOSE22">
    <vt:lpwstr>ביזיון בית-המשפט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308;308</vt:lpwstr>
  </property>
  <property fmtid="{D5CDD505-2E9C-101B-9397-08002B2CF9AE}" pid="49" name="NOSE31">
    <vt:lpwstr>מאסר</vt:lpwstr>
  </property>
  <property fmtid="{D5CDD505-2E9C-101B-9397-08002B2CF9AE}" pid="50" name="NOSE310">
    <vt:lpwstr/>
  </property>
  <property fmtid="{D5CDD505-2E9C-101B-9397-08002B2CF9AE}" pid="51" name="NOSE32">
    <vt:lpwstr>כפיית ציות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2478;2477</vt:lpwstr>
  </property>
  <property fmtid="{D5CDD505-2E9C-101B-9397-08002B2CF9AE}" pid="60" name="PADIDATE">
    <vt:lpwstr>20200130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491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410120200128</vt:lpwstr>
  </property>
  <property fmtid="{D5CDD505-2E9C-101B-9397-08002B2CF9AE}" pid="70" name="TYPE_N_DATE">
    <vt:lpwstr>41020200128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