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4925/21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שאהין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65732-06-20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15.6.2021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6.7.2022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</w:t>
            </w:r>
            <w:r>
              <w:rPr>
                <w:rtl w:val="true"/>
              </w:rPr>
              <w:t>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0"/>
        <w:ind w:firstLine="720" w:end="0"/>
        <w:jc w:val="both"/>
        <w:rPr>
          <w:rFonts w:ascii="Century" w:hAnsi="Century" w:cs="FrankRuehl"/>
          <w:szCs w:val="28"/>
          <w:lang w:bidi="he-IL"/>
        </w:rPr>
      </w:pPr>
      <w:bookmarkStart w:id="8" w:name="Writer_Name"/>
      <w:bookmarkEnd w:id="8"/>
      <w:r>
        <w:rPr>
          <w:rFonts w:ascii="Century" w:hAnsi="Century" w:cs="FrankRuehl"/>
          <w:szCs w:val="28"/>
          <w:rtl w:val="true"/>
          <w:lang w:bidi="he-IL"/>
        </w:rPr>
        <w:t>לאחר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שיח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וש</w:t>
      </w:r>
      <w:r>
        <w:rPr>
          <w:rFonts w:ascii="Century" w:hAnsi="Century" w:cs="FrankRuehl"/>
          <w:szCs w:val="28"/>
          <w:rtl w:val="true"/>
          <w:lang w:bidi="he-IL"/>
        </w:rPr>
        <w:t>יג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ובעקבות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הערותינו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הודיעה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באת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כוח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המשיבה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היא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מסכימה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להחזרת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הדיון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לבית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המשפט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המחוזי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לשמיעת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עדות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המתלונן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zCs w:val="28"/>
          <w:rtl w:val="true"/>
          <w:lang w:bidi="he-IL"/>
        </w:rPr>
        <w:t>(</w:t>
      </w:r>
      <w:r>
        <w:rPr>
          <w:rFonts w:ascii="Century" w:hAnsi="Century" w:cs="FrankRuehl"/>
          <w:szCs w:val="28"/>
          <w:rtl w:val="true"/>
          <w:lang w:bidi="he-IL"/>
        </w:rPr>
        <w:t>דבר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הסכימה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גם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בדיון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לפני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בית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המשפט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המחוזי</w:t>
      </w:r>
      <w:r>
        <w:rPr>
          <w:rFonts w:cs="FrankRuehl" w:ascii="Century" w:hAnsi="Century"/>
          <w:szCs w:val="28"/>
          <w:rtl w:val="true"/>
          <w:lang w:bidi="he-IL"/>
        </w:rPr>
        <w:t xml:space="preserve">) </w:t>
      </w:r>
      <w:r>
        <w:rPr>
          <w:rFonts w:ascii="Century" w:hAnsi="Century" w:cs="FrankRuehl"/>
          <w:szCs w:val="28"/>
          <w:rtl w:val="true"/>
          <w:lang w:bidi="he-IL"/>
        </w:rPr>
        <w:t>תוך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הבהרה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בין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כך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ובין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אחרת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לטעמה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לנושא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זה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צריכה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להיות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השלכה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הכרעת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הד</w:t>
      </w:r>
      <w:r>
        <w:rPr>
          <w:rFonts w:ascii="Century" w:hAnsi="Century" w:cs="FrankRuehl"/>
          <w:szCs w:val="28"/>
          <w:rtl w:val="true"/>
          <w:lang w:bidi="he-IL"/>
        </w:rPr>
        <w:t>ין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והן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גזר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הדין</w:t>
      </w:r>
      <w:r>
        <w:rPr>
          <w:rFonts w:cs="FrankRuehl" w:ascii="Century" w:hAnsi="Century"/>
          <w:szCs w:val="28"/>
          <w:rtl w:val="true"/>
          <w:lang w:bidi="he-IL"/>
        </w:rPr>
        <w:t>.</w:t>
      </w:r>
    </w:p>
    <w:p>
      <w:pPr>
        <w:pStyle w:val="ruller40"/>
        <w:ind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cs="FrankRuehl" w:ascii="Century" w:hAnsi="Century"/>
          <w:szCs w:val="28"/>
          <w:rtl w:val="true"/>
          <w:lang w:bidi="he-IL"/>
        </w:rPr>
      </w:r>
    </w:p>
    <w:p>
      <w:pPr>
        <w:pStyle w:val="ruller40"/>
        <w:ind w:firstLine="720"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ascii="Century" w:hAnsi="Century" w:cs="FrankRuehl"/>
          <w:szCs w:val="28"/>
          <w:rtl w:val="true"/>
          <w:lang w:bidi="he-IL"/>
        </w:rPr>
        <w:t>אנו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מבטלים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אפוא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הכרעת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הדין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ואת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גזר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הדין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ומחזירים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הדיון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לשמיעת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עדות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המתלונן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לבית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המשפט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המחוזי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תוך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הדגשה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שההחזרה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מוגבלת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לנושא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זה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בלבד</w:t>
      </w:r>
      <w:r>
        <w:rPr>
          <w:rFonts w:cs="FrankRuehl" w:ascii="Century" w:hAnsi="Century"/>
          <w:szCs w:val="28"/>
          <w:rtl w:val="true"/>
          <w:lang w:bidi="he-IL"/>
        </w:rPr>
        <w:t xml:space="preserve">. </w:t>
      </w:r>
    </w:p>
    <w:p>
      <w:pPr>
        <w:pStyle w:val="ruller40"/>
        <w:ind w:firstLine="720"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cs="FrankRuehl" w:ascii="Century" w:hAnsi="Century"/>
          <w:szCs w:val="28"/>
          <w:rtl w:val="true"/>
          <w:lang w:bidi="he-IL"/>
        </w:rPr>
      </w:r>
    </w:p>
    <w:p>
      <w:pPr>
        <w:pStyle w:val="ruller40"/>
        <w:ind w:firstLine="720"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ascii="Century" w:hAnsi="Century" w:cs="FrankRuehl"/>
          <w:szCs w:val="28"/>
          <w:rtl w:val="true"/>
          <w:lang w:bidi="he-IL"/>
        </w:rPr>
        <w:t>אנו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מדגישים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אין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באמור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משום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נקיטת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עמדה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מצד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בית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משפט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זה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לגוף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המחלוקת</w:t>
      </w:r>
      <w:r>
        <w:rPr>
          <w:rFonts w:cs="FrankRuehl" w:ascii="Century" w:hAnsi="Century"/>
          <w:szCs w:val="28"/>
          <w:rtl w:val="true"/>
          <w:lang w:bidi="he-IL"/>
        </w:rPr>
        <w:t xml:space="preserve">. </w:t>
      </w:r>
    </w:p>
    <w:p>
      <w:pPr>
        <w:pStyle w:val="ruller40"/>
        <w:ind w:firstLine="720"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cs="FrankRuehl" w:ascii="Century" w:hAnsi="Century"/>
          <w:szCs w:val="28"/>
          <w:rtl w:val="true"/>
          <w:lang w:bidi="he-IL"/>
        </w:rPr>
      </w:r>
    </w:p>
    <w:p>
      <w:pPr>
        <w:pStyle w:val="ruller40"/>
        <w:ind w:firstLine="720"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ascii="Century" w:hAnsi="Century" w:cs="FrankRuehl"/>
          <w:szCs w:val="28"/>
          <w:rtl w:val="true"/>
          <w:lang w:bidi="he-IL"/>
        </w:rPr>
        <w:t>למותר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לציין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טענות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הצדדים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באשר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להכרעותיו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בית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המשפט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המחוזי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שמורות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להם</w:t>
      </w:r>
      <w:r>
        <w:rPr>
          <w:rFonts w:cs="FrankRuehl" w:ascii="Century" w:hAnsi="Century"/>
          <w:szCs w:val="28"/>
          <w:rtl w:val="true"/>
          <w:lang w:bidi="he-IL"/>
        </w:rPr>
        <w:t>.</w:t>
      </w:r>
    </w:p>
    <w:p>
      <w:pPr>
        <w:pStyle w:val="ruller40"/>
        <w:ind w:firstLine="720"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cs="FrankRuehl" w:ascii="Century" w:hAnsi="Century"/>
          <w:szCs w:val="28"/>
          <w:rtl w:val="true"/>
          <w:lang w:bidi="he-IL"/>
        </w:rPr>
      </w:r>
    </w:p>
    <w:p>
      <w:pPr>
        <w:pStyle w:val="ruller40"/>
        <w:ind w:firstLine="720"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ascii="Century" w:hAnsi="Century" w:cs="FrankRuehl"/>
          <w:szCs w:val="28"/>
          <w:rtl w:val="true"/>
          <w:lang w:bidi="he-IL"/>
        </w:rPr>
        <w:t>בכך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הסתיים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ההליך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שלפנינו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בהסכמה</w:t>
      </w:r>
      <w:r>
        <w:rPr>
          <w:rFonts w:cs="FrankRuehl" w:ascii="Century" w:hAnsi="Century"/>
          <w:szCs w:val="28"/>
          <w:rtl w:val="true"/>
          <w:lang w:bidi="he-IL"/>
        </w:rPr>
        <w:t>.</w:t>
      </w:r>
    </w:p>
    <w:p>
      <w:pPr>
        <w:pStyle w:val="ruller40"/>
        <w:ind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cs="FrankRuehl" w:ascii="Century" w:hAnsi="Century"/>
          <w:szCs w:val="28"/>
          <w:rtl w:val="true"/>
          <w:lang w:bidi="he-IL"/>
        </w:rPr>
        <w:tab/>
      </w:r>
    </w:p>
    <w:p>
      <w:pPr>
        <w:pStyle w:val="ruller40"/>
        <w:ind w:end="0"/>
        <w:jc w:val="both"/>
        <w:rPr>
          <w:rFonts w:ascii="Century" w:hAnsi="Century" w:cs="FrankRuehl"/>
          <w:szCs w:val="28"/>
          <w:lang w:bidi="he-IL"/>
        </w:rPr>
      </w:pPr>
      <w:bookmarkStart w:id="9" w:name="Nitan"/>
      <w:r>
        <w:rPr>
          <w:rFonts w:eastAsia="Century" w:cs="Century" w:ascii="Century" w:hAnsi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ניתן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היום</w:t>
      </w:r>
      <w:r>
        <w:rPr>
          <w:rFonts w:cs="FrankRuehl" w:ascii="Century" w:hAnsi="Century"/>
          <w:szCs w:val="28"/>
          <w:rtl w:val="true"/>
          <w:lang w:bidi="he-IL"/>
        </w:rPr>
        <w:t>, ‏</w:t>
      </w:r>
      <w:r>
        <w:rPr>
          <w:rFonts w:ascii="Century" w:hAnsi="Century" w:cs="FrankRuehl"/>
          <w:szCs w:val="28"/>
          <w:rtl w:val="true"/>
          <w:lang w:bidi="he-IL"/>
        </w:rPr>
        <w:t>ז</w:t>
      </w:r>
      <w:r>
        <w:rPr>
          <w:rFonts w:cs="FrankRuehl" w:ascii="Century" w:hAnsi="Century"/>
          <w:szCs w:val="28"/>
          <w:rtl w:val="true"/>
          <w:lang w:bidi="he-IL"/>
        </w:rPr>
        <w:t xml:space="preserve">' </w:t>
      </w:r>
      <w:r>
        <w:rPr>
          <w:rFonts w:ascii="Century" w:hAnsi="Century" w:cs="FrankRuehl"/>
          <w:szCs w:val="28"/>
          <w:rtl w:val="true"/>
          <w:lang w:bidi="he-IL"/>
        </w:rPr>
        <w:t>בתמוז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התשפ</w:t>
      </w:r>
      <w:r>
        <w:rPr>
          <w:rFonts w:cs="FrankRuehl" w:ascii="Century" w:hAnsi="Century"/>
          <w:szCs w:val="28"/>
          <w:rtl w:val="true"/>
          <w:lang w:bidi="he-IL"/>
        </w:rPr>
        <w:t>"</w:t>
      </w:r>
      <w:r>
        <w:rPr>
          <w:rFonts w:ascii="Century" w:hAnsi="Century" w:cs="FrankRuehl"/>
          <w:szCs w:val="28"/>
          <w:rtl w:val="true"/>
          <w:lang w:bidi="he-IL"/>
        </w:rPr>
        <w:t>ב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zCs w:val="28"/>
          <w:rtl w:val="true"/>
          <w:lang w:bidi="he-IL"/>
        </w:rPr>
        <w:t>(‏</w:t>
      </w:r>
      <w:r>
        <w:rPr>
          <w:rFonts w:cs="FrankRuehl" w:ascii="Century" w:hAnsi="Century"/>
          <w:szCs w:val="28"/>
          <w:lang w:bidi="he-IL"/>
        </w:rPr>
        <w:t>6.7.2022</w:t>
      </w:r>
      <w:r>
        <w:rPr>
          <w:rFonts w:cs="FrankRuehl" w:ascii="Century" w:hAnsi="Century"/>
          <w:szCs w:val="28"/>
          <w:rtl w:val="true"/>
          <w:lang w:bidi="he-IL"/>
        </w:rPr>
        <w:t xml:space="preserve">). </w:t>
      </w:r>
      <w:bookmarkEnd w:id="9"/>
    </w:p>
    <w:p>
      <w:pPr>
        <w:pStyle w:val="Ruller4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21049250</w:t>
      </w:r>
      <w:r>
        <w:rPr>
          <w:sz w:val="16"/>
          <w:rtl w:val="true"/>
        </w:rPr>
        <w:t>_</w:t>
      </w:r>
      <w:r>
        <w:rPr>
          <w:sz w:val="16"/>
        </w:rPr>
        <w:t>M09.docx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54678313-4925/21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4925/21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 שאהין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794932" TargetMode="External"/><Relationship Id="rId3" Type="http://schemas.openxmlformats.org/officeDocument/2006/relationships/hyperlink" Target="https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2022-07-07T07:24:00Z</dcterms:created>
  <dc:creator>h4</dc:creator>
  <dc:description/>
  <cp:keywords/>
  <dc:language>en-IL</dc:language>
  <cp:lastModifiedBy>h1</cp:lastModifiedBy>
  <cp:lastPrinted>2022-07-06T16:31:00Z</cp:lastPrinted>
  <dcterms:modified xsi:type="dcterms:W3CDTF">2022-07-07T07:24:00Z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מאג'ד שאהין</vt:lpwstr>
  </property>
  <property fmtid="{D5CDD505-2E9C-101B-9397-08002B2CF9AE}" pid="3" name="APPELLEE">
    <vt:lpwstr>מדינת ישראל</vt:lpwstr>
  </property>
  <property fmtid="{D5CDD505-2E9C-101B-9397-08002B2CF9AE}" pid="4" name="CASESLISTTMP1">
    <vt:lpwstr>26794932</vt:lpwstr>
  </property>
  <property fmtid="{D5CDD505-2E9C-101B-9397-08002B2CF9AE}" pid="5" name="DATE">
    <vt:lpwstr>20220706</vt:lpwstr>
  </property>
  <property fmtid="{D5CDD505-2E9C-101B-9397-08002B2CF9AE}" pid="6" name="JUDGE">
    <vt:lpwstr>נ' סולברג;ח' כבוב;ה ע' פוגלמן</vt:lpwstr>
  </property>
  <property fmtid="{D5CDD505-2E9C-101B-9397-08002B2CF9AE}" pid="7" name="LAWYER">
    <vt:lpwstr>מורן פולמן;תמי אולמן;שחף אולמן</vt:lpwstr>
  </property>
  <property fmtid="{D5CDD505-2E9C-101B-9397-08002B2CF9AE}" pid="8" name="PROCESS">
    <vt:lpwstr>עפ</vt:lpwstr>
  </property>
  <property fmtid="{D5CDD505-2E9C-101B-9397-08002B2CF9AE}" pid="9" name="PROCNUM">
    <vt:lpwstr>4925</vt:lpwstr>
  </property>
  <property fmtid="{D5CDD505-2E9C-101B-9397-08002B2CF9AE}" pid="10" name="PROCYEAR">
    <vt:lpwstr>21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410020220706</vt:lpwstr>
  </property>
  <property fmtid="{D5CDD505-2E9C-101B-9397-08002B2CF9AE}" pid="14" name="TYPE_N_DATE">
    <vt:lpwstr>41020220706</vt:lpwstr>
  </property>
  <property fmtid="{D5CDD505-2E9C-101B-9397-08002B2CF9AE}" pid="15" name="WORDNUMPAGES">
    <vt:lpwstr>2</vt:lpwstr>
  </property>
</Properties>
</file>