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4946/20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בדימוס</w:t>
            </w:r>
            <w:r>
              <w:rPr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אטירסאו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אינעלם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27.5.2020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12954-07-18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כ</w:t>
            </w:r>
            <w:r>
              <w:rPr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סעב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י</w:t>
            </w:r>
            <w:r>
              <w:rPr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ליפשיץ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b/>
                <w:sz w:val="24"/>
                <w:szCs w:val="24"/>
                <w:rtl w:val="true"/>
              </w:rPr>
              <w:t>-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ג</w:t>
            </w:r>
            <w:r>
              <w:rPr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ציגלר</w:t>
            </w:r>
            <w:r>
              <w:rPr>
                <w:b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10.2.2022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עראף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שגב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מכלול הראיות מבסס כנדרש את המסקנה הנסיבתית בפלילים כי המערער הוא אשר ביצע את עבירת הרצח כלפי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יובהר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יש חשיבות לשמירה על זכויות נאשמים בהליך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הלכת יששכרוב היא חשובה ורלוונטית גם בהליכים שעניינם עבירות בעלות דרגת חומרה גבוהה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על יסוד ראיות נסיבתיות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קבילות – ראיה שהושגה באמצעים פסולים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בגדרה הורשע המערער ברצח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 המערער התבססה על מארג נסיבתי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בעיקר של ראיות פורנזיות ועדויות ראיה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המשנה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לנשיאה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בדימוס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הנדל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ההרשעה מבוססת על ראיות נסיבתיות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הקושי מבחינת המערער הוא שראיות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 הפחות שתיים מהן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מאד חזקות – דם של המנוחה על בגדי המערער וכיפה של המערער שנמצאה במקום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יש ראיות נוספות שמחזקות את אשמת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העובדה שהוא הודיע למקום עבודתו בתואנת שווא כי הוא חולה ונתפס כק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 מזירת הרצח זמן קצר לאחר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בנוסף לעדויות שהעלו בבירור כי למערער רקע של התנהגות אלימה כלפי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הראיות הפורנזיות 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הן העיקר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שנקבע בפסיקה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ראיות נסיבתיות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הפסיפס הראייתי להוביל למסקנה הגיונית וסבירה אחת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– אין להרשיע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להכריע בשאלה זו יש להידרש למבחן דו שלבי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 ראשון נבחנת מידת מהימנות הראיות הנסיבתיות עצמן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ביישום על 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בראיות איתנות כנגד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אין בסיס להסתייגות ממצאי הדנ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ומחוות הדעת בדבר הדם על בגדי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הוגשה בהסכמה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 השני יש לבחון אם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העובדות שהוכחו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התרחיש היחיד הסביר וההגיוני הוא אשמת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ובהינתן עוצמת התשתית הנסיבתית הקושרת היטב את המערער למעשה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לבחון את גרסת המערער שמא יש בה כדי לעורר ספק סביר בתזה המרשיעה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נתן כל הסבר סביר לממצאים העובדתיים ובעיקר לראיות הפורנזיות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מסר כי אינו זוכר את אירועי היום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 יודע כיצד הגיע הדם עם דנ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של המנוחה לבגדיו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 ההסבר שנתן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בשפה רפה נמצא כשקרי ולא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אפוא כל פירצה במכלול הראיות שיש בה כדי לעורר ספק סביר ביחס למסקנה הנסיבתית כי המערער הוא אשר ביצע את מעשה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מכלול הראיות מבסס כנדרש את המסקנה הנסיבתית בפלילים כי המערער הוא שביצע את עבירת הרצח כלפי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יצוין כי הערעור מתמקד בין היתר בטענה שאין לקבל כראיה את הסכין עליה טביעות אצבע של המערער ודם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מאחר שנפגעה זכות ההיוועצות של המערער בשלב בו התבקש להצביע על הסכין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אין לנו צורך להכריע בשאלה זו וניתן לאמץ את עמדת התביעה בעניין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גישתה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המצב הראייתי של התיק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אם אין לתת לסכין משקל ראייתי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בסוגיה תיאורטית אשר אין בה כדי לשנות מן המסקנה שיש ראיות רבות וחזקות המוכיחות את אשמת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קריאת חוו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השופט אלרון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 בהמשך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הנדל מסכים להסתייגות מהתנהלות בתביעה בעניין הסכין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שמקרים כאלו לא ישנו בעתיד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מבקש להוסיף שתי הערות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בהכרח פסול בכך 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 יידרש לשאלה אם ראיה קבילה או 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בהנחה שהוא לא מתייחס לראיה זו בכלל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היה ובימ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מעוניין לדון בראיה מסוימת ובמשקלה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ולהכניסה לסל הראיות אשר יקבע אשמתו ואחריותו של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פשיטא כי יש לדון בשאלת הקבילות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האפשרות לפיה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יקבל ראיה לגופה ויניח קבילותה מבלי לדון בעניין משום שיש ממילא מספיק ראיות להרשעה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מעוררת קושי מהותי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 גישה שאינה רצויה מבחינת מדיניות משפטית בתחום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הנקודה השנייה נוגעת לחומרת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בהכרעת הדין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השופטת ציגלר ציינה כי אין לפסול את הסכין כראיה על אף הפגם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 שמנגד יש לשקול גם את חומרת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הדרך הנכונה ליישם את הלכת יששכרוב היא כך שחומרת העבירה לא תהווה שיקול להימנע מפסילת ראיה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הלכת יששכרוב בנויה על איזונים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תכלית מרכזית של הלכה זו היא לכוון את התנהגות המשטרה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ליצור מצב בו שוטר ינהג אחרת ובניגוד לדין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 מחשבה כי התנהגות פסולה עשויה לקבל הצדקה נוכח חומרת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הזכות למשפט הוגן בהליך פלילי מושרשת וחשובה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בכלל וכך לגבי זכות ההיוועצות 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בתמיכה לעמדה כי יש להעניק משקל לחומרת העבירה מודגש האינטרס הציבורי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האינטרס הציבורי מחייב כי טרם הרשעה בעבירת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החקירה והמשפט יעשו בצורה מיטבית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הכללים המחייבים כדי למנוע הרשעת החף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גם כדי להימנע ממצב בו התיק נסגר אבל המבצע חופשי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השופטת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ברק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מסכימה כי דין הערעור 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העניין אינן מחייבות הכרעה בשאלת המבחן המתאים לבחינת ראיות נסיבתיות – המבחן הדו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שלבי או המבחן התלת שלבי שהשתרש בפסיקה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זו בלבד שהמערער עצמו לא הציע הסבר המתקבל על הדעת לראיות הפורנזיות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שאין כל תזה חלופית אפשרית שיש בה כדי לעורר ספק סביר ביחס לאשמת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יישום שני המבחנים מביא בענייננו לאותה תוצאה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מצטרפת לעמדתם העקרונית של שני השופטים האחרים באשר לחשיבות הנודעת לשמירה על זכויות נאשמים בהליך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לקביעה כי הלכת הפסלות הפסיקתית שנקבעה בעניין יששכרוב היא חשובה ורלוונטית גם בהליכים שעניינם עבירות בעלות דרגת חומרה גבוהה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אלרון –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מסכים כי דין הערעור להידחות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להליך החקירתי בסופו נמצא הסכין שעליו טביעות האצבע של המערער ודם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שהמערער ביקש להיוועץ בעו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אתיופי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הופסקה חקירתו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אולם היא התחדשה תוך שהחוקר שואל את המערער האם הוא מוכן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להראות היכן הסכין נמצא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שהדברים נמסרו למערער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המתורגמן</w:t>
      </w:r>
      <w:r>
        <w:rPr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Cs w:val="26"/>
          <w:rtl w:val="true"/>
        </w:rPr>
        <w:t>לפני שהעורך דין יגע יש לי שאל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האם אתה יכול להראות לי איפה נפל הסכין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?" </w:t>
      </w:r>
      <w:r>
        <w:rPr>
          <w:rFonts w:ascii="Times New Roman" w:hAnsi="Times New Roman" w:cs="Times New Roman"/>
          <w:spacing w:val="0"/>
          <w:szCs w:val="26"/>
          <w:rtl w:val="true"/>
        </w:rPr>
        <w:t>לשאלה זו השיב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Cs w:val="26"/>
          <w:rtl w:val="true"/>
        </w:rPr>
        <w:t>אני זרקתי אותו שמה בגן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בהמשך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טרם מומשה זכות ההיוועצות של המערער ועל בסיס הצבעת המערער לעבר מיקום הסכין הוא אותר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במעשה שלא יעשה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טוב עשתה המשיבה משלא ביקשה כי ייקבע שהסכין קביל כראיה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דומה כי הייתה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מוטיבציית 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החוקר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על חשבון זכויות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 זה זכותו להליך הוגן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יש להוסיף את מגבלות השפה של המערער והשתייכותו לאוכלוסייה מוחלשת של נחקרים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הציפייה מגופי החקירה היא לנהל את החקירה בשום שכל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שלא יקשה בסופו של יום על מלאכת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בניתוח הראיות וקביעת משקלן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בדימוס</w:t>
      </w:r>
      <w:r>
        <w:rPr>
          <w:rFonts w:cs="Miriam"/>
          <w:sz w:val="24"/>
          <w:szCs w:val="24"/>
          <w:u w:val="single"/>
          <w:rtl w:val="true"/>
        </w:rPr>
        <w:t>)</w:t>
      </w:r>
      <w:r>
        <w:rPr>
          <w:rFonts w:cs="Miriam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סעב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ליפשיץ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ציגלר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12954-07-18</w:t>
        </w:r>
      </w:hyperlink>
      <w:r>
        <w:rPr>
          <w:rtl w:val="true"/>
        </w:rPr>
        <w:t xml:space="preserve">),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">
        <w:r>
          <w:rPr>
            <w:rStyle w:val="Hyperlink"/>
          </w:rPr>
          <w:t>301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כנוסחם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המערער היה נשוי למנוחה ולהם ארבעה ילדים</w:t>
      </w:r>
      <w:r>
        <w:rPr>
          <w:rtl w:val="true"/>
        </w:rPr>
        <w:t xml:space="preserve">. </w:t>
      </w:r>
      <w:r>
        <w:rPr>
          <w:rtl w:val="true"/>
        </w:rPr>
        <w:t>במועד הרלוונטי המנוחה התגוררה בחיפה והמערער בלוד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10.6.2018</w:t>
      </w:r>
      <w:r>
        <w:rPr>
          <w:rtl w:val="true"/>
        </w:rPr>
        <w:t xml:space="preserve"> </w:t>
      </w:r>
      <w:r>
        <w:rPr>
          <w:rtl w:val="true"/>
        </w:rPr>
        <w:t>לאחר שהחליט להמית את המנוחה</w:t>
      </w:r>
      <w:r>
        <w:rPr>
          <w:rtl w:val="true"/>
        </w:rPr>
        <w:t xml:space="preserve">, </w:t>
      </w:r>
      <w:r>
        <w:rPr>
          <w:rtl w:val="true"/>
        </w:rPr>
        <w:t>נסע המערער מלוד לאזור חיפה והמתין לה ברחוב מחוץ לביתה</w:t>
      </w:r>
      <w:r>
        <w:rPr>
          <w:rtl w:val="true"/>
        </w:rPr>
        <w:t xml:space="preserve">. </w:t>
      </w:r>
      <w:r>
        <w:rPr>
          <w:rtl w:val="true"/>
        </w:rPr>
        <w:t>כאשר הגיעה המנוחה למקום</w:t>
      </w:r>
      <w:r>
        <w:rPr>
          <w:rtl w:val="true"/>
        </w:rPr>
        <w:t xml:space="preserve">, </w:t>
      </w:r>
      <w:r>
        <w:rPr>
          <w:rtl w:val="true"/>
        </w:rPr>
        <w:t>בדרכה חזרה מהעבודה</w:t>
      </w:r>
      <w:r>
        <w:rPr>
          <w:rtl w:val="true"/>
        </w:rPr>
        <w:t xml:space="preserve">, </w:t>
      </w:r>
      <w:r>
        <w:rPr>
          <w:rtl w:val="true"/>
        </w:rPr>
        <w:t>המערער התנפל עליה ודקר אותה שמונה דקירות בחלקי גופה השונים</w:t>
      </w:r>
      <w:r>
        <w:rPr>
          <w:rtl w:val="true"/>
        </w:rPr>
        <w:t xml:space="preserve">. </w:t>
      </w:r>
      <w:r>
        <w:rPr>
          <w:rtl w:val="true"/>
        </w:rPr>
        <w:t>כתוצאה מפצעי הדקירה בצווארה וגבה</w:t>
      </w:r>
      <w:r>
        <w:rPr>
          <w:rtl w:val="true"/>
        </w:rPr>
        <w:t xml:space="preserve">, </w:t>
      </w:r>
      <w:r>
        <w:rPr>
          <w:rtl w:val="true"/>
        </w:rPr>
        <w:t>נגרם מותה של המנוחה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פורנזיות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. </w:t>
      </w:r>
      <w:r>
        <w:rPr>
          <w:rtl w:val="true"/>
        </w:rPr>
        <w:t>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</w:t>
      </w:r>
      <w:r>
        <w:rPr>
          <w:rtl w:val="true"/>
        </w:rPr>
        <w:t xml:space="preserve">,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לממצא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צעקותיה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הקנטור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בתואנת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כקילומטר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הפורנזיות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קריאף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3-1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דעתי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. </w:t>
      </w:r>
      <w:r>
        <w:rPr>
          <w:rtl w:val="true"/>
        </w:rPr>
        <w:t>ביישום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שהוכחו</w:t>
      </w:r>
      <w:r>
        <w:rPr>
          <w:rtl w:val="true"/>
        </w:rPr>
        <w:t xml:space="preserve">, </w:t>
      </w:r>
      <w:r>
        <w:rPr>
          <w:rtl w:val="true"/>
        </w:rPr>
        <w:t>התרחיש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וההגיוני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המרשיעה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הפורנזיות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ליפשיץ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). </w:t>
      </w:r>
      <w:r>
        <w:rPr>
          <w:rtl w:val="true"/>
        </w:rPr>
        <w:t>באומרי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תושפע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חברי הסכים כי דין הערעור להידחות וכך גם קבעה חברתי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מצא להעיר לגבי ראיית הסכין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 בחרתי שלא להתייחס לראיה זו כי סברתי שניתן לקבל את גישת המדינה בערעור לפיה אין צורך להידרש לראיה זו לכאן או לכאן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די בראיות האחרות כדי להגיע לתוצאה של דחיית הערעור וקביעה בדבר אשמת המערער בעבירת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במחשבה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שקראתי את הדברים הקצרים אך הנכוחים שכתב חברי השופט אלרון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נראה לי שהוא צדק בגישתו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הסתייג מהתנהלות התביעה בעניין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כדי שמקרים כאלו לא ישנו בעתיד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רקע זה אוסיף שתי הערות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תוך התייחסות לעמדות של בית משפט קמא לעניין קבילות הראיה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תחילה נציג את מהות ראיית הסכין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עולה מהכרעת הדין כי במהלך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ומיד לאחר שהמערער נתפס ונמצא ברכב המשטרתי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ביקש להיוועץ בעורך 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 מהלך ההובלה הופסק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החוקר שאל את המערער האם הוא מוכן להסתפק רק בהצבעה על מקום הימצאותו של הסכין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והמערער נענה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פסקה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בחוות דעתו של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אין חולק כי זכות ההיוועצות של המערער נפגעה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מצב דברים אלה הוביל אותי לציין שתי נקודות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כעולה מדברי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ליפשיץ</w:t>
      </w:r>
      <w:r>
        <w:rPr>
          <w:rFonts w:ascii="Century" w:hAnsi="Century" w:cs="Century"/>
          <w:rtl w:val="true"/>
        </w:rPr>
        <w:t xml:space="preserve"> בהכרעת הדין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קיימת מחלוקת בפסיקה האם יש לדון בקבילותה של ראיה כאשר הראיה אינה נדרשת להרשעה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למשל עמדת המשנה לנשיאה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כתוארה 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ascii="Century" w:hAnsi="Century" w:cs="Century"/>
          <w:rtl w:val="true"/>
        </w:rPr>
        <w:t xml:space="preserve"> ב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10049/08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23.8.2012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לעומת השופט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כתוארו 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גובראן</w:t>
      </w:r>
      <w:r>
        <w:rPr>
          <w:rFonts w:ascii="Century" w:hAnsi="Century" w:cs="Century"/>
          <w:rtl w:val="true"/>
        </w:rPr>
        <w:t xml:space="preserve"> ב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6144/10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גטצאו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10.4.2013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מחלוקת אשר אוזכרה גם ב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5417/07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30.5.2013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להשקפתי הדרך הנכונה להשקיף על המחלוקת היא זו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איני רואה בהכרח פסול בכך שבית משפט לא יידרש לשאלה אם ראיה קבילה או 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זאת בהנחה שהוא לא מתייחס לראיה זו בכלל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רוצה לומר כי בית משפט יכול לומר כי ראיות אחרות מספיקות להרשעה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ובאשר לראיה המסוימת לציין כי עולה שאלת קבילות ולהימנע מלהביע עמדה לגבי קבילות הראיה והמשקל שיש להעניק 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ובית משפט מעוניין לדון בראיה מסוימת ובמשקלה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ולהכניסה לסל הראיות אשר יקבע אשמתו ואחריותו של 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פשיטא כי יש לדון בשאלת הקבילות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בעניין זה מקובלים עלי דברי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האפשרות לפיה בית משפט יקבל ראיה </w:t>
      </w:r>
      <w:r>
        <w:rPr>
          <w:rFonts w:ascii="Century" w:hAnsi="Century" w:cs="Century"/>
          <w:b/>
          <w:b/>
          <w:bCs/>
          <w:rtl w:val="true"/>
        </w:rPr>
        <w:t xml:space="preserve">לגופה </w:t>
      </w:r>
      <w:r>
        <w:rPr>
          <w:rFonts w:ascii="Century" w:hAnsi="Century" w:cs="Century"/>
          <w:rtl w:val="true"/>
        </w:rPr>
        <w:t>ויניח קבילותה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rtl w:val="true"/>
        </w:rPr>
        <w:t>מבלי לדון בעניין משום שיש ממילא מספיק ראיות להרשעה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מעוררת קושי מהותי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זו גישה שאינה רצויה לטעמי מבחינת מדיניות משפטית בתחום הפלילי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דהיינו תנאי לקבלת ראיה היא שראיה זו קבילה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תנאי זה אינו נתון לשיקול דעת או למארג הקונקרטי של התיק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משפט רשאי כאמור לומר כי אינו מתייחס למשקל של 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המצב בו בית משפט אומר כי בכל מקרה האדם אשם ולכן פטור בית משפט מלדון בקבילות ראיה אחת נראית לי כלא רצויה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לשכוח כי חלק מהתועלת בהבעת עמדה של בית משפט בשאלה האם הראיה קבילה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לכוון את התנהגות המשטרה כדי לפעול לקיומם של משפט הוגן וחקירה הוגנת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לסיכום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הימנעות מלדון בראיה לחוד והימנעות מלדון בקבילות הראיה ומשקלה לחוד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הנקודה 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נוגעת לחומרת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בהכרעת הדין בבית משפט קמא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ציגלר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התייחסה לעניין זה בחוות דעתה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וציינה כי אין לפסול את הסכין כראיה על אף הפגם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שמנגד יש לשקול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חומרת העבירה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גישה זו רחוקה מאד מתפיסתי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5956/08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23.11.2011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עוקה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קבעתי כי הדרך הנכונה ליישם את הלכת יששכרוב היא כך שחומרת העבירה לא תהווה שיקול להימנע מפסילת ראיה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גם</w:t>
      </w:r>
      <w:r>
        <w:rPr>
          <w:rFonts w:cs="Century" w:ascii="Century" w:hAnsi="Century"/>
          <w:rtl w:val="true"/>
        </w:rPr>
        <w:t xml:space="preserve">: </w:t>
      </w:r>
      <w:hyperlink r:id="rId15">
        <w:r>
          <w:rPr>
            <w:rStyle w:val="Hyperlink"/>
            <w:rFonts w:cs="Century" w:ascii="Century" w:hAnsi="Century"/>
          </w:rPr>
          <w:t>2868/13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חייבטוב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cs="Century"/>
          <w:rtl w:val="true"/>
        </w:rPr>
        <w:t xml:space="preserve"> והמקורות המאוזכרים שם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2.8.2018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כפי שציינתי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זה ראוי ליצור מצב בו למשל יזוכה נאשם מעבירת גניבה בגלל מחדל בחקירה אך יורשע בעבירת 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הלכת יששכרוב בנויה על איזונים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5121/98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סא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461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569-562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לעיל ולהלן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עניין אל עוקה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12-9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אך תכלית מרכזית של הלכת יששכרוב היא כאמור לכוון את התנהגות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ובהקשר זה יש גם מקום לשיקולים של ראליזם שיפוטי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המוטיבציה של אנשי מרות לפענח חקירה ולאתר חשוד גדולה פי כמה בעבירות רצח מעבירות תקיפה רגילה למשל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דווקא בעבירות החמורות טמונה הסכנה של מוטיבציית יתר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 לנו ליצור מצב בו שוטר ינהג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ובניגוד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 מחשבה כי התנהגות פסולה עשויה לקבל הצדקה נוכח חומרת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דווקא בעבירות החמורות יש להקפיד על הכללים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הניסיון מלמד כי הקפדה בזכויות נאשמים אף מסייעת ליעדים של המשטרה והפרקליטות להוכיח את אשמת החשוד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הזכות למשפט הוגן בהליך פלילי מושרשת וחשובה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כך בכלל וכך לגבי זכות ההיוועצות בפרט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למשל</w:t>
      </w:r>
      <w:r>
        <w:rPr>
          <w:rFonts w:cs="Century" w:ascii="Century" w:hAnsi="Century"/>
          <w:rtl w:val="true"/>
        </w:rPr>
        <w:t xml:space="preserve">: </w:t>
      </w:r>
      <w:hyperlink r:id="rId17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1301/06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עזבון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אלזם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סג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177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229-228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אוסיף כי בתמיכה לעמדה כי יש להעניק משקל לחומרת העבירה מודגש האינטרס הציבורי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האינטרס הציבורי מחייב כי טרם הרשעה בעבירת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החקירה והמשפט יעשו בצורה מיטבית על פי הכללים המחייבים כדי למנוע הרשעת החף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גם כדי להימנע ממצב בו התיק נסגר אבל המבצע חופשי בחוץ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דברים אלה נכתבים למעלה מן הצורך בנקודת המבט של ההכרעה בערעור בתיק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 אף מבלי להידרש לראיית הסכין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אשמת המערער הוכחה מעל לכל ספק סביר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</w:t>
      </w:r>
      <w:r>
        <w:rPr>
          <w:rtl w:val="true"/>
        </w:rPr>
        <w:t>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בדימוס</w:t>
      </w:r>
      <w:r>
        <w:rPr>
          <w:rtl w:val="true"/>
        </w:rPr>
        <w:t>)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הפורנזיות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הסכמתי</w:t>
      </w:r>
      <w:r>
        <w:rPr>
          <w:rtl w:val="true"/>
        </w:rPr>
        <w:t xml:space="preserve">, </w:t>
      </w:r>
      <w:r>
        <w:rPr>
          <w:rtl w:val="true"/>
        </w:rPr>
        <w:t>הוסיפו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במישרין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5121/98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סא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461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569-562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2006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היא חשובה ורלוונטית גם בהליכים שעניינם עבירות בעלות דרגת חומרה גבוהה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 מסכים עם חברי</w:t>
      </w:r>
      <w:r>
        <w:rPr>
          <w:rtl w:val="true"/>
        </w:rPr>
        <w:t xml:space="preserve">, </w:t>
      </w:r>
      <w:r>
        <w:rPr>
          <w:rtl w:val="true"/>
        </w:rPr>
        <w:t xml:space="preserve">המשנה לנשיאה </w:t>
      </w:r>
      <w:r>
        <w:rPr>
          <w:rtl w:val="true"/>
        </w:rPr>
        <w:t>(</w:t>
      </w:r>
      <w:r>
        <w:rPr>
          <w:rtl w:val="true"/>
        </w:rPr>
        <w:t>בדימוס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כי דין הערעור 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בכל זאת מצאתי להוסיף הערה לעניין ההליך החקירתי שבסופו נמצא הסכין שעליו טביעות האצבע של המערער ודמה של המנוחה </w:t>
      </w:r>
      <w:r>
        <w:rPr>
          <w:rtl w:val="true"/>
        </w:rPr>
        <w:t>–</w:t>
      </w:r>
      <w:r>
        <w:rPr>
          <w:rtl w:val="true"/>
        </w:rPr>
        <w:t xml:space="preserve"> בתמצית יתואר</w:t>
      </w:r>
      <w:r>
        <w:rPr>
          <w:rtl w:val="true"/>
        </w:rPr>
        <w:t xml:space="preserve">, </w:t>
      </w:r>
      <w:r>
        <w:rPr>
          <w:rtl w:val="true"/>
        </w:rPr>
        <w:t xml:space="preserve">כי לאחר שהמערער ביקש להיוועץ בעורך דין </w:t>
      </w:r>
      <w:r>
        <w:rPr>
          <w:rtl w:val="true"/>
        </w:rPr>
        <w:t>"</w:t>
      </w:r>
      <w:r>
        <w:rPr>
          <w:rtl w:val="true"/>
        </w:rPr>
        <w:t>אתיופי</w:t>
      </w:r>
      <w:r>
        <w:rPr>
          <w:rtl w:val="true"/>
        </w:rPr>
        <w:t xml:space="preserve">" </w:t>
      </w:r>
      <w:r>
        <w:rPr>
          <w:rtl w:val="true"/>
        </w:rPr>
        <w:t>הופסקה חקירתו</w:t>
      </w:r>
      <w:r>
        <w:rPr>
          <w:rtl w:val="true"/>
        </w:rPr>
        <w:t xml:space="preserve">, </w:t>
      </w:r>
      <w:r>
        <w:rPr>
          <w:rtl w:val="true"/>
        </w:rPr>
        <w:t xml:space="preserve">ואולם היא התחדשה תוך שהחוקר שואל את המערער האם הוא מוכן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להראות היכן הסכין נמצא</w:t>
      </w:r>
      <w:r>
        <w:rPr>
          <w:rtl w:val="true"/>
        </w:rPr>
        <w:t xml:space="preserve">. </w:t>
      </w:r>
      <w:r>
        <w:rPr>
          <w:rtl w:val="true"/>
        </w:rPr>
        <w:t>כפי שהדברים נמסרו למערער על</w:t>
      </w:r>
      <w:r>
        <w:rPr>
          <w:rtl w:val="true"/>
        </w:rPr>
        <w:t>-</w:t>
      </w:r>
      <w:r>
        <w:rPr>
          <w:rtl w:val="true"/>
        </w:rPr>
        <w:t>ידי המתורגמן</w:t>
      </w:r>
      <w:r>
        <w:rPr>
          <w:rtl w:val="true"/>
        </w:rPr>
        <w:t xml:space="preserve">: "... </w:t>
      </w:r>
      <w:r>
        <w:rPr>
          <w:rtl w:val="true"/>
        </w:rPr>
        <w:t>לפני שהעורך דין יגע יש לי שאל אחת</w:t>
      </w:r>
      <w:r>
        <w:rPr>
          <w:rtl w:val="true"/>
        </w:rPr>
        <w:t xml:space="preserve">. </w:t>
      </w:r>
      <w:r>
        <w:rPr>
          <w:rtl w:val="true"/>
        </w:rPr>
        <w:t>האם אתה יכול להראות לי איפה נפל הסכין</w:t>
      </w:r>
      <w:r>
        <w:rPr>
          <w:rtl w:val="true"/>
        </w:rPr>
        <w:t>?" [</w:t>
      </w:r>
      <w:r>
        <w:rPr>
          <w:rtl w:val="true"/>
        </w:rPr>
        <w:t xml:space="preserve">כך במקור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3</w:t>
      </w:r>
      <w:r>
        <w:rPr>
          <w:rtl w:val="true"/>
        </w:rPr>
        <w:t xml:space="preserve">]. </w:t>
      </w:r>
      <w:r>
        <w:rPr>
          <w:rtl w:val="true"/>
        </w:rPr>
        <w:t>לשאלה זו השיב המערער</w:t>
      </w:r>
      <w:r>
        <w:rPr>
          <w:rtl w:val="true"/>
        </w:rPr>
        <w:t>: "</w:t>
      </w:r>
      <w:r>
        <w:rPr>
          <w:rtl w:val="true"/>
        </w:rPr>
        <w:t>אני זרקתי אותו שמה בגן</w:t>
      </w:r>
      <w:r>
        <w:rPr>
          <w:rtl w:val="true"/>
        </w:rPr>
        <w:t xml:space="preserve">".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טרם מומשה זכות ההיוועצות של המערער ועל בסיס הצבעת המערער לעבר מיקום הסכין</w:t>
      </w:r>
      <w:r>
        <w:rPr>
          <w:rtl w:val="true"/>
        </w:rPr>
        <w:t xml:space="preserve">, </w:t>
      </w:r>
      <w:r>
        <w:rPr>
          <w:rtl w:val="true"/>
        </w:rPr>
        <w:t>הוא אותר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מדובר לטעמי במעשה שלא יעשה</w:t>
      </w:r>
      <w:r>
        <w:rPr>
          <w:rtl w:val="true"/>
        </w:rPr>
        <w:t xml:space="preserve">, </w:t>
      </w:r>
      <w:r>
        <w:rPr>
          <w:rtl w:val="true"/>
        </w:rPr>
        <w:t>פשוטו כמשמעו</w:t>
      </w:r>
      <w:r>
        <w:rPr>
          <w:rtl w:val="true"/>
        </w:rPr>
        <w:t xml:space="preserve">. </w:t>
      </w:r>
      <w:r>
        <w:rPr>
          <w:rtl w:val="true"/>
        </w:rPr>
        <w:t>טוב עשתה המשיבה משבדיון לפנינו לא ביקשה כי נקבע שהסכין קביל כראיה</w:t>
      </w:r>
      <w:r>
        <w:rPr>
          <w:rtl w:val="true"/>
        </w:rPr>
        <w:t xml:space="preserve">. </w:t>
      </w:r>
      <w:r>
        <w:rPr>
          <w:rtl w:val="true"/>
        </w:rPr>
        <w:t xml:space="preserve">דומה כי הייתה </w:t>
      </w:r>
      <w:r>
        <w:rPr>
          <w:rtl w:val="true"/>
        </w:rPr>
        <w:t>"</w:t>
      </w:r>
      <w:r>
        <w:rPr>
          <w:rtl w:val="true"/>
        </w:rPr>
        <w:t>מוטיבציית יתר</w:t>
      </w:r>
      <w:r>
        <w:rPr>
          <w:rtl w:val="true"/>
        </w:rPr>
        <w:t xml:space="preserve">" </w:t>
      </w:r>
      <w:r>
        <w:rPr>
          <w:rtl w:val="true"/>
        </w:rPr>
        <w:t>של החוקר</w:t>
      </w:r>
      <w:r>
        <w:rPr>
          <w:rtl w:val="true"/>
        </w:rPr>
        <w:t xml:space="preserve">, </w:t>
      </w:r>
      <w:r>
        <w:rPr>
          <w:rtl w:val="true"/>
        </w:rPr>
        <w:t>וזאת על חשבון זכויותיו של המערער</w:t>
      </w:r>
      <w:r>
        <w:rPr>
          <w:rtl w:val="true"/>
        </w:rPr>
        <w:t xml:space="preserve">, </w:t>
      </w:r>
      <w:r>
        <w:rPr>
          <w:rtl w:val="true"/>
        </w:rPr>
        <w:t>ובכלל זה זכותו להליך הוגן</w:t>
      </w:r>
      <w:r>
        <w:rPr>
          <w:rtl w:val="true"/>
        </w:rPr>
        <w:t xml:space="preserve">. </w:t>
      </w:r>
      <w:r>
        <w:rPr>
          <w:rtl w:val="true"/>
        </w:rPr>
        <w:t>לכך יש להוסיף את מגבלות השפה של המערער והשתייכותו לאוכלוסיי</w:t>
      </w:r>
      <w:r>
        <w:rPr>
          <w:rtl w:val="true"/>
        </w:rPr>
        <w:t>ה</w:t>
      </w:r>
      <w:r>
        <w:rPr>
          <w:rtl w:val="true"/>
        </w:rPr>
        <w:t xml:space="preserve"> מוחלשת של נחקרים</w:t>
      </w:r>
      <w:r>
        <w:rPr>
          <w:rtl w:val="true"/>
        </w:rPr>
        <w:t xml:space="preserve">. </w:t>
      </w:r>
      <w:r>
        <w:rPr>
          <w:rtl w:val="true"/>
        </w:rPr>
        <w:t>הציפייה מגופי החקירה היא לנהל את החקירה בשום שכל</w:t>
      </w:r>
      <w:r>
        <w:rPr>
          <w:rtl w:val="true"/>
        </w:rPr>
        <w:t xml:space="preserve">, </w:t>
      </w:r>
      <w:r>
        <w:rPr>
          <w:rtl w:val="true"/>
        </w:rPr>
        <w:t>באופן שלא יקשה בסופו של יום על מלאכתו של בית המשפט בניתוחן של הראיות וקביעת משקלן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 משפט זה התריע</w:t>
      </w:r>
      <w:r>
        <w:rPr>
          <w:rtl w:val="true"/>
        </w:rPr>
        <w:t xml:space="preserve">, </w:t>
      </w:r>
      <w:r>
        <w:rPr>
          <w:rtl w:val="true"/>
        </w:rPr>
        <w:t>פעם אחר פעם</w:t>
      </w:r>
      <w:r>
        <w:rPr>
          <w:rtl w:val="true"/>
        </w:rPr>
        <w:t xml:space="preserve">, </w:t>
      </w:r>
      <w:r>
        <w:rPr>
          <w:rtl w:val="true"/>
        </w:rPr>
        <w:t>על הצורך בחקירה הוגנת בהתאם למצוות הדין והפסיקה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למרבה הצער אנו שבים ונתקלים במקרים בהם נופל פגם של ממש בהתנהלות גופי החקירה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מבלי לקבוע מסמרות</w:t>
      </w:r>
      <w:r>
        <w:rPr>
          <w:rtl w:val="true"/>
        </w:rPr>
        <w:t xml:space="preserve">, </w:t>
      </w:r>
      <w:r>
        <w:rPr>
          <w:rtl w:val="true"/>
        </w:rPr>
        <w:t>ייתכן שלו היינו נדרשים לבחון את קבילות הסכין כראייה לא היה מנוס מפסילתו</w:t>
      </w:r>
      <w:r>
        <w:rPr>
          <w:rtl w:val="true"/>
        </w:rPr>
        <w:t xml:space="preserve">. </w:t>
      </w:r>
      <w:r>
        <w:rPr>
          <w:rtl w:val="true"/>
        </w:rPr>
        <w:t xml:space="preserve">העובדה כי הוצג מארג איתן של ראיות נסיבתיות אמנם </w:t>
      </w:r>
      <w:r>
        <w:rPr>
          <w:rtl w:val="true"/>
        </w:rPr>
        <w:t>"</w:t>
      </w:r>
      <w:r>
        <w:rPr>
          <w:rtl w:val="true"/>
        </w:rPr>
        <w:t>חסכה</w:t>
      </w:r>
      <w:r>
        <w:rPr>
          <w:rtl w:val="true"/>
        </w:rPr>
        <w:t xml:space="preserve">" </w:t>
      </w:r>
      <w:r>
        <w:rPr>
          <w:rtl w:val="true"/>
        </w:rPr>
        <w:t>במקרה שלפנינו את הצורך להכריע בסוגיה כבדת משקל זו</w:t>
      </w:r>
      <w:r>
        <w:rPr>
          <w:rtl w:val="true"/>
        </w:rPr>
        <w:t xml:space="preserve">, </w:t>
      </w:r>
      <w:r>
        <w:rPr>
          <w:rtl w:val="true"/>
        </w:rPr>
        <w:t>אולם אין כל ערובה כי כך יהיה במקרים עתידיים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בדימוס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6.6.2022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/>
      </w:pP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בדימוס</w:t>
      </w:r>
      <w:r>
        <w:rPr>
          <w:rtl w:val="true"/>
        </w:rPr>
        <w:t xml:space="preserve">)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20049460</w:t>
      </w:r>
      <w:r>
        <w:rPr>
          <w:sz w:val="16"/>
          <w:rtl w:val="true"/>
        </w:rPr>
        <w:t>_</w:t>
      </w:r>
      <w:r>
        <w:rPr>
          <w:sz w:val="16"/>
        </w:rPr>
        <w:t>Z15.docx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שה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54678313-4946/20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4946/20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אטירסאו אינעלם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/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36079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00.a.2" TargetMode="External"/><Relationship Id="rId5" Type="http://schemas.openxmlformats.org/officeDocument/2006/relationships/hyperlink" Target="http://www.nevo.co.il/law/70301/301" TargetMode="External"/><Relationship Id="rId6" Type="http://schemas.openxmlformats.org/officeDocument/2006/relationships/hyperlink" Target="http://www.nevo.co.il/case/24360796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0301/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8245382" TargetMode="External"/><Relationship Id="rId11" Type="http://schemas.openxmlformats.org/officeDocument/2006/relationships/hyperlink" Target="http://www.nevo.co.il/case/5714675" TargetMode="External"/><Relationship Id="rId12" Type="http://schemas.openxmlformats.org/officeDocument/2006/relationships/hyperlink" Target="http://www.nevo.co.il/case/5751283" TargetMode="External"/><Relationship Id="rId13" Type="http://schemas.openxmlformats.org/officeDocument/2006/relationships/hyperlink" Target="http://www.nevo.co.il/case/5840388" TargetMode="External"/><Relationship Id="rId14" Type="http://schemas.openxmlformats.org/officeDocument/2006/relationships/hyperlink" Target="http://www.nevo.co.il/case/5740837" TargetMode="External"/><Relationship Id="rId15" Type="http://schemas.openxmlformats.org/officeDocument/2006/relationships/hyperlink" Target="http://www.nevo.co.il/case/6901113" TargetMode="External"/><Relationship Id="rId16" Type="http://schemas.openxmlformats.org/officeDocument/2006/relationships/hyperlink" Target="http://www.nevo.co.il/case/5883040" TargetMode="External"/><Relationship Id="rId17" Type="http://schemas.openxmlformats.org/officeDocument/2006/relationships/hyperlink" Target="http://www.nevo.co.il/case/5728958" TargetMode="External"/><Relationship Id="rId18" Type="http://schemas.openxmlformats.org/officeDocument/2006/relationships/hyperlink" Target="http://www.nevo.co.il/case/5883040" TargetMode="External"/><Relationship Id="rId19" Type="http://schemas.openxmlformats.org/officeDocument/2006/relationships/hyperlink" Target="https://supreme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2022-06-07T08:39:00Z</dcterms:created>
  <dc:creator>h4</dc:creator>
  <dc:description/>
  <cp:keywords/>
  <dc:language>en-IL</dc:language>
  <cp:lastModifiedBy>orly</cp:lastModifiedBy>
  <cp:lastPrinted>2022-06-06T11:02:00Z</cp:lastPrinted>
  <dcterms:modified xsi:type="dcterms:W3CDTF">2022-06-07T08:39:00Z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אטירסאו אינעלם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24360796:2;8245382;5714675;5751283;5840388;5740837;6901113;5883040:2;5728958</vt:lpwstr>
  </property>
  <property fmtid="{D5CDD505-2E9C-101B-9397-08002B2CF9AE}" pid="9" name="CITY">
    <vt:lpwstr/>
  </property>
  <property fmtid="{D5CDD505-2E9C-101B-9397-08002B2CF9AE}" pid="10" name="DATE">
    <vt:lpwstr>20220606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ארז;י' אלרון;נ' הנדל</vt:lpwstr>
  </property>
  <property fmtid="{D5CDD505-2E9C-101B-9397-08002B2CF9AE}" pid="14" name="LAWLISTTMP1">
    <vt:lpwstr>70301/300.a.2;301</vt:lpwstr>
  </property>
  <property fmtid="{D5CDD505-2E9C-101B-9397-08002B2CF9AE}" pid="15" name="LAWYER">
    <vt:lpwstr>עדי שגב;ויסאם עראף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ראיות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18;89</vt:lpwstr>
  </property>
  <property fmtid="{D5CDD505-2E9C-101B-9397-08002B2CF9AE}" pid="37" name="NOSE21">
    <vt:lpwstr>הרשעה</vt:lpwstr>
  </property>
  <property fmtid="{D5CDD505-2E9C-101B-9397-08002B2CF9AE}" pid="38" name="NOSE210">
    <vt:lpwstr/>
  </property>
  <property fmtid="{D5CDD505-2E9C-101B-9397-08002B2CF9AE}" pid="39" name="NOSE22">
    <vt:lpwstr>קבילות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465;1661</vt:lpwstr>
  </property>
  <property fmtid="{D5CDD505-2E9C-101B-9397-08002B2CF9AE}" pid="48" name="NOSE31">
    <vt:lpwstr>על יסוד ראיות נסיבתיות</vt:lpwstr>
  </property>
  <property fmtid="{D5CDD505-2E9C-101B-9397-08002B2CF9AE}" pid="49" name="NOSE310">
    <vt:lpwstr/>
  </property>
  <property fmtid="{D5CDD505-2E9C-101B-9397-08002B2CF9AE}" pid="50" name="NOSE32">
    <vt:lpwstr>ראיה שהושגה באמצעים פסולים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3637;10510</vt:lpwstr>
  </property>
  <property fmtid="{D5CDD505-2E9C-101B-9397-08002B2CF9AE}" pid="59" name="PADIDATE">
    <vt:lpwstr>20220607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4946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410120220606</vt:lpwstr>
  </property>
  <property fmtid="{D5CDD505-2E9C-101B-9397-08002B2CF9AE}" pid="69" name="TYPE_N_DATE">
    <vt:lpwstr>41020220606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