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4959/19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נאות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פרי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21.5.2019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תפ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56527-09-16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2022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/>
        <w:tc>
          <w:tcPr>
            <w:tcW w:w="318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lawyers_a_title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קמר</w:t>
            </w:r>
            <w:r>
              <w:rPr>
                <w:rtl w:val="true"/>
              </w:rPr>
              <w:tab/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>
          <w:trHeight w:val="112" w:hRule="atLeast"/>
        </w:trPr>
        <w:tc>
          <w:tcPr>
            <w:tcW w:w="318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FirstLawyer"/>
            <w:bookmarkStart w:id="6" w:name="lawyers_b_title"/>
            <w:bookmarkEnd w:id="5"/>
            <w:bookmarkEnd w:id="6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חמודות</w:t>
            </w:r>
            <w:r>
              <w:rPr>
                <w:rtl w:val="true"/>
              </w:rPr>
              <w:tab/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285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86"/>
        <w:gridCol w:w="5099"/>
      </w:tblGrid>
      <w:tr>
        <w:trPr>
          <w:trHeight w:val="112" w:hRule="atLeast"/>
        </w:trPr>
        <w:tc>
          <w:tcPr>
            <w:tcW w:w="3186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נפגעת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העבירה</w:t>
            </w:r>
            <w:r>
              <w:rPr>
                <w:rtl w:val="true"/>
              </w:rPr>
              <w:t>:</w:t>
            </w:r>
          </w:p>
        </w:tc>
        <w:tc>
          <w:tcPr>
            <w:tcW w:w="509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פיסו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הקל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שמדובר בעונש שהוסכם בהסדר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בהינתן נסיבה חדשה מכרעת שהתעוררה לאחר מתן גזר דינו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והיא הפער </w:t>
      </w:r>
      <w:r>
        <w:rPr>
          <w:rFonts w:ascii="Times New Roman" w:hAnsi="Times New Roman" w:cs="Times New Roman"/>
          <w:spacing w:val="0"/>
          <w:szCs w:val="26"/>
          <w:rtl w:val="true"/>
        </w:rPr>
        <w:t>החריג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בין העונש שהושת על המערער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לבין העונש שהושת על שותפיו המסייעים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האחד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על השני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הפוגע בעיקרון אחידות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המצדיק הקלה מסוימת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המאסר בפועל הועמד על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הסדר טיעון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ערעור – התערבות במידת העונש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אחדות הענישה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לפיו הוטל על המערער העונש שהוסכם עליו בהסדר הטיעון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במסגרת הסדר טיעון בביצוע עבירות של 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חבלה חמורה בנסיבות מחמירות ועבירות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בהתייחס לאירוע במהלכו ירה לכיוון קבוצת אנשים עמם היה מסוכסך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וגרם למותו של 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ולחבלה חמורה לקטין שעמד בסמוך ונפגע מהירי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ההסדר כלל הסכמה על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ובכלל זה הוסכם על עונש של </w:t>
      </w:r>
      <w:r>
        <w:rPr>
          <w:rFonts w:cs="Times New Roman" w:ascii="Times New Roman" w:hAnsi="Times New Roman"/>
          <w:spacing w:val="0"/>
          <w:szCs w:val="26"/>
        </w:rPr>
        <w:t>25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גזר את דינו בהתאם להסדר הטיעון ונקבע כי הוא משקף איזון ראוי בין השיקולים השונים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לצד עונש המאסר בפועל הושת על המערער פיצוי מקסימלי בסך </w:t>
      </w:r>
      <w:r>
        <w:rPr>
          <w:rFonts w:cs="Times New Roman" w:ascii="Times New Roman" w:hAnsi="Times New Roman"/>
          <w:spacing w:val="0"/>
          <w:szCs w:val="26"/>
        </w:rPr>
        <w:t>258,000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 למשפחת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שותפיו של המערער 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הורשעו גם הם במסגרת הסדר טיעון בעבירות של סיוע להריגה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 לחבלה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 לחבלה חמורה בנסיבות מחמירות וסיוע לעבירות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הסדר הטיעון בעניינם לא כלל הסכמה באשר לעונש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ימים לאחר גזה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בענייננו של המערער ניתן גזר הדין בעניינם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נאשם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 עונש של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לצד עונשים נלווים ועל נאשם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הושת עונש של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 לצד 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בהסכמת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גרוסקופף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העונש שהוטל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שהיה פועל יוצא של הסדר הטיעון והיה נכון בשעתו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פוגע בעיקרון אחידות הענישה באופן המצדיק התערבות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עיקרון אחידות הענישה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הנגזר מעיקרון שוויון הנאשמים לפני החוק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מנחה את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לשמור על הלימה בין עונשיהם של נאשמים בעלי נסיבות אישיות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ביצעו עבירות דומות באופיין ובנסיבותיהן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עיקרון זה מקבל משנה תוקף במקרים בהם מדובר בנאשמים שהורשעו בגדרה של אותה 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לקחת בחשבון בעת שקילת אחידות הענישה במקרה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שותפיו של המערער הורשעו בעבירות 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עונשו של המסייע צריך שיהיה קל מזה של המבצע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כ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 אחידות הענישה אינו עומד לבדו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מדובר בשיקול אחד מבין מכלול השיקולים הרלוונטיים לגזירת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אותם שיקולים נדרש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לקחת בחשבון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את נסיבותיו האישיות של כל שותף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והגם שבענייננו יש מקום לפער מסוים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ואף משמעותי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בין עונשו של המערער לבין העונש שהושת על שותפיו המסייעים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נראה כי בתמונה הכללית מדובר בפער חריג המצדיק הקלה בעונשו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לאחר צפיה בסרטונים המתעדים את האירוע מושא 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מצא להעיר כי על אף ששותפיו של המערער הורשעו בסיוע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הם היו במעגל הפנימי של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יש גם רגליים לסברה שאלמלא הסדר הטיעון שנעשה עמם מעשיהם היו מסווגים כמבצעים בצוותא יחד עם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שפורט בכתב האישום המקורי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אף מטעם זה מדובר בפער חריג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 לכחד כי נסיבותיהם של כל הנאשמים אינן זהות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אך לא ניתן לומר כי נסיבותיהם האישיות של נאשמים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מטות את הכף לטובת פער כה משמעותי בעונש שיושת עליהם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לקחת בחשבון שמדובר בעונש שהוסכם בהסדר טיעון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אין באמור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להכריע את הכף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בהינתן נסיבה חדשה מכרעת שהתעוררה לאחר מתן גזר דינו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והיא הפער </w:t>
      </w:r>
      <w:r>
        <w:rPr>
          <w:rFonts w:ascii="Times New Roman" w:hAnsi="Times New Roman" w:cs="Times New Roman"/>
          <w:spacing w:val="0"/>
          <w:szCs w:val="26"/>
          <w:rtl w:val="true"/>
        </w:rPr>
        <w:t>החריג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בין העונש שהושת עליו לבין העונש שהושת על שותפיו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המצדיק הקלה מסוימת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מדגיש כי העונש שהשית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על המערער היה הולם בשעתו ואלמלא הועמד עונשם של שותפיו כאמור על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לא היה מוצא לנכון להתערב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הוחלט להקל בעונשו של המערער ולהעמידו על מאסר בפועל בן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הפיצוי שהושת על המערער יישאר על כנו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b/>
          <w:bCs/>
          <w:i/>
          <w:i/>
          <w:iCs/>
          <w:spacing w:val="0"/>
          <w:sz w:val="26"/>
          <w:szCs w:val="26"/>
        </w:rPr>
      </w:pPr>
      <w:r>
        <w:rPr>
          <w:rFonts w:cs="Times New Roman"/>
          <w:b/>
          <w:bCs/>
          <w:i/>
          <w:iCs/>
          <w:spacing w:val="0"/>
          <w:sz w:val="26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הורשע במסגרת הסדר טיעון בביצוע עבירות של הריגה</w:t>
      </w:r>
      <w:r>
        <w:rPr>
          <w:rtl w:val="true"/>
        </w:rPr>
        <w:t xml:space="preserve">, </w:t>
      </w:r>
      <w:r>
        <w:rPr>
          <w:rtl w:val="true"/>
        </w:rPr>
        <w:t>חבלה בכוונה מחמירה</w:t>
      </w:r>
      <w:r>
        <w:rPr>
          <w:rtl w:val="true"/>
        </w:rPr>
        <w:t xml:space="preserve">, </w:t>
      </w:r>
      <w:r>
        <w:rPr>
          <w:rtl w:val="true"/>
        </w:rPr>
        <w:t>חבלה חמורה בנסיבות מחמירות ועבירות בנשק</w:t>
      </w:r>
      <w:r>
        <w:rPr>
          <w:rtl w:val="true"/>
        </w:rPr>
        <w:t xml:space="preserve">. </w:t>
      </w:r>
      <w:r>
        <w:rPr>
          <w:rtl w:val="true"/>
        </w:rPr>
        <w:t>זאת בהתייחס לאירוע במהלכו ירה לכיוון קבוצת אנשים עמם היה מסוכסך</w:t>
      </w:r>
      <w:r>
        <w:rPr>
          <w:rtl w:val="true"/>
        </w:rPr>
        <w:t xml:space="preserve">, </w:t>
      </w:r>
      <w:r>
        <w:rPr>
          <w:rtl w:val="true"/>
        </w:rPr>
        <w:t>וגרם למותו של אמיר חילף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ולחבלה חמורה לקטין שעמד בסמוך למקום ונפגע מהירי</w:t>
      </w:r>
      <w:r>
        <w:rPr>
          <w:rtl w:val="true"/>
        </w:rPr>
        <w:t xml:space="preserve">. </w:t>
      </w:r>
      <w:r>
        <w:rPr>
          <w:rtl w:val="true"/>
        </w:rPr>
        <w:t>ההסדר כלל הסכמה על העונש</w:t>
      </w:r>
      <w:r>
        <w:rPr>
          <w:rtl w:val="true"/>
        </w:rPr>
        <w:t xml:space="preserve">, </w:t>
      </w:r>
      <w:r>
        <w:rPr>
          <w:rtl w:val="true"/>
        </w:rPr>
        <w:t xml:space="preserve">ובכלל זה הוסכם כי יושת על המערער עונש של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21.5.2019</w:t>
      </w:r>
      <w:r>
        <w:rPr>
          <w:rtl w:val="true"/>
        </w:rPr>
        <w:t xml:space="preserve"> </w:t>
      </w:r>
      <w:r>
        <w:rPr>
          <w:rtl w:val="true"/>
        </w:rPr>
        <w:t>נגזר דינו בהתאם להסדר הטיעון ונקבע כי הוא משקף איזון ראוי בין השיקולים השונים</w:t>
      </w:r>
      <w:r>
        <w:rPr>
          <w:rtl w:val="true"/>
        </w:rPr>
        <w:t xml:space="preserve">. </w:t>
      </w:r>
      <w:r>
        <w:rPr>
          <w:rtl w:val="true"/>
        </w:rPr>
        <w:t xml:space="preserve">לצד עונש המאסר בפועל הושת על המערער פיצוי מקסימלי בסך של </w:t>
      </w:r>
      <w:r>
        <w:rPr/>
        <w:t>258,000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למשפחת המנוח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שני שותפיו של המערער למעשים </w:t>
      </w:r>
      <w:r>
        <w:rPr>
          <w:rtl w:val="true"/>
        </w:rPr>
        <w:t>(</w:t>
      </w: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), </w:t>
      </w:r>
      <w:r>
        <w:rPr>
          <w:rtl w:val="true"/>
        </w:rPr>
        <w:t>הורשעו גם הם במסגרת הסדר טיעון בעבירות של סיוע להריגה</w:t>
      </w:r>
      <w:r>
        <w:rPr>
          <w:rtl w:val="true"/>
        </w:rPr>
        <w:t xml:space="preserve">, </w:t>
      </w:r>
      <w:r>
        <w:rPr>
          <w:rtl w:val="true"/>
        </w:rPr>
        <w:t>סיוע לחבלה בכוונה מחמירה</w:t>
      </w:r>
      <w:r>
        <w:rPr>
          <w:rtl w:val="true"/>
        </w:rPr>
        <w:t xml:space="preserve">, </w:t>
      </w:r>
      <w:r>
        <w:rPr>
          <w:rtl w:val="true"/>
        </w:rPr>
        <w:t>סיוע לחבלה חמורה בנסיבות מחמירות וסיוע לעבירות בנשק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הסדר הטיעון בעניינם לא כלל הסכמה באשר לעונש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29.5.2019</w:t>
      </w:r>
      <w:r>
        <w:rPr>
          <w:rtl w:val="true"/>
        </w:rPr>
        <w:t xml:space="preserve"> </w:t>
      </w:r>
      <w:r>
        <w:rPr>
          <w:rtl w:val="true"/>
        </w:rPr>
        <w:t>ניתן גזר הדין בעניינם</w:t>
      </w:r>
      <w:r>
        <w:rPr>
          <w:rtl w:val="true"/>
        </w:rPr>
        <w:t xml:space="preserve">. </w:t>
      </w:r>
      <w:r>
        <w:rPr>
          <w:rtl w:val="true"/>
        </w:rPr>
        <w:t xml:space="preserve">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הושת עונש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לצד עונשים נלווים ועל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הושת עונש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 בפועל לצד עונשים נלווים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 אלה עומדות ברקע לערעור שלפנינו אשר התייחס בתחילה גם להכרעת הדין אך לאחר מעשה הצטמצם רק לגזר הדין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לאחר שעיינו בטיעוני הצדדים </w:t>
      </w:r>
      <w:r>
        <w:rPr>
          <w:rtl w:val="true"/>
        </w:rPr>
        <w:t>–</w:t>
      </w:r>
      <w:r>
        <w:rPr>
          <w:rtl w:val="true"/>
        </w:rPr>
        <w:t xml:space="preserve"> המקוריים והמשלימים </w:t>
      </w:r>
      <w:r>
        <w:rPr>
          <w:rtl w:val="true"/>
        </w:rPr>
        <w:t>–</w:t>
      </w:r>
      <w:r>
        <w:rPr>
          <w:rtl w:val="true"/>
        </w:rPr>
        <w:t xml:space="preserve"> ושמענו את טענותיהם בעל פה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העונש שהוטל על המערער</w:t>
      </w:r>
      <w:r>
        <w:rPr>
          <w:rtl w:val="true"/>
        </w:rPr>
        <w:t xml:space="preserve">, </w:t>
      </w:r>
      <w:r>
        <w:rPr>
          <w:rtl w:val="true"/>
        </w:rPr>
        <w:t>על אף שהיה פועל יוצא של הסדר הטיעון והיה נכון בשעתו</w:t>
      </w:r>
      <w:r>
        <w:rPr>
          <w:rtl w:val="true"/>
        </w:rPr>
        <w:t xml:space="preserve">, </w:t>
      </w:r>
      <w:r>
        <w:rPr>
          <w:rtl w:val="true"/>
        </w:rPr>
        <w:t>פוגע בעיקרון אחידות הענישה באופן המצדיק התערבות בית משפט זה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עיקרון אחידות הענישה</w:t>
      </w:r>
      <w:r>
        <w:rPr>
          <w:rtl w:val="true"/>
        </w:rPr>
        <w:t xml:space="preserve">, </w:t>
      </w:r>
      <w:r>
        <w:rPr>
          <w:rtl w:val="true"/>
        </w:rPr>
        <w:t>הנגזר מעיקרון שוויון הנאשמים לפני החוק</w:t>
      </w:r>
      <w:r>
        <w:rPr>
          <w:rtl w:val="true"/>
        </w:rPr>
        <w:t xml:space="preserve">, </w:t>
      </w:r>
      <w:r>
        <w:rPr>
          <w:rtl w:val="true"/>
        </w:rPr>
        <w:t>מנחה את בית המשפט לשמור על הלימה בין עונשיהם של נאשמים בעלי נסיבות אישיות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אשר ביצעו עבירות דומות באופיין ובנסיבותיהן </w:t>
      </w:r>
      <w:r>
        <w:rPr>
          <w:rtl w:val="true"/>
        </w:rPr>
        <w:t>(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9792/06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1.4.2007</w:t>
      </w:r>
      <w:r>
        <w:rPr>
          <w:rtl w:val="true"/>
        </w:rPr>
        <w:t xml:space="preserve">); 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9919/17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זועבי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9.7.2019</w:t>
      </w:r>
      <w:r>
        <w:rPr>
          <w:rtl w:val="true"/>
        </w:rPr>
        <w:t xml:space="preserve">); 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ניניו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29.8.2021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ניניו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(</w:t>
      </w:r>
      <w:r>
        <w:rPr/>
        <w:t>19.12.2021</w:t>
      </w:r>
      <w:r>
        <w:rPr>
          <w:rtl w:val="true"/>
        </w:rPr>
        <w:t xml:space="preserve">)). </w:t>
      </w:r>
      <w:r>
        <w:rPr>
          <w:rtl w:val="true"/>
        </w:rPr>
        <w:t xml:space="preserve">עיקרון זה מקבל משנה תוקף במקרים בהם מדובר בנאשמים שהורשעו בגדרה של אותה פרשה </w:t>
      </w:r>
      <w:r>
        <w:rPr>
          <w:rtl w:val="true"/>
        </w:rPr>
        <w:t>(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16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22.7.2019</w:t>
      </w:r>
      <w:r>
        <w:rPr>
          <w:rtl w:val="true"/>
        </w:rPr>
        <w:t xml:space="preserve">);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5590/16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17.1.2018</w:t>
      </w:r>
      <w:r>
        <w:rPr>
          <w:rtl w:val="true"/>
        </w:rPr>
        <w:t xml:space="preserve">);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23.9.2014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יש לקחת בחשבון בעת שקילת אחידות הענישה במקרה זה</w:t>
      </w:r>
      <w:r>
        <w:rPr>
          <w:rtl w:val="true"/>
        </w:rPr>
        <w:t xml:space="preserve">, </w:t>
      </w:r>
      <w:r>
        <w:rPr>
          <w:rtl w:val="true"/>
        </w:rPr>
        <w:t>כי שותפיו של המערער הורשעו בעבירות סיוע</w:t>
      </w:r>
      <w:r>
        <w:rPr>
          <w:rtl w:val="true"/>
        </w:rPr>
        <w:t xml:space="preserve">, </w:t>
      </w:r>
      <w:r>
        <w:rPr>
          <w:rtl w:val="true"/>
        </w:rPr>
        <w:t xml:space="preserve">כאשר עונשו של המסייע צריך שיהיה קל מזה של המבצע העיקרי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שיקול אחידות הענישה אינו עומד לבדו</w:t>
      </w:r>
      <w:r>
        <w:rPr>
          <w:rtl w:val="true"/>
        </w:rPr>
        <w:t xml:space="preserve">, </w:t>
      </w:r>
      <w:r>
        <w:rPr>
          <w:rtl w:val="true"/>
        </w:rPr>
        <w:t xml:space="preserve">אלא מדובר בשיקול אחד מבין מכלול השיקולים הרלוונטיים לגזירת העונש </w:t>
      </w:r>
      <w:r>
        <w:rPr>
          <w:rtl w:val="true"/>
        </w:rPr>
        <w:t>(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10.3.2016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12.12.2017</w:t>
      </w:r>
      <w:r>
        <w:rPr>
          <w:rtl w:val="true"/>
        </w:rPr>
        <w:t xml:space="preserve">)). </w:t>
      </w:r>
      <w:r>
        <w:rPr>
          <w:rtl w:val="true"/>
        </w:rPr>
        <w:t>בין אותם שיקולים נדרש בית המשפט לקחת בחשבון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גם את נסיבותיו האישיות של כל שותף העשויות להשפיע על העונש שיושת עליו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מצלאח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22.1.2020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9937/01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חורב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נח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738</w:t>
      </w:r>
      <w:r>
        <w:rPr>
          <w:rtl w:val="true"/>
        </w:rPr>
        <w:t xml:space="preserve">, </w:t>
      </w:r>
      <w:r>
        <w:rPr/>
        <w:t>752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והגם שבענייננו יש מקום לפער מסוים </w:t>
      </w:r>
      <w:r>
        <w:rPr>
          <w:rtl w:val="true"/>
        </w:rPr>
        <w:t>–</w:t>
      </w:r>
      <w:r>
        <w:rPr>
          <w:rtl w:val="true"/>
        </w:rPr>
        <w:t xml:space="preserve"> ואף משמעותי </w:t>
      </w:r>
      <w:r>
        <w:rPr>
          <w:rtl w:val="true"/>
        </w:rPr>
        <w:t>–</w:t>
      </w:r>
      <w:r>
        <w:rPr>
          <w:rtl w:val="true"/>
        </w:rPr>
        <w:t xml:space="preserve"> בין עונשו של המערער לבין העונש שהושת על שותפיו המסייעים</w:t>
      </w:r>
      <w:r>
        <w:rPr>
          <w:rtl w:val="true"/>
        </w:rPr>
        <w:t xml:space="preserve">, </w:t>
      </w:r>
      <w:r>
        <w:rPr>
          <w:rtl w:val="true"/>
        </w:rPr>
        <w:t>נראה כי בתמונה הכללית מדובר בפער חריג המצדיק הקלה בעונשו של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למותר לציין כי על פני הדברים</w:t>
      </w:r>
      <w:r>
        <w:rPr>
          <w:rtl w:val="true"/>
        </w:rPr>
        <w:t xml:space="preserve">, </w:t>
      </w:r>
      <w:r>
        <w:rPr>
          <w:rtl w:val="true"/>
        </w:rPr>
        <w:t>ניתן לומר</w:t>
      </w:r>
      <w:r>
        <w:rPr>
          <w:rtl w:val="true"/>
        </w:rPr>
        <w:t xml:space="preserve">, </w:t>
      </w:r>
      <w:r>
        <w:rPr>
          <w:rtl w:val="true"/>
        </w:rPr>
        <w:t>וזאת גם לאחר שצפינו בסרטונים המתעדים את האירוע מושא כתב האישום</w:t>
      </w:r>
      <w:r>
        <w:rPr>
          <w:rtl w:val="true"/>
        </w:rPr>
        <w:t xml:space="preserve">, </w:t>
      </w:r>
      <w:r>
        <w:rPr>
          <w:rtl w:val="true"/>
        </w:rPr>
        <w:t>כי על אף ששותפיו של המערער הורשעו בסיוע</w:t>
      </w:r>
      <w:r>
        <w:rPr>
          <w:rtl w:val="true"/>
        </w:rPr>
        <w:t xml:space="preserve">, </w:t>
      </w:r>
      <w:r>
        <w:rPr>
          <w:rtl w:val="true"/>
        </w:rPr>
        <w:t>הם היו במעגל הפנימי של העבירות</w:t>
      </w:r>
      <w:r>
        <w:rPr>
          <w:rtl w:val="true"/>
        </w:rPr>
        <w:t xml:space="preserve">. </w:t>
      </w:r>
      <w:r>
        <w:rPr>
          <w:rtl w:val="true"/>
        </w:rPr>
        <w:t>יש גם רגליים לסברה שאלמלא הסדר הטיעון שנעשה עמם מעשיהם היו מסווגים כמבצעים בצוותא יחד עם המערער</w:t>
      </w:r>
      <w:r>
        <w:rPr>
          <w:rtl w:val="true"/>
        </w:rPr>
        <w:t xml:space="preserve">, </w:t>
      </w:r>
      <w:r>
        <w:rPr>
          <w:rtl w:val="true"/>
        </w:rPr>
        <w:t>כפי שפורט בכתב האישום המקורי</w:t>
      </w:r>
      <w:r>
        <w:rPr>
          <w:rtl w:val="true"/>
        </w:rPr>
        <w:t xml:space="preserve">. </w:t>
      </w:r>
      <w:r>
        <w:rPr>
          <w:rtl w:val="true"/>
        </w:rPr>
        <w:t>אף מטעם זה מדובר בפער חריג בענישה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 לכחד כי נסיבותיהם של כל הנאשמים אינן זהות</w:t>
      </w:r>
      <w:r>
        <w:rPr>
          <w:rtl w:val="true"/>
        </w:rPr>
        <w:t xml:space="preserve">, </w:t>
      </w:r>
      <w:r>
        <w:rPr>
          <w:rtl w:val="true"/>
        </w:rPr>
        <w:t xml:space="preserve">אך לא ניתן לומר כי נסיבותיהם האישיות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מטות את הכף לטובת פער כה משמעותי בעונש שיושת עליהם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אמנם היה קטין בעת ביצוע המעשים וכמעט נעדר עבר פלילי</w:t>
      </w:r>
      <w:r>
        <w:rPr>
          <w:rtl w:val="true"/>
        </w:rPr>
        <w:t xml:space="preserve">, </w:t>
      </w:r>
      <w:r>
        <w:rPr>
          <w:rtl w:val="true"/>
        </w:rPr>
        <w:t>אך שירות המבחן העריך כי קיים בעניינו סיכון גבוה להישנות עבירות דומות בעתיד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 לנסיבות משפחתיות מורכבות אך הוא בעל עבר פלילי הכולל שתי הרשעות בעבירות אלימות וגם בעניינו הוערכה על ידי שירות המבחן רמת סיכון גבוהה לביצוע עבירות דומות בעתיד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המערער נעדר עבר פלילי ושירות המבחן התקשה להעריך את רמת הסיכון בעניינו להישנות העבירות</w:t>
      </w:r>
      <w:r>
        <w:rPr>
          <w:rtl w:val="true"/>
        </w:rPr>
        <w:t xml:space="preserve">. </w:t>
      </w:r>
      <w:r>
        <w:rPr>
          <w:rtl w:val="true"/>
        </w:rPr>
        <w:t xml:space="preserve">לא למותר לציין כי המשיבה עצמה בטיעוניה לעונש טענה בעניינם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למתחם ענישה הנע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גם לשיטתה קיים פער משמעותי ביותר בין העונש שהושת על המערער לבין העונש הראוי שהיא סברה שיש להשית על שותפיו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 לקחת בחשבון שמדובר בעונש שהוסכם בהסדר טיעון</w:t>
      </w:r>
      <w:r>
        <w:rPr>
          <w:rtl w:val="true"/>
        </w:rPr>
        <w:t xml:space="preserve">, </w:t>
      </w:r>
      <w:r>
        <w:rPr>
          <w:rtl w:val="true"/>
        </w:rPr>
        <w:t>אך אין באמור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 xml:space="preserve">כדי להכריע את הכף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1421/10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21-20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18.7.2012</w:t>
      </w:r>
      <w:r>
        <w:rPr>
          <w:rtl w:val="true"/>
        </w:rPr>
        <w:t xml:space="preserve">)). </w:t>
      </w:r>
      <w:r>
        <w:rPr>
          <w:rtl w:val="true"/>
        </w:rPr>
        <w:t>זאת בהינתן נסיבה חדשה מכרעת שהתעוררה לאחר מתן גזר דינו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והיא הפער </w:t>
      </w:r>
      <w:r>
        <w:rPr>
          <w:rtl w:val="true"/>
        </w:rPr>
        <w:t>החריג</w:t>
      </w:r>
      <w:r>
        <w:rPr>
          <w:rtl w:val="true"/>
        </w:rPr>
        <w:t xml:space="preserve"> בין העונש שהושת עליו לבין העונש שהושת על שותפיו</w:t>
      </w:r>
      <w:r>
        <w:rPr>
          <w:rtl w:val="true"/>
        </w:rPr>
        <w:t xml:space="preserve">, </w:t>
      </w:r>
      <w:r>
        <w:rPr>
          <w:rtl w:val="true"/>
        </w:rPr>
        <w:t xml:space="preserve">המצדיק הקלה מסוימת בעונשו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7907/14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ואזנה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22.2.2015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8345/15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19.9.2017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3745/17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אלבז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85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10.3.2019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ניניו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3526/20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זגורי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28.1.2021</w:t>
      </w:r>
      <w:r>
        <w:rPr>
          <w:rtl w:val="true"/>
        </w:rPr>
        <w:t xml:space="preserve">)). </w:t>
      </w:r>
      <w:r>
        <w:rPr>
          <w:rtl w:val="true"/>
        </w:rPr>
        <w:t>יובהר כי כל האמור הוא מבלי להתעלם מכאבה של משפחת המנוח</w:t>
      </w:r>
      <w:r>
        <w:rPr>
          <w:rtl w:val="true"/>
        </w:rPr>
        <w:t xml:space="preserve">, </w:t>
      </w:r>
      <w:r>
        <w:rPr>
          <w:rtl w:val="true"/>
        </w:rPr>
        <w:t xml:space="preserve">וכי העונש שהשית בית המשפט המחוזי על המערער היה הולם בשעתו ואלמלא הועמד עונשם של שותפיו כאמור על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לא היינו מוצאים לנכון להתערב בו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 xml:space="preserve">מצאנו להקל בעונשו של המערער ולהעמידו על מאסר בפועל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הפיצוי שהושת על המערער יישאר על כנו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12.6.2022</w:t>
      </w:r>
      <w:r>
        <w:rPr>
          <w:rtl w:val="true"/>
        </w:rPr>
        <w:t xml:space="preserve">). </w:t>
      </w:r>
      <w:bookmarkEnd w:id="16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19049590</w:t>
      </w:r>
      <w:r>
        <w:rPr>
          <w:sz w:val="16"/>
          <w:rtl w:val="true"/>
        </w:rPr>
        <w:t>_</w:t>
      </w:r>
      <w:r>
        <w:rPr>
          <w:sz w:val="16"/>
        </w:rPr>
        <w:t>N24.docx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54678313-4959/19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4959/19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48838" TargetMode="External"/><Relationship Id="rId3" Type="http://schemas.openxmlformats.org/officeDocument/2006/relationships/hyperlink" Target="http://www.nevo.co.il/case/6159820" TargetMode="External"/><Relationship Id="rId4" Type="http://schemas.openxmlformats.org/officeDocument/2006/relationships/hyperlink" Target="http://www.nevo.co.il/case/23535856" TargetMode="External"/><Relationship Id="rId5" Type="http://schemas.openxmlformats.org/officeDocument/2006/relationships/hyperlink" Target="http://www.nevo.co.il/case/27330878" TargetMode="External"/><Relationship Id="rId6" Type="http://schemas.openxmlformats.org/officeDocument/2006/relationships/hyperlink" Target="http://www.nevo.co.il/case/27508057" TargetMode="External"/><Relationship Id="rId7" Type="http://schemas.openxmlformats.org/officeDocument/2006/relationships/hyperlink" Target="http://www.nevo.co.il/case/24263410" TargetMode="External"/><Relationship Id="rId8" Type="http://schemas.openxmlformats.org/officeDocument/2006/relationships/hyperlink" Target="http://www.nevo.co.il/case/21476340" TargetMode="External"/><Relationship Id="rId9" Type="http://schemas.openxmlformats.org/officeDocument/2006/relationships/hyperlink" Target="http://www.nevo.co.il/case/13104267" TargetMode="External"/><Relationship Id="rId10" Type="http://schemas.openxmlformats.org/officeDocument/2006/relationships/hyperlink" Target="http://www.nevo.co.il/case/20455789" TargetMode="External"/><Relationship Id="rId11" Type="http://schemas.openxmlformats.org/officeDocument/2006/relationships/hyperlink" Target="http://www.nevo.co.il/case/21946424" TargetMode="External"/><Relationship Id="rId12" Type="http://schemas.openxmlformats.org/officeDocument/2006/relationships/hyperlink" Target="http://www.nevo.co.il/case/25029385" TargetMode="External"/><Relationship Id="rId13" Type="http://schemas.openxmlformats.org/officeDocument/2006/relationships/hyperlink" Target="http://www.nevo.co.il/case/5701742" TargetMode="External"/><Relationship Id="rId14" Type="http://schemas.openxmlformats.org/officeDocument/2006/relationships/hyperlink" Target="http://www.nevo.co.il/case/6243572" TargetMode="External"/><Relationship Id="rId15" Type="http://schemas.openxmlformats.org/officeDocument/2006/relationships/hyperlink" Target="http://www.nevo.co.il/case/18654248" TargetMode="External"/><Relationship Id="rId16" Type="http://schemas.openxmlformats.org/officeDocument/2006/relationships/hyperlink" Target="http://www.nevo.co.il/case/20787917" TargetMode="External"/><Relationship Id="rId17" Type="http://schemas.openxmlformats.org/officeDocument/2006/relationships/hyperlink" Target="http://www.nevo.co.il/case/22636330" TargetMode="External"/><Relationship Id="rId18" Type="http://schemas.openxmlformats.org/officeDocument/2006/relationships/hyperlink" Target="http://www.nevo.co.il/case/26724458" TargetMode="External"/><Relationship Id="rId19" Type="http://schemas.openxmlformats.org/officeDocument/2006/relationships/hyperlink" Target="https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2022-06-15T11:42:00Z</dcterms:created>
  <dc:creator>h4</dc:creator>
  <dc:description/>
  <cp:keywords/>
  <dc:language>en-IL</dc:language>
  <cp:lastModifiedBy>orly</cp:lastModifiedBy>
  <cp:lastPrinted>2022-06-12T11:48:00Z</cp:lastPrinted>
  <dcterms:modified xsi:type="dcterms:W3CDTF">2022-06-15T11:42:00Z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CASENOTES1">
    <vt:lpwstr>ProcID=44;209&amp;PartA=526423&amp;PartB=12&amp;PartC=17</vt:lpwstr>
  </property>
  <property fmtid="{D5CDD505-2E9C-101B-9397-08002B2CF9AE}" pid="5" name="CASESLISTTMP1">
    <vt:lpwstr>21648838;23535856;27330878;27508057;24263410;21476340;13104267;20455789;21946424;25029385;5701742;6243572;18654248;20787917;22636330;26724458</vt:lpwstr>
  </property>
  <property fmtid="{D5CDD505-2E9C-101B-9397-08002B2CF9AE}" pid="6" name="DATE">
    <vt:lpwstr>20220612</vt:lpwstr>
  </property>
  <property fmtid="{D5CDD505-2E9C-101B-9397-08002B2CF9AE}" pid="7" name="ISABSTRACT">
    <vt:lpwstr>Y</vt:lpwstr>
  </property>
  <property fmtid="{D5CDD505-2E9C-101B-9397-08002B2CF9AE}" pid="8" name="JUDGE">
    <vt:lpwstr>ד' מינץ;ע' גרוסקופף;א' שטיין</vt:lpwstr>
  </property>
  <property fmtid="{D5CDD505-2E9C-101B-9397-08002B2CF9AE}" pid="9" name="LAWYER">
    <vt:lpwstr>יאיר חמודות;יעקב קמר;נפגעת העבירה אסי פיסו</vt:lpwstr>
  </property>
  <property fmtid="{D5CDD505-2E9C-101B-9397-08002B2CF9AE}" pid="10" name="METAKZER">
    <vt:lpwstr>נעה</vt:lpwstr>
  </property>
  <property fmtid="{D5CDD505-2E9C-101B-9397-08002B2CF9AE}" pid="11" name="NOSE11">
    <vt:lpwstr>עונשין</vt:lpwstr>
  </property>
  <property fmtid="{D5CDD505-2E9C-101B-9397-08002B2CF9AE}" pid="12" name="NOSE110">
    <vt:lpwstr/>
  </property>
  <property fmtid="{D5CDD505-2E9C-101B-9397-08002B2CF9AE}" pid="13" name="NOSE12">
    <vt:lpwstr>עונשין</vt:lpwstr>
  </property>
  <property fmtid="{D5CDD505-2E9C-101B-9397-08002B2CF9AE}" pid="14" name="NOSE13">
    <vt:lpwstr>דיון פלילי</vt:lpwstr>
  </property>
  <property fmtid="{D5CDD505-2E9C-101B-9397-08002B2CF9AE}" pid="15" name="NOSE14">
    <vt:lpwstr>עונשין</vt:lpwstr>
  </property>
  <property fmtid="{D5CDD505-2E9C-101B-9397-08002B2CF9AE}" pid="16" name="NOSE15">
    <vt:lpwstr/>
  </property>
  <property fmtid="{D5CDD505-2E9C-101B-9397-08002B2CF9AE}" pid="17" name="NOSE16">
    <vt:lpwstr/>
  </property>
  <property fmtid="{D5CDD505-2E9C-101B-9397-08002B2CF9AE}" pid="18" name="NOSE17">
    <vt:lpwstr/>
  </property>
  <property fmtid="{D5CDD505-2E9C-101B-9397-08002B2CF9AE}" pid="19" name="NOSE18">
    <vt:lpwstr/>
  </property>
  <property fmtid="{D5CDD505-2E9C-101B-9397-08002B2CF9AE}" pid="20" name="NOSE19">
    <vt:lpwstr/>
  </property>
  <property fmtid="{D5CDD505-2E9C-101B-9397-08002B2CF9AE}" pid="21" name="NOSE1ID">
    <vt:lpwstr>77;77;18;77</vt:lpwstr>
  </property>
  <property fmtid="{D5CDD505-2E9C-101B-9397-08002B2CF9AE}" pid="22" name="NOSE21">
    <vt:lpwstr>ענישה</vt:lpwstr>
  </property>
  <property fmtid="{D5CDD505-2E9C-101B-9397-08002B2CF9AE}" pid="23" name="NOSE210">
    <vt:lpwstr/>
  </property>
  <property fmtid="{D5CDD505-2E9C-101B-9397-08002B2CF9AE}" pid="24" name="NOSE22">
    <vt:lpwstr>ענישה</vt:lpwstr>
  </property>
  <property fmtid="{D5CDD505-2E9C-101B-9397-08002B2CF9AE}" pid="25" name="NOSE23">
    <vt:lpwstr>ערעור</vt:lpwstr>
  </property>
  <property fmtid="{D5CDD505-2E9C-101B-9397-08002B2CF9AE}" pid="26" name="NOSE24">
    <vt:lpwstr>ענישה</vt:lpwstr>
  </property>
  <property fmtid="{D5CDD505-2E9C-101B-9397-08002B2CF9AE}" pid="27" name="NOSE25">
    <vt:lpwstr/>
  </property>
  <property fmtid="{D5CDD505-2E9C-101B-9397-08002B2CF9AE}" pid="28" name="NOSE26">
    <vt:lpwstr/>
  </property>
  <property fmtid="{D5CDD505-2E9C-101B-9397-08002B2CF9AE}" pid="29" name="NOSE27">
    <vt:lpwstr/>
  </property>
  <property fmtid="{D5CDD505-2E9C-101B-9397-08002B2CF9AE}" pid="30" name="NOSE28">
    <vt:lpwstr/>
  </property>
  <property fmtid="{D5CDD505-2E9C-101B-9397-08002B2CF9AE}" pid="31" name="NOSE29">
    <vt:lpwstr/>
  </property>
  <property fmtid="{D5CDD505-2E9C-101B-9397-08002B2CF9AE}" pid="32" name="NOSE2ID">
    <vt:lpwstr>1446;1446;504;1446</vt:lpwstr>
  </property>
  <property fmtid="{D5CDD505-2E9C-101B-9397-08002B2CF9AE}" pid="33" name="NOSE31">
    <vt:lpwstr>אחדות הענישה</vt:lpwstr>
  </property>
  <property fmtid="{D5CDD505-2E9C-101B-9397-08002B2CF9AE}" pid="34" name="NOSE310">
    <vt:lpwstr/>
  </property>
  <property fmtid="{D5CDD505-2E9C-101B-9397-08002B2CF9AE}" pid="35" name="NOSE32">
    <vt:lpwstr>הסדר טיעון</vt:lpwstr>
  </property>
  <property fmtid="{D5CDD505-2E9C-101B-9397-08002B2CF9AE}" pid="36" name="NOSE33">
    <vt:lpwstr>התערבות במידת העונש</vt:lpwstr>
  </property>
  <property fmtid="{D5CDD505-2E9C-101B-9397-08002B2CF9AE}" pid="37" name="NOSE34">
    <vt:lpwstr>מדיניות ענישה: אחדות הענישה</vt:lpwstr>
  </property>
  <property fmtid="{D5CDD505-2E9C-101B-9397-08002B2CF9AE}" pid="38" name="NOSE35">
    <vt:lpwstr/>
  </property>
  <property fmtid="{D5CDD505-2E9C-101B-9397-08002B2CF9AE}" pid="39" name="NOSE36">
    <vt:lpwstr/>
  </property>
  <property fmtid="{D5CDD505-2E9C-101B-9397-08002B2CF9AE}" pid="40" name="NOSE37">
    <vt:lpwstr/>
  </property>
  <property fmtid="{D5CDD505-2E9C-101B-9397-08002B2CF9AE}" pid="41" name="NOSE38">
    <vt:lpwstr/>
  </property>
  <property fmtid="{D5CDD505-2E9C-101B-9397-08002B2CF9AE}" pid="42" name="NOSE39">
    <vt:lpwstr/>
  </property>
  <property fmtid="{D5CDD505-2E9C-101B-9397-08002B2CF9AE}" pid="43" name="NOSE3ID">
    <vt:lpwstr>12547;15822;15230;13222</vt:lpwstr>
  </property>
  <property fmtid="{D5CDD505-2E9C-101B-9397-08002B2CF9AE}" pid="44" name="PADIDATE">
    <vt:lpwstr>20220615</vt:lpwstr>
  </property>
  <property fmtid="{D5CDD505-2E9C-101B-9397-08002B2CF9AE}" pid="45" name="PADIMAIL">
    <vt:lpwstr>YES</vt:lpwstr>
  </property>
  <property fmtid="{D5CDD505-2E9C-101B-9397-08002B2CF9AE}" pid="46" name="PROCESS">
    <vt:lpwstr>עפ</vt:lpwstr>
  </property>
  <property fmtid="{D5CDD505-2E9C-101B-9397-08002B2CF9AE}" pid="47" name="PROCNUM">
    <vt:lpwstr>4959</vt:lpwstr>
  </property>
  <property fmtid="{D5CDD505-2E9C-101B-9397-08002B2CF9AE}" pid="48" name="PROCYEAR">
    <vt:lpwstr>19</vt:lpwstr>
  </property>
  <property fmtid="{D5CDD505-2E9C-101B-9397-08002B2CF9AE}" pid="49" name="PSAKDIN">
    <vt:lpwstr>פסק-דין</vt:lpwstr>
  </property>
  <property fmtid="{D5CDD505-2E9C-101B-9397-08002B2CF9AE}" pid="50" name="TYPE">
    <vt:lpwstr>1</vt:lpwstr>
  </property>
  <property fmtid="{D5CDD505-2E9C-101B-9397-08002B2CF9AE}" pid="51" name="TYPE_ABS_DATE">
    <vt:lpwstr>410120220612</vt:lpwstr>
  </property>
  <property fmtid="{D5CDD505-2E9C-101B-9397-08002B2CF9AE}" pid="52" name="TYPE_N_DATE">
    <vt:lpwstr>41020220612</vt:lpwstr>
  </property>
  <property fmtid="{D5CDD505-2E9C-101B-9397-08002B2CF9AE}" pid="53" name="WORDNUMPAGES">
    <vt:lpwstr>5</vt:lpwstr>
  </property>
</Properties>
</file>