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498/21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767/21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498/21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יבגני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גולובקו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767/21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רוסלן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אלכסנדר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פטניוב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24139-09-17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10.01.2021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פינקלשטיין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27.07.2022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498/21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בונדר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שכטמן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קוגלר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767/21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וול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זוארץ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דנית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מייקלס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הרוסית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499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הבסיסית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בררנית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דחייה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מופחת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נפקותם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29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כנוסחו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137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שירוצה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בחופף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ילדי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258,000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כשר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חזיתות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הכחישו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מגלגלים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</w:t>
      </w:r>
      <w:r>
        <w:rPr>
          <w:rFonts w:cs="FrankRuehl"/>
          <w:sz w:val="24"/>
          <w:sz w:val="24"/>
          <w:szCs w:val="26"/>
          <w:rtl w:val="true"/>
        </w:rPr>
        <w:t>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ובמסקנותיו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הקושרת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 w:val="24"/>
          <w:szCs w:val="26"/>
          <w:rtl w:val="true"/>
        </w:rPr>
        <w:t>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ממהימנותו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דבריו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נתמכו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וחיצוניות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</w:t>
      </w:r>
      <w:r>
        <w:rPr>
          <w:rFonts w:cs="FrankRuehl"/>
          <w:sz w:val="24"/>
          <w:sz w:val="24"/>
          <w:szCs w:val="26"/>
          <w:rtl w:val="true"/>
        </w:rPr>
        <w:t>יצעו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מסבכות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וקושרות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 w:val="24"/>
          <w:szCs w:val="26"/>
          <w:rtl w:val="true"/>
        </w:rPr>
        <w:t>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ולהמיתו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ספונטני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תרגיל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דיבוב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ציון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הדיבוב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הוקלט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אמינותו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המלחמה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המאורגן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להיעזר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בתחבולות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לחשוף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תומכים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דיבוב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חוקתיים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דיבוב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והנחי</w:t>
      </w:r>
      <w:r>
        <w:rPr>
          <w:rFonts w:cs="FrankRuehl"/>
          <w:sz w:val="24"/>
          <w:sz w:val="24"/>
          <w:szCs w:val="26"/>
          <w:rtl w:val="true"/>
        </w:rPr>
        <w:t>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אקטיביות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דיבוב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 w:val="24"/>
          <w:szCs w:val="26"/>
          <w:rtl w:val="true"/>
        </w:rPr>
        <w:t>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פתח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המילוט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הבסיסית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פתח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המילוט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רלוונטי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פתח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המילוט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מעניקה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מוגבלת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הנטועה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ומתייחסת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FrankRuehl"/>
          <w:sz w:val="24"/>
          <w:szCs w:val="26"/>
          <w:rtl w:val="true"/>
        </w:rPr>
        <w:tab/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רוסלן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בררנית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הקדישה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משאבים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מידור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והסתרה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הקשו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העמדתם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הארגון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שולחיהם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מהעלאת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FrankRuehl"/>
          <w:sz w:val="24"/>
          <w:szCs w:val="26"/>
          <w:rtl w:val="true"/>
        </w:rPr>
        <w:t>;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שראשי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הצליחו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מפחיתה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הפשע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הארגון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נשמטת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בררנית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הארגון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נתפסת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וגודעים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מקוממת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נסבלת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cs="FrankRuehl"/>
          <w:spacing w:val="10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לוד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סג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פינקלשטיין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סג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ברודי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אמיר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24139-09-17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10.12.2020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10.1.2021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15">
        <w:r>
          <w:rPr>
            <w:rStyle w:val="Hyperlink"/>
            <w:rFonts w:cs="FrankRuehl" w:ascii="Century" w:hAnsi="Century"/>
            <w:spacing w:val="10"/>
            <w:szCs w:val="28"/>
          </w:rPr>
          <w:t>29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כנוסחו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cs="FrankRuehl"/>
          <w:spacing w:val="10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244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ילדי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258,000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עובדות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גולובקו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יבגני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פטניוב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רוסלן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התגוררו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נייס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פלייס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בניהולו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החזיקו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התוודעו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ולאמצעי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1.6.2017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החליטו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2.6.2017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הצימרים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בהיחבא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ארבו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באקדחים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מכוסות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משהבחינו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ברחבת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התקדמו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באקדחיהם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חדא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רוסלן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הקליעים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DVR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במשרדו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שחתכו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המכשיר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נמלטו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ששכחו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התקול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ונסעו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שהמתין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מנוסתם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השליכו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ושרפו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DVR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הבגדים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ששימשו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העבירו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נפתלי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סעיד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להעלימו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הכרעת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19">
        <w:r>
          <w:rPr>
            <w:rStyle w:val="Hyperlink"/>
            <w:rFonts w:cs="FrankRuehl" w:ascii="Century" w:hAnsi="Century"/>
            <w:spacing w:val="10"/>
            <w:szCs w:val="28"/>
          </w:rPr>
          <w:t>29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חוק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בנוסחו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ובשיבוש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244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יצויין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499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חופפת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ונבלעת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מתוכנן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בעניינם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תיקונו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5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לחפותם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המלאה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וקשרו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שהטיחו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במעורבות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לביא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סוגיות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מתוכנן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הוצאתו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שלאחריו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אובייקטיביות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וסייעו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נדבכיה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בהאזנות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ולאחריו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האבטחה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מחקרי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תקשורת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איתור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פורנזיים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המדינה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סעיד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במפורש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16.8.2017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בתמצית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נפסלו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24.8.2017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זוטא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ונפסלה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25.6.2017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28.6.2017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הזוטא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ההכרעה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פסלותן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וחוקיותו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אזהרה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ובפרקטיקה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מתוצרי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הדיבוב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קבילותם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בתרגילי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8.8.2017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ותוצריו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16.8.2017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שהוזכר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בהסכמה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26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הרגילים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מאמרותיו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הרגילים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התוודותו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התוודות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משותפת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קבילה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כבושות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סותרות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משותפת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יבגני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משמעי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להפריכו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פס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66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המגמתיות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והמניפולטיביות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שבדבריו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לחלוטין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</w:t>
      </w:r>
      <w:r>
        <w:rPr>
          <w:rFonts w:ascii="Century" w:hAnsi="Century" w:cs="FrankRuehl"/>
          <w:spacing w:val="10"/>
          <w:szCs w:val="28"/>
          <w:rtl w:val="true"/>
        </w:rPr>
        <w:t>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והכחשתו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לנוכחותו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מהכחשת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מהצימרים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מגמתית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להתרשמותו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מדויקת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שאומתו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להודעותיו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ונכונים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במשרדי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הצימרים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רחובות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והתגלו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כדוגמת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עצירתם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והחלפת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זהות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סטאר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הצליח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שניסה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ובמקביל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יריחו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ההתוודות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המשותפת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האוחזים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בנשק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אקדחים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59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אינדיקציות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פורנזיות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אקדחים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42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44</w:t>
      </w:r>
      <w:r>
        <w:rPr>
          <w:rFonts w:cs="FrankRuehl" w:ascii="Century" w:hAnsi="Century"/>
          <w:spacing w:val="10"/>
          <w:szCs w:val="28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סוגיה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גרסתם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ומניפולטיבית</w:t>
      </w:r>
      <w:r>
        <w:rPr>
          <w:rFonts w:cs="FrankRuehl" w:ascii="Century" w:hAnsi="Century"/>
          <w:spacing w:val="10"/>
          <w:szCs w:val="28"/>
          <w:rtl w:val="true"/>
        </w:rPr>
        <w:t>, "</w:t>
      </w:r>
      <w:r>
        <w:rPr>
          <w:rFonts w:ascii="Century" w:hAnsi="Century" w:cs="FrankRuehl"/>
          <w:spacing w:val="10"/>
          <w:szCs w:val="28"/>
          <w:rtl w:val="true"/>
        </w:rPr>
        <w:t>שנועדה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>."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הכזב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מהנוכחים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הצהריים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20:30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הספונטניות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משותפת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ודיברו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הרצפה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ותיאום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המצטרף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יתירה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ושילוב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התכוונו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שנכחו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בצימרים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הנמלטים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כיסויי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ועדותם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נסתרה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כיסוי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מובהק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התמקדה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תכנון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תכנון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הבסיסית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ולהיערכות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המיידית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כיסוי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יציאה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וההתנתקות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מהטלפונים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תכנון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הגבוהה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ולגורמים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שהנחו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התכנון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דהיינו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החיסול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בחירתם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לצמצם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הכספית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התשלומים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ולרוסלן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8000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Cs w:val="28"/>
          <w:rtl w:val="true"/>
        </w:rPr>
        <w:t>כתמורה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בנפרד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ובעונשה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בבוחנו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היסוד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העובדתי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באקדחיהם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הצליח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באקדחו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המשותפת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הכדורים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יסוד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מרכיביו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ההכנה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אקדחים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וכיוונ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קינטור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קינטור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מוזמנת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לרציחתו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סנגוריהם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הוראת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המילוט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hyperlink r:id="rId3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שבסעיף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שראשי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החיילים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הקטנים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נושאים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באחריות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יידע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שראשי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הארגון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הצליחו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לחמוק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64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ונטילת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DVR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הצימרים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שריפתו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ביפו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והשלכתו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יריחו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ביציאה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מרחובות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עובד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29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כנוסחו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התיקון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244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מאסר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עולם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מחלוקת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שיבוש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מהלכי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במצטבר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בחופף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סכום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לחייב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השיבוש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וחצי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המתחם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וביניהן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מהמערערים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השיבוש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השיבוש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מבצעי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ובנתיב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המילוט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התקיימו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חריגות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המצדיקות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מצטבר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השיבוש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ירוצה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בחופף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לעונשי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בבואו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הפיצויים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יוסי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אטר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להצהרת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שהוגשה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אחיותיו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שהשתחרר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מהכלא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דרכו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עזב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הפשע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והתרכז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בגידול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ובפרנסת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ילדיו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5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77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3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מתייחסת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כשלעצמו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לחיובו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מערערים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בצוותא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לחייב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במלוא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לחייב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מהמערערים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המקסימלי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מהמערערים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השיבוש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ילדיו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258,000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מהמערערים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Miriam"/>
          <w:b/>
          <w:spacing w:val="10"/>
          <w:sz w:val="24"/>
          <w:szCs w:val="28"/>
        </w:rPr>
      </w:pPr>
      <w:r>
        <w:rPr>
          <w:rFonts w:cs="Miriam" w:ascii="Century" w:hAnsi="Century"/>
          <w:b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ערעורו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יבגני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סנגוריו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מיקדו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התנהלותם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במעברם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בצימרים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כשבועיים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בניתוק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הספונטניות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זווית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למטרת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הפחדה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ההריגה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לחלופין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הבסיסית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הוצגה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הממתנות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אקדחו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כדורים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רוסלן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וביניהן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תלותו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להוראות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נחרצות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לתרומתם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אזהרה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תרגיל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אקטיבי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24.8.2017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נפסלה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הזוטא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ערעורו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רוסלן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בערעורו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כמסייע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לתמליל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בתפעול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הצימרים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מתוכנן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ומוזמן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להעמדתם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מתוכנן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ויוצאים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פטורים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מתכנני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בררנית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ובוודאי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סנגוריו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והלינו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ממעורבותו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משטרתי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ומניעיו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לתוצרי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16.8.2017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האקטיביות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התרגיל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תמצית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המדינה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בטיעוניה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המרשיעה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בהיקפה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האזנות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תיעדו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שלביו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התנקשו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מובהק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המוכיחות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ההתנהלות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מבטלים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להפנייתו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לתמליל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באוזני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לקבילותה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הזוטא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מלהכריע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לקבילותה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שניים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חצי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).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מאמצי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הגדולים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שהוקדשו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להילחם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בארגון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פשיעה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משסברה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מספיקות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סוג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ששמעתי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הופקדה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השתלבותם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במארג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6080/20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21.7.2021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8956/20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מרטינס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28.6.2022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</w:t>
      </w:r>
      <w:r>
        <w:rPr>
          <w:rFonts w:ascii="Century" w:hAnsi="Century" w:cs="FrankRuehl"/>
          <w:spacing w:val="10"/>
          <w:szCs w:val="28"/>
          <w:rtl w:val="true"/>
        </w:rPr>
        <w:t>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והתאפיינו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במגמתיות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בולטת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חזיתות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בפתחה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הכחישו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במעורבות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מגלגלים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4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1464/21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קפוסטין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11.9.2022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לטעמי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ובמסקנותיו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מוצקה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הקושרת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והחשובה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ממהימנותו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נתמכו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אובייקטיביות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וחיצוניות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התוודות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המשותפת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נסיבתיות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מסבכות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וקושרות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</w:t>
      </w:r>
      <w:r>
        <w:rPr>
          <w:rFonts w:ascii="Century" w:hAnsi="Century" w:cs="FrankRuehl"/>
          <w:spacing w:val="10"/>
          <w:szCs w:val="28"/>
          <w:rtl w:val="true"/>
        </w:rPr>
        <w:t>ניהן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מגוריהם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בצימרים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האזנת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51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התיעוד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81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מציאת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סטאר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41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הימצאותם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תרמילים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וכדורים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השייכים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יריחו</w:t>
      </w:r>
      <w:r>
        <w:rPr>
          <w:rFonts w:cs="FrankRuehl" w:ascii="Century" w:hAnsi="Century"/>
          <w:spacing w:val="10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שנמלטו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הונדה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מוצגים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58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62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63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מציאת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יריחו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צילום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והחלפת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בגדיהם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צילומי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הונדה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השחור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לסעיד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בחיפה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ולהמיתו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שסנגוריהם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מתוכנן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ומתואם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האופן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הצטיידותם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באקדחים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התנתקותם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מהטלפונים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יציאתם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וחזרתם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בהיחבא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לזירה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כשפניהם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בכיסויי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לזיהויים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ולהפללתם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הימלטותם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המשותפת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שריפת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במוסך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ונסיעתם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4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560/20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בנימינוב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28.7.2022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יתירה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כחוליית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לביא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ותכננו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מקצועי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להנחיותיה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יעד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ליוסי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הוציאו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הכספית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מתוכנן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ומוזמן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ומכאן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תרגילי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מדוקדקת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24.8.2017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נפסלה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הזוטא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שימשה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כראיה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התרגילים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25.6.2017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28.6.2017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נחוצים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התעלם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קבילותם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8.8.2017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קבילים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ונפסלו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כקבילות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16.8.2017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ושתמליל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26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אמרות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יבגני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הרגילים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הרגילים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כקבילים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המהפך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במעורבותם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</w:t>
      </w:r>
      <w:r>
        <w:rPr>
          <w:rFonts w:ascii="Century" w:hAnsi="Century" w:cs="FrankRuehl"/>
          <w:spacing w:val="10"/>
          <w:szCs w:val="28"/>
          <w:rtl w:val="true"/>
        </w:rPr>
        <w:t>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באריכות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ונימק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סוגיית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בקצרה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16.8.2017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הסכמה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סנגוריו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רוסלן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המקובלים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בדיבוב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וחוקי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הפוסל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תוצריו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במסקנות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הדיבוב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16.8.2017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הוקלט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במלואו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ממילא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השלישי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המלחמה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המאורגן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מחייבת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להיעזר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בתחבולות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תומכים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עקרונות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הרביעי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שצויין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cs="FrankRuehl"/>
          <w:spacing w:val="10"/>
          <w:szCs w:val="28"/>
          <w:rtl w:val="true"/>
        </w:rPr>
        <w:t>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בהנחיות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היועץ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לממשלה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וההיפך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הנכון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ההנחיה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אקטיביות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פינקלשטיין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בשולי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בפרקטיקה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העקרוני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במובנם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הפורמלי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3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1971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להפעילה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hyperlink r:id="rId45">
        <w:r>
          <w:rPr>
            <w:rStyle w:val="Hyperlink"/>
            <w:rFonts w:ascii="Century" w:hAnsi="Century" w:cs="Miriam"/>
            <w:b/>
            <w:b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</w:rPr>
          <w:t>301</w:t>
        </w:r>
        <w:r>
          <w:rPr>
            <w:rStyle w:val="Hyperlink"/>
            <w:rFonts w:ascii="Century" w:hAnsi="Century" w:cs="Miriam"/>
            <w:b/>
            <w:b/>
            <w:rtl w:val="true"/>
          </w:rPr>
          <w:t>א</w:t>
        </w:r>
        <w:r>
          <w:rPr>
            <w:rStyle w:val="Hyperlink"/>
            <w:rFonts w:cs="Miriam" w:ascii="Century" w:hAnsi="Century"/>
            <w:b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rtl w:val="true"/>
          </w:rPr>
          <w:t>ב</w:t>
        </w:r>
        <w:r>
          <w:rPr>
            <w:rStyle w:val="Hyperlink"/>
            <w:rFonts w:cs="Miriam" w:ascii="Century" w:hAnsi="Century"/>
            <w:b/>
            <w:rtl w:val="true"/>
          </w:rPr>
          <w:t>)</w:t>
        </w:r>
      </w:hyperlink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</w:t>
      </w:r>
      <w:hyperlink r:id="rId46"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פתח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המילוט</w:t>
      </w:r>
      <w:r>
        <w:rPr>
          <w:rFonts w:cs="Miriam" w:ascii="Century" w:hAnsi="Century"/>
          <w:b/>
          <w:rtl w:val="true"/>
        </w:rPr>
        <w:t>"</w:t>
      </w:r>
    </w:p>
    <w:p>
      <w:pPr>
        <w:pStyle w:val="Ruller4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כעת אפנה לטענת סנגורו של יבגני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יש להחיל בעניינו את </w:t>
      </w:r>
      <w:hyperlink r:id="rId4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לדין החדש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המכונה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פתח המילוט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ולפיו יש להרשיעו בעבירת הרצח הבסיסית תחת עבירה של רצח בנסיבות מחמירות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הטענה בדבר תרומתו הפיזית הנמוכה של מבצע עבירה ביחס לשותפו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אמנם מסוג הטענות אשר ניתן להשמיען במישור זה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פסק דיני ב</w:t>
      </w:r>
      <w:r>
        <w:rPr>
          <w:rFonts w:cs="Century" w:ascii="Century" w:hAnsi="Century"/>
          <w:rtl w:val="true"/>
        </w:rPr>
        <w:t>-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6338/20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7.7.2022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zCs w:val="24"/>
          <w:rtl w:val="true"/>
        </w:rPr>
        <w:t>חיים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ואולם במקרה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ובנסיבותיו הקונקרטיות של תיק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לדחות טענה זו באופן מפורש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בהתאם לממצאים העובדתיים שנקבעו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ואשר לא מצאתי טעם מוצדק להתערב בהם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שיפורט להלן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אזכיר כי השניים הגיעו לזירה יחדיו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מצויידים באקדחים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נשלפו באופן מתואם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יבגני אחז באקדח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סטאר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התקול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ורוסלן באקדח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יריחו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התקין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יבגני דרך את אקדחו וניסה לירות אך נתקל במעצור ולא 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רוסלן השלים את המלאכה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ירה מספר יריות באקדח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יריחו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ואחת מהן פגעה במנוח וגרמה למותו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במהלך אירוע הירי השתתפו יבגני ורוסלן יחדיו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ופעלו בפעולה משותפת של שני מבצעים עיקריים בצוותא חדא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כמשמעות מונחים אלו </w:t>
      </w:r>
      <w:hyperlink r:id="rId49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5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ויודגש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נפקא מינא ביחס למעשה האקטיבי של שני המערערים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העובדה שנשקו של יבגני נתקע ולכן הוא לא הצליח לירות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מפחיתה מאשמתו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יבגני אשר ירה באקדח התקול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יכול ליהנות מהתקלה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לא היתה בשליטתו ולא היתה תלויה בו או בבחירתו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יש להוסיף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אף התנהלותו באירוע ולאחריו מוכיחה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פעל בצוותא חדא עם שותפו רוסלן כמבצע עיקרי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שפורט לעיל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אף הטענה ביחס לאי העמדתם לדין של מי שנטען כראשי משפחת הפשע שהורו על הרצח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כנסיבה המפחיתה בדרגת האשם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דינה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כפי שקבע בית המשפט המחוזי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ברצח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מתוכנן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בקור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רוח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ובתמורה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כספית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ורמת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אשמתם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חמורה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ביותר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אין בעובדה שהמשטרה או הפרקליטות מצאו שאין די ראיות כדי להעמיד לדין את ראשי ארגון הפשע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להפחית מחומרת המעשים של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חיילים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אשר ביצעו את הפשע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בענייננו מדובר בחיסול מתוכנן ומאורגן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יש בו כדי ללמד על רמת האשמה הגבוהה של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ולכן הוראת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פתח המילוט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לא רלוונטית במקרה שלנו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עניין אחריותם של אחרים לאירוע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שקיים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הינו עניין נפרד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ואינו משפיע על מידת אשמם של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אזכיר בהקשר זה כי הוראת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פתח המילוט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מעניקה לבית המשפט סמכות מוגבלת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הנטועה בנסיבות שבהן המעשה אינו מבטא דרגת אשמה חמורה במיוחד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וכאמור מתייחסת למקרים חריגים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המקרה שלנו אינו נמנה עליהם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גם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zCs w:val="24"/>
          <w:rtl w:val="true"/>
        </w:rPr>
        <w:t>חיים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דיני</w:t>
      </w:r>
      <w:r>
        <w:rPr>
          <w:rFonts w:cs="Century" w:ascii="Century" w:hAnsi="Century"/>
          <w:rtl w:val="true"/>
        </w:rPr>
        <w:t xml:space="preserve">; </w:t>
      </w:r>
      <w:hyperlink r:id="rId5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7722/19</w:t>
        </w:r>
      </w:hyperlink>
      <w:r>
        <w:rPr>
          <w:rFonts w:cs="Century" w:ascii="Century" w:hAnsi="Century"/>
          <w:rtl w:val="true"/>
        </w:rPr>
        <w:t xml:space="preserve">  </w:t>
      </w:r>
      <w:r>
        <w:rPr>
          <w:rFonts w:ascii="Century" w:hAnsi="Century" w:cs="Miriam"/>
          <w:b/>
          <w:b/>
          <w:szCs w:val="24"/>
          <w:rtl w:val="true"/>
        </w:rPr>
        <w:t>זרסנאי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19.4.2021</w:t>
      </w:r>
      <w:r>
        <w:rPr>
          <w:rFonts w:cs="Century" w:ascii="Century" w:hAnsi="Century"/>
          <w:rtl w:val="true"/>
        </w:rPr>
        <w:t xml:space="preserve">); </w:t>
      </w:r>
      <w:hyperlink r:id="rId5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3308/17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וחידי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15.1.2020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zCs w:val="24"/>
        </w:rPr>
      </w:pPr>
      <w:r>
        <w:rPr>
          <w:rFonts w:ascii="Century" w:hAnsi="Century" w:cs="Miriam"/>
          <w:b/>
          <w:b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הצדק</w:t>
      </w:r>
      <w:r>
        <w:rPr>
          <w:rFonts w:cs="Miriam" w:ascii="Century" w:hAnsi="Century"/>
          <w:b/>
          <w:szCs w:val="24"/>
          <w:rtl w:val="true"/>
        </w:rPr>
        <w:tab/>
      </w:r>
      <w:r>
        <w:rPr>
          <w:rFonts w:cs="Miriam" w:ascii="Century" w:hAnsi="Century"/>
          <w:b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סנגוריו של רוסלן טענו בערעורו כי קמה לו טענת הגנה מן הצדק בעילה של אכיפה בררנית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אקדים ואומר כי דין טענה זו להידחות ואסביר במה דברים אמורים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zCs w:val="24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zCs w:val="24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אציין כי חומר הראיות נגד המערערים כלל אינו תומך בטענה של אכיפה בררנית פסולה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מהתמונה הראייתית הרחבה עולה כי המשטרה הקדישה משאבים רבים לפעולות נגד ארגון הפשע כולו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מאפיינים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מידור והסתרה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הקשו על העמדתם לדין של ראשי הארגון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שטענה המדינה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zCs w:val="24"/>
          <w:rtl w:val="true"/>
        </w:rPr>
        <w:tab/>
      </w:r>
      <w:r>
        <w:rPr>
          <w:rFonts w:ascii="Century" w:hAnsi="Century" w:cs="Miriam"/>
          <w:b/>
          <w:b/>
          <w:szCs w:val="24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המערערים מנעו את בירור האמת שעה שהם עצמם נמנעו מלמסור גרסה סדורה ומפלילה נגד המעורבים האחרים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נגד שולחיהם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הם יכולים להיבנות מהעלאת הטענה כי ראשי הארגון לא הועמדו לדין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zCs w:val="24"/>
          <w:rtl w:val="true"/>
        </w:rPr>
        <w:tab/>
      </w:r>
      <w:r>
        <w:rPr>
          <w:rFonts w:ascii="Century" w:hAnsi="Century" w:cs="Miriam"/>
          <w:b/>
          <w:b/>
          <w:szCs w:val="24"/>
          <w:rtl w:val="true"/>
        </w:rPr>
        <w:t>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בענייננו קבע בית המשפט המחוזי במפורש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מערכת הראיות שהיתה רלוונטית לכל אחד מהמערערים ושהעידה על כך שהרצח בוצע בשליחות משפחת לביא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הובילה למספר ממצאים עובדתיים בעניין תכנון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בהכרעת הדין הובהר כי מדובר בראיות נגד המערערים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בהכרח מדובר בראיות קבילות או מספיקות כלפי בני משפחת לביא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ויודגש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העובדה שראשי הארגון הצליחו לחמוק מאימת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שהמדינה מצאה שאין די ראיות כדי להעמיד לדין את ראשי משפחת הפשע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מפחיתה מחומרת מעשי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ביצעו את הפשע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zCs w:val="24"/>
          <w:rtl w:val="true"/>
        </w:rPr>
        <w:t>רביעית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מפסיקת בית משפט זה עולה הבחנה חשובה לענייננו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בין אי העמדה לדין של שותפים לעבירה כתוצאה מאילוץ שלמדינה אין שליטה עליו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כך למשל בהיעדר ראיות נגד המעורבים האחרים או בהימלטותם מאימת הדין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לבין אי העמדה לדין של שותפים כתוצאה מהחלטה שנתקבלה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הפעלת שיקול דעת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למשל</w:t>
      </w:r>
      <w:r>
        <w:rPr>
          <w:rFonts w:cs="Century" w:ascii="Century" w:hAnsi="Century"/>
          <w:rtl w:val="true"/>
        </w:rPr>
        <w:t xml:space="preserve">: </w:t>
      </w:r>
      <w:hyperlink r:id="rId5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5975/14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אגבריה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64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31.12.2015</w:t>
      </w:r>
      <w:r>
        <w:rPr>
          <w:rFonts w:cs="Century" w:ascii="Century" w:hAnsi="Century"/>
          <w:rtl w:val="true"/>
        </w:rPr>
        <w:t xml:space="preserve">); </w:t>
      </w:r>
      <w:hyperlink r:id="rId5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7532/12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איטל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194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11.12.2016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שעה שהמשיבה הצהירה כי נתקלה בקשיים ראייתיים להעמיד לדין את ראשי הארגון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ושוכנעתי כי הסיבה שבגינה מזמין הרצח לא הועמד לדין טמונה בחומר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נשמטת הקרקע תחת הטענה של אכיפה בררנית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עומדת לזכותם של המערערים הגנה מן הצדק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בנסיבות החמורות שבענייננו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משקפות את פעילותו של ארגון פשיעה רצחני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כעולה מחומר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האינטרס הציבורי תומך במיצוי הדין עם כל חייל וחייל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המבצע עבירות מטעם הארגון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ובמקרה שלנו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עם המערערים שקיפחו במו ידיהם חיי אדם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וכפי שהדגשתי לאחרונה בעניין אחר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נסבלת</w:t>
      </w:r>
      <w:r>
        <w:rPr>
          <w:rtl w:val="true"/>
        </w:rPr>
        <w:t xml:space="preserve">.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>."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). </w:t>
      </w:r>
    </w:p>
    <w:p>
      <w:pPr>
        <w:pStyle w:val="Style14"/>
        <w:ind w:firstLine="516" w:end="1276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ולהותיר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13.11.2022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21004980</w:t>
      </w:r>
      <w:r>
        <w:rPr>
          <w:sz w:val="16"/>
          <w:rtl w:val="true"/>
        </w:rPr>
        <w:t>_</w:t>
      </w:r>
      <w:r>
        <w:rPr>
          <w:sz w:val="16"/>
        </w:rPr>
        <w:t>J17.docx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54678313-498/21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7"/>
      <w:footerReference w:type="default" r:id="rId5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498/21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יבגני גולובקו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overflowPunct w:val="true"/>
      <w:autoSpaceDE w:val="true"/>
      <w:spacing w:lineRule="auto" w:line="252" w:before="0" w:after="160"/>
      <w:textAlignment w:val="auto"/>
    </w:pPr>
    <w:rPr>
      <w:rFonts w:ascii="Garamond" w:hAnsi="Garamond" w:eastAsia="Calibri" w:cs="Arial"/>
      <w:spacing w:val="0"/>
      <w:sz w:val="24"/>
      <w:szCs w:val="22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  <w:overflowPunct w:val="true"/>
      <w:autoSpaceDE w:val="true"/>
      <w:spacing w:lineRule="auto" w:line="252" w:before="0" w:after="160"/>
      <w:textAlignment w:val="auto"/>
    </w:pPr>
    <w:rPr>
      <w:rFonts w:eastAsia="Calibri" w:cs="Arial"/>
      <w:spacing w:val="0"/>
      <w:szCs w:val="22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2" w:before="0" w:after="16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Style14">
    <w:name w:val="ציטוט ממורכז"/>
    <w:basedOn w:val="Normal"/>
    <w:qFormat/>
    <w:pPr>
      <w:spacing w:before="0" w:after="420"/>
      <w:ind w:hanging="0" w:start="1644" w:end="1276"/>
      <w:contextualSpacing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97401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.b" TargetMode="External"/><Relationship Id="rId5" Type="http://schemas.openxmlformats.org/officeDocument/2006/relationships/hyperlink" Target="http://www.nevo.co.il/law/70301/77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law/70301/301a.a.1" TargetMode="External"/><Relationship Id="rId9" Type="http://schemas.openxmlformats.org/officeDocument/2006/relationships/hyperlink" Target="http://www.nevo.co.il/law/70301/301a.b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98569" TargetMode="External"/><Relationship Id="rId12" Type="http://schemas.openxmlformats.org/officeDocument/2006/relationships/hyperlink" Target="http://www.nevo.co.il/law/98569/11" TargetMode="External"/><Relationship Id="rId13" Type="http://schemas.openxmlformats.org/officeDocument/2006/relationships/hyperlink" Target="http://www.nevo.co.il/case/22974018" TargetMode="External"/><Relationship Id="rId14" Type="http://schemas.openxmlformats.org/officeDocument/2006/relationships/hyperlink" Target="http://www.nevo.co.il/law/70301/300.a.2" TargetMode="External"/><Relationship Id="rId15" Type="http://schemas.openxmlformats.org/officeDocument/2006/relationships/hyperlink" Target="http://www.nevo.co.il/law/70301/29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244" TargetMode="External"/><Relationship Id="rId18" Type="http://schemas.openxmlformats.org/officeDocument/2006/relationships/hyperlink" Target="http://www.nevo.co.il/law/70301/300.a.2" TargetMode="External"/><Relationship Id="rId19" Type="http://schemas.openxmlformats.org/officeDocument/2006/relationships/hyperlink" Target="http://www.nevo.co.il/law/70301/29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244" TargetMode="External"/><Relationship Id="rId22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01a.a.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01a.a.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01a.a.1" TargetMode="External"/><Relationship Id="rId30" Type="http://schemas.openxmlformats.org/officeDocument/2006/relationships/hyperlink" Target="http://www.nevo.co.il/law/70301/301a.b" TargetMode="External"/><Relationship Id="rId31" Type="http://schemas.openxmlformats.org/officeDocument/2006/relationships/hyperlink" Target="http://www.nevo.co.il/law/70301/300.a.2" TargetMode="External"/><Relationship Id="rId32" Type="http://schemas.openxmlformats.org/officeDocument/2006/relationships/hyperlink" Target="http://www.nevo.co.il/law/70301/29.b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244" TargetMode="External"/><Relationship Id="rId35" Type="http://schemas.openxmlformats.org/officeDocument/2006/relationships/hyperlink" Target="http://www.nevo.co.il/law/70301/77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01a.b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6964729" TargetMode="External"/><Relationship Id="rId40" Type="http://schemas.openxmlformats.org/officeDocument/2006/relationships/hyperlink" Target="http://www.nevo.co.il/case/27260053" TargetMode="External"/><Relationship Id="rId41" Type="http://schemas.openxmlformats.org/officeDocument/2006/relationships/hyperlink" Target="http://www.nevo.co.il/case/27443208" TargetMode="External"/><Relationship Id="rId42" Type="http://schemas.openxmlformats.org/officeDocument/2006/relationships/hyperlink" Target="http://www.nevo.co.il/case/27351120" TargetMode="External"/><Relationship Id="rId43" Type="http://schemas.openxmlformats.org/officeDocument/2006/relationships/hyperlink" Target="http://www.nevo.co.il/law/98569/11" TargetMode="External"/><Relationship Id="rId44" Type="http://schemas.openxmlformats.org/officeDocument/2006/relationships/hyperlink" Target="http://www.nevo.co.il/law/98569" TargetMode="External"/><Relationship Id="rId45" Type="http://schemas.openxmlformats.org/officeDocument/2006/relationships/hyperlink" Target="http://www.nevo.co.il/law/70301/301a.b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301a.b" TargetMode="External"/><Relationship Id="rId48" Type="http://schemas.openxmlformats.org/officeDocument/2006/relationships/hyperlink" Target="http://www.nevo.co.il/case/26995434" TargetMode="External"/><Relationship Id="rId49" Type="http://schemas.openxmlformats.org/officeDocument/2006/relationships/hyperlink" Target="http://www.nevo.co.il/law/70301/29.b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26205760" TargetMode="External"/><Relationship Id="rId52" Type="http://schemas.openxmlformats.org/officeDocument/2006/relationships/hyperlink" Target="http://www.nevo.co.il/case/22540397" TargetMode="External"/><Relationship Id="rId53" Type="http://schemas.openxmlformats.org/officeDocument/2006/relationships/hyperlink" Target="http://www.nevo.co.il/case/17947940" TargetMode="External"/><Relationship Id="rId54" Type="http://schemas.openxmlformats.org/officeDocument/2006/relationships/hyperlink" Target="http://www.nevo.co.il/case/5571865" TargetMode="External"/><Relationship Id="rId55" Type="http://schemas.openxmlformats.org/officeDocument/2006/relationships/hyperlink" Target="https://supreme.court.gov.il/" TargetMode="External"/><Relationship Id="rId56" Type="http://schemas.openxmlformats.org/officeDocument/2006/relationships/hyperlink" Target="http://www.nevo.co.il/advertisements/nevo-100.doc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2022-11-14T10:23:00Z</dcterms:created>
  <dc:creator>h4</dc:creator>
  <dc:description/>
  <cp:keywords/>
  <dc:language>en-IL</dc:language>
  <cp:lastModifiedBy>orly</cp:lastModifiedBy>
  <cp:lastPrinted>2022-11-13T08:03:00Z</cp:lastPrinted>
  <dcterms:modified xsi:type="dcterms:W3CDTF">2022-11-14T10:23:00Z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יבגני גולובקו;רוסלן בן אלכסנדר שצ'פטניוב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22974018:2;26964729;27260053;27443208;27351120;26995434;26205760;22540397;17947940;5571865</vt:lpwstr>
  </property>
  <property fmtid="{D5CDD505-2E9C-101B-9397-08002B2CF9AE}" pid="9" name="CITY">
    <vt:lpwstr/>
  </property>
  <property fmtid="{D5CDD505-2E9C-101B-9397-08002B2CF9AE}" pid="10" name="DATE">
    <vt:lpwstr>20221113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אלרון;א' שטיין;י' כשר</vt:lpwstr>
  </property>
  <property fmtid="{D5CDD505-2E9C-101B-9397-08002B2CF9AE}" pid="14" name="LAWLISTTMP1">
    <vt:lpwstr>70301/300.a.2:3;029.b:4;244:3;499.a.1;301a.a.1:3;301a.b:4;077</vt:lpwstr>
  </property>
  <property fmtid="{D5CDD505-2E9C-101B-9397-08002B2CF9AE}" pid="15" name="LAWLISTTMP2">
    <vt:lpwstr>98569/011</vt:lpwstr>
  </property>
  <property fmtid="{D5CDD505-2E9C-101B-9397-08002B2CF9AE}" pid="16" name="LAWYER">
    <vt:lpwstr>רחלי זוארץ לוי;עידית פרג'ון;נועם בונדר;אנה שכטמן קוגלר;אבי כהן;פרידה וול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דיון פלילי</vt:lpwstr>
  </property>
  <property fmtid="{D5CDD505-2E9C-101B-9397-08002B2CF9AE}" pid="34" name="NOSE17">
    <vt:lpwstr>דיון אזרחי</vt:lpwstr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77;77;77;77;77;18;17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עבירת הרצח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הגנות</vt:lpwstr>
  </property>
  <property fmtid="{D5CDD505-2E9C-101B-9397-08002B2CF9AE}" pid="44" name="NOSE26">
    <vt:lpwstr>מחדלי חקירה</vt:lpwstr>
  </property>
  <property fmtid="{D5CDD505-2E9C-101B-9397-08002B2CF9AE}" pid="45" name="NOSE27">
    <vt:lpwstr>ערעור</vt:lpwstr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1446;12455;1446;1446;1431;17072;421</vt:lpwstr>
  </property>
  <property fmtid="{D5CDD505-2E9C-101B-9397-08002B2CF9AE}" pid="49" name="NOSE31">
    <vt:lpwstr>מדיניות ענישה: עבירת רצח</vt:lpwstr>
  </property>
  <property fmtid="{D5CDD505-2E9C-101B-9397-08002B2CF9AE}" pid="50" name="NOSE310">
    <vt:lpwstr/>
  </property>
  <property fmtid="{D5CDD505-2E9C-101B-9397-08002B2CF9AE}" pid="51" name="NOSE32">
    <vt:lpwstr>עונש מופחת</vt:lpwstr>
  </property>
  <property fmtid="{D5CDD505-2E9C-101B-9397-08002B2CF9AE}" pid="52" name="NOSE33">
    <vt:lpwstr>מאסר עולם</vt:lpwstr>
  </property>
  <property fmtid="{D5CDD505-2E9C-101B-9397-08002B2CF9AE}" pid="53" name="NOSE34">
    <vt:lpwstr>מדיניות ענישה: התערבות ערכאת ערעור</vt:lpwstr>
  </property>
  <property fmtid="{D5CDD505-2E9C-101B-9397-08002B2CF9AE}" pid="54" name="NOSE35">
    <vt:lpwstr>הגנה מן הצדק</vt:lpwstr>
  </property>
  <property fmtid="{D5CDD505-2E9C-101B-9397-08002B2CF9AE}" pid="55" name="NOSE36">
    <vt:lpwstr>נפקותם</vt:lpwstr>
  </property>
  <property fmtid="{D5CDD505-2E9C-101B-9397-08002B2CF9AE}" pid="56" name="NOSE37">
    <vt:lpwstr>אי התערבות בממצאים עובדתיים</vt:lpwstr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14615;15787;15651;8982;8670;17177;15882</vt:lpwstr>
  </property>
  <property fmtid="{D5CDD505-2E9C-101B-9397-08002B2CF9AE}" pid="60" name="PADIDATE">
    <vt:lpwstr>20221114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498;767</vt:lpwstr>
  </property>
  <property fmtid="{D5CDD505-2E9C-101B-9397-08002B2CF9AE}" pid="66" name="PROCYEAR">
    <vt:lpwstr>21;21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410120221113</vt:lpwstr>
  </property>
  <property fmtid="{D5CDD505-2E9C-101B-9397-08002B2CF9AE}" pid="70" name="TYPE_N_DATE">
    <vt:lpwstr>41020221113</vt:lpwstr>
  </property>
  <property fmtid="{D5CDD505-2E9C-101B-9397-08002B2CF9AE}" pid="71" name="VOLUME">
    <vt:lpwstr/>
  </property>
  <property fmtid="{D5CDD505-2E9C-101B-9397-08002B2CF9AE}" pid="72" name="WORDNUMPAGES">
    <vt:lpwstr>20</vt:lpwstr>
  </property>
</Properties>
</file>